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styles.xml" ContentType="application/vnd.openxmlformats-officedocument.wordprocessingml.styl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spacing w:lineRule="auto" w:line="276"/>
        <w:ind w:left="5954" w:right="0" w:hanging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numPr>
          <w:ilvl w:val="0"/>
          <w:numId w:val="0"/>
        </w:numPr>
        <w:ind w:left="0" w:right="0" w:hanging="0"/>
        <w:jc w:val="center"/>
        <w:outlineLvl w:val="0"/>
        <w:rPr>
          <w:b/>
          <w:szCs w:val="24"/>
        </w:rPr>
      </w:pPr>
      <w:r>
        <w:rPr>
          <w:b/>
          <w:szCs w:val="24"/>
        </w:rPr>
        <w:t>ТЕХНИЧЕСКИЕ ТРЕБОВАНИЯ</w:t>
      </w:r>
    </w:p>
    <w:p>
      <w:pPr>
        <w:pStyle w:val="Normal"/>
        <w:keepNext w:val="true"/>
        <w:widowControl/>
        <w:numPr>
          <w:ilvl w:val="0"/>
          <w:numId w:val="0"/>
        </w:numPr>
        <w:tabs>
          <w:tab w:val="clear" w:pos="708"/>
          <w:tab w:val="left" w:pos="900" w:leader="none"/>
        </w:tabs>
        <w:suppressAutoHyphens w:val="true"/>
        <w:bidi w:val="0"/>
        <w:spacing w:lineRule="auto" w:line="276" w:before="0" w:after="0"/>
        <w:ind w:left="-397" w:right="0" w:hanging="0"/>
        <w:jc w:val="center"/>
        <w:outlineLvl w:val="0"/>
        <w:rPr/>
      </w:pPr>
      <w:r>
        <w:rPr>
          <w:rFonts w:eastAsia="Calibri" w:ascii="Times New Roman" w:hAnsi="Times New Roman"/>
          <w:szCs w:val="24"/>
          <w:shd w:fill="auto" w:val="clear"/>
        </w:rPr>
        <w:t xml:space="preserve">ОКПД2 </w:t>
      </w:r>
      <w:r>
        <w:rPr>
          <w:rStyle w:val="Strong"/>
          <w:rFonts w:eastAsia="Calibri" w:ascii="Times New Roman" w:hAnsi="Times New Roman"/>
          <w:b w:val="false"/>
          <w:i w:val="false"/>
          <w:caps w:val="false"/>
          <w:smallCaps w:val="false"/>
          <w:color w:val="333333"/>
          <w:spacing w:val="0"/>
          <w:sz w:val="24"/>
          <w:szCs w:val="24"/>
          <w:shd w:fill="auto" w:val="clear"/>
        </w:rPr>
        <w:t>20.30.1</w:t>
      </w:r>
      <w:r>
        <w:rPr>
          <w:rStyle w:val="Strong"/>
          <w:rFonts w:eastAsia="Calibri" w:ascii="Times New Roman" w:hAnsi="Times New Roman"/>
          <w:b w:val="false"/>
          <w:i w:val="false"/>
          <w:caps w:val="false"/>
          <w:smallCaps w:val="false"/>
          <w:color w:val="333333"/>
          <w:spacing w:val="0"/>
          <w:sz w:val="24"/>
          <w:szCs w:val="24"/>
          <w:shd w:fill="auto" w:val="clear"/>
        </w:rPr>
        <w:t>1</w:t>
      </w:r>
      <w:r>
        <w:rPr>
          <w:rStyle w:val="Strong"/>
          <w:rFonts w:eastAsia="Calibri" w:ascii="Times New Roman" w:hAnsi="Times New Roman"/>
          <w:b w:val="false"/>
          <w:i w:val="false"/>
          <w:caps w:val="false"/>
          <w:smallCaps w:val="false"/>
          <w:color w:val="333333"/>
          <w:spacing w:val="0"/>
          <w:sz w:val="24"/>
          <w:szCs w:val="24"/>
          <w:shd w:fill="auto" w:val="clear"/>
        </w:rPr>
        <w:t xml:space="preserve">.120 </w:t>
      </w:r>
      <w:r>
        <w:rPr>
          <w:rFonts w:ascii="Times New Roman" w:hAnsi="Times New Roman"/>
          <w:szCs w:val="24"/>
        </w:rPr>
        <w:t xml:space="preserve">Поставка </w:t>
      </w:r>
      <w:r>
        <w:rPr>
          <w:rFonts w:ascii="Times New Roman" w:hAnsi="Times New Roman"/>
          <w:szCs w:val="24"/>
        </w:rPr>
        <w:t>лакокрасочных</w:t>
      </w:r>
      <w:r>
        <w:rPr>
          <w:rFonts w:ascii="Times New Roman" w:hAnsi="Times New Roman"/>
          <w:szCs w:val="24"/>
        </w:rPr>
        <w:t xml:space="preserve"> материалов для выполнения работ на Саяно-Шушенской ГЭС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900" w:leader="none"/>
        </w:tabs>
        <w:spacing w:lineRule="auto" w:line="276"/>
        <w:ind w:left="0" w:right="0" w:hanging="0"/>
        <w:jc w:val="center"/>
        <w:outlineLvl w:val="0"/>
        <w:rPr>
          <w:szCs w:val="24"/>
        </w:rPr>
      </w:pPr>
      <w:r>
        <w:rPr>
          <w:szCs w:val="24"/>
        </w:rPr>
        <w:t>(Лот №_______________________________</w:t>
      </w:r>
      <w:r>
        <w:rPr>
          <w:color w:val="auto"/>
          <w:szCs w:val="24"/>
        </w:rPr>
        <w:t>)</w:t>
      </w:r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900" w:leader="none"/>
        </w:tabs>
        <w:spacing w:lineRule="auto" w:line="276"/>
        <w:ind w:left="0" w:right="0" w:hanging="0"/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/>
        <w:suppressAutoHyphens w:val="true"/>
        <w:bidi w:val="0"/>
        <w:spacing w:before="0" w:after="0"/>
        <w:ind w:left="-340" w:right="0" w:hanging="0"/>
        <w:jc w:val="left"/>
        <w:rPr>
          <w:szCs w:val="24"/>
        </w:rPr>
      </w:pPr>
      <w:r>
        <w:rPr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Cs w:val="24"/>
        </w:rPr>
      </w:pPr>
      <w:r>
        <w:rPr>
          <w:rFonts w:eastAsia="Calibri"/>
          <w:b/>
          <w:i/>
          <w:szCs w:val="24"/>
        </w:rPr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Heading4"/>
        <w:numPr>
          <w:ilvl w:val="0"/>
        </w:numPr>
        <w:tabs>
          <w:tab w:val="clear" w:pos="0"/>
          <w:tab w:val="left" w:pos="709" w:leader="none"/>
        </w:tabs>
        <w:ind w:left="432" w:right="0" w:hanging="0"/>
        <w:rPr/>
      </w:pPr>
      <w:r>
        <w:rPr>
          <w:lang w:val="ru-RU"/>
        </w:rPr>
        <w:t xml:space="preserve">    </w:t>
      </w:r>
      <w:r>
        <w:rPr/>
        <w:t>1.</w:t>
        <w:tab/>
        <w:t>Общие сведения</w:t>
      </w:r>
    </w:p>
    <w:p>
      <w:pPr>
        <w:pStyle w:val="Heading4"/>
        <w:numPr>
          <w:ilvl w:val="1"/>
          <w:numId w:val="1"/>
        </w:numPr>
        <w:ind w:left="0" w:right="0" w:firstLine="709"/>
        <w:rPr/>
      </w:pPr>
      <w:bookmarkStart w:id="0" w:name="_Toc75446568"/>
      <w:bookmarkStart w:id="1" w:name="_Toc46743506"/>
      <w:r>
        <w:rPr/>
        <w:t>Наименование закупаемой продукции</w:t>
      </w:r>
      <w:bookmarkEnd w:id="0"/>
      <w:bookmarkEnd w:id="1"/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900" w:leader="none"/>
        </w:tabs>
        <w:spacing w:lineRule="auto" w:line="276"/>
        <w:ind w:left="0" w:right="0" w:hanging="0"/>
        <w:jc w:val="left"/>
        <w:outlineLvl w:val="0"/>
        <w:rPr>
          <w:szCs w:val="24"/>
        </w:rPr>
      </w:pPr>
      <w:r>
        <w:rPr>
          <w:szCs w:val="24"/>
        </w:rPr>
        <w:tab/>
      </w:r>
      <w:r>
        <w:rPr>
          <w:rFonts w:eastAsia="Calibri" w:ascii="Times New Roman" w:hAnsi="Times New Roman"/>
          <w:szCs w:val="24"/>
          <w:shd w:fill="auto" w:val="clear"/>
        </w:rPr>
        <w:t xml:space="preserve">ОКПД2 </w:t>
      </w:r>
      <w:r>
        <w:rPr>
          <w:rStyle w:val="Strong"/>
          <w:rFonts w:eastAsia="Calibri" w:ascii="Times New Roman" w:hAnsi="Times New Roman"/>
          <w:b w:val="false"/>
          <w:i w:val="false"/>
          <w:caps w:val="false"/>
          <w:smallCaps w:val="false"/>
          <w:color w:val="333333"/>
          <w:spacing w:val="0"/>
          <w:sz w:val="24"/>
          <w:szCs w:val="24"/>
          <w:shd w:fill="auto" w:val="clear"/>
        </w:rPr>
        <w:t>20.30.1</w:t>
      </w:r>
      <w:r>
        <w:rPr>
          <w:rStyle w:val="Strong"/>
          <w:rFonts w:eastAsia="Calibri" w:ascii="Times New Roman" w:hAnsi="Times New Roman"/>
          <w:b w:val="false"/>
          <w:i w:val="false"/>
          <w:caps w:val="false"/>
          <w:smallCaps w:val="false"/>
          <w:color w:val="333333"/>
          <w:spacing w:val="0"/>
          <w:sz w:val="24"/>
          <w:szCs w:val="24"/>
          <w:shd w:fill="auto" w:val="clear"/>
        </w:rPr>
        <w:t>1</w:t>
      </w:r>
      <w:r>
        <w:rPr>
          <w:rStyle w:val="Strong"/>
          <w:rFonts w:eastAsia="Calibri" w:ascii="Times New Roman" w:hAnsi="Times New Roman"/>
          <w:b w:val="false"/>
          <w:i w:val="false"/>
          <w:caps w:val="false"/>
          <w:smallCaps w:val="false"/>
          <w:color w:val="333333"/>
          <w:spacing w:val="0"/>
          <w:sz w:val="24"/>
          <w:szCs w:val="24"/>
          <w:shd w:fill="auto" w:val="clear"/>
        </w:rPr>
        <w:t xml:space="preserve">.120 </w:t>
      </w:r>
      <w:r>
        <w:rPr>
          <w:rFonts w:ascii="Times New Roman" w:hAnsi="Times New Roman"/>
          <w:szCs w:val="24"/>
        </w:rPr>
        <w:t xml:space="preserve">Поставка </w:t>
      </w:r>
      <w:r>
        <w:rPr>
          <w:rFonts w:ascii="Times New Roman" w:hAnsi="Times New Roman"/>
          <w:szCs w:val="24"/>
        </w:rPr>
        <w:t>лакокрасочных</w:t>
      </w:r>
      <w:r>
        <w:rPr>
          <w:rFonts w:ascii="Times New Roman" w:hAnsi="Times New Roman"/>
          <w:szCs w:val="24"/>
        </w:rPr>
        <w:t xml:space="preserve"> материалов для выполнения работ на Саяно-Шушенской ГЭС</w:t>
      </w:r>
      <w:r>
        <w:rPr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(Далее продукция)</w:t>
      </w:r>
      <w:r>
        <w:rPr>
          <w:color w:val="auto"/>
          <w:szCs w:val="24"/>
        </w:rPr>
        <w:t>.</w:t>
      </w:r>
      <w:bookmarkStart w:id="2" w:name="_Toc75446569"/>
    </w:p>
    <w:p>
      <w:pPr>
        <w:pStyle w:val="Normal"/>
        <w:rPr/>
      </w:pPr>
      <w:r>
        <w:rPr/>
      </w:r>
    </w:p>
    <w:p>
      <w:pPr>
        <w:pStyle w:val="Heading4"/>
        <w:numPr>
          <w:ilvl w:val="1"/>
          <w:numId w:val="1"/>
        </w:numPr>
        <w:ind w:left="0" w:right="0" w:firstLine="709"/>
        <w:rPr/>
      </w:pPr>
      <w:bookmarkStart w:id="3" w:name="_Toc46743507"/>
      <w:r>
        <w:rPr/>
        <w:t xml:space="preserve">Цель </w:t>
      </w:r>
      <w:bookmarkEnd w:id="3"/>
      <w:r>
        <w:rPr/>
        <w:t xml:space="preserve">использования закупаемой продукции </w:t>
      </w:r>
      <w:bookmarkEnd w:id="2"/>
      <w:r>
        <w:rPr/>
        <w:t xml:space="preserve"> </w:t>
      </w:r>
    </w:p>
    <w:p>
      <w:pPr>
        <w:pStyle w:val="Normal"/>
        <w:ind w:left="0" w:right="0" w:firstLine="432"/>
        <w:jc w:val="both"/>
        <w:rPr>
          <w:rFonts w:eastAsia="Times New Roman" w:cs="Times New Roman"/>
          <w:bCs/>
          <w:szCs w:val="24"/>
          <w:shd w:fill="FFFFFF" w:val="clear"/>
          <w:lang w:eastAsia="ru-RU"/>
        </w:rPr>
      </w:pPr>
      <w:r>
        <w:rPr>
          <w:rFonts w:eastAsia="Times New Roman" w:cs="Times New Roman"/>
          <w:bCs/>
          <w:szCs w:val="24"/>
          <w:shd w:fill="FFFFFF" w:val="clear"/>
          <w:lang w:eastAsia="ru-RU"/>
        </w:rPr>
        <w:tab/>
        <w:t>Исполнение доходного договора:</w:t>
      </w:r>
    </w:p>
    <w:p>
      <w:pPr>
        <w:pStyle w:val="Normal"/>
        <w:ind w:left="0" w:right="0" w:firstLine="432"/>
        <w:jc w:val="both"/>
        <w:rPr>
          <w:szCs w:val="24"/>
        </w:rPr>
      </w:pPr>
      <w:r>
        <w:rPr>
          <w:szCs w:val="24"/>
        </w:rPr>
        <w:t xml:space="preserve">- </w:t>
      </w:r>
      <w:r>
        <w:rPr>
          <w:rStyle w:val="Style"/>
          <w:rFonts w:eastAsia="Times New Roman" w:cs="Times New Roman" w:ascii="Times New Roman;serif" w:hAnsi="Times New Roman;serif"/>
          <w:b w:val="false"/>
          <w:bCs/>
          <w:i w:val="false"/>
          <w:iCs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eastAsia="en-US"/>
        </w:rPr>
        <w:t>ВЗЛ ТПИР_ПРОЕКТ_ ЦОД СШГЭС «Строительство Центра обработки данных в производственном помещении филиала ПАО «РусГидро» – «СШГЭС»»</w:t>
      </w:r>
      <w:r>
        <w:rPr>
          <w:rStyle w:val="Style"/>
          <w:rFonts w:eastAsia="Times New Roman" w:cs="Times New Roman" w:ascii="Times New Roman;serif" w:hAnsi="Times New Roman;serif"/>
          <w:b w:val="false"/>
          <w:bCs/>
          <w:i w:val="false"/>
          <w:iCs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eastAsia="x-none"/>
        </w:rPr>
        <w:t>, заключенный между ПАО «РусГидро» и АО «Гидроремонт-ВКК».</w:t>
      </w:r>
    </w:p>
    <w:p>
      <w:pPr>
        <w:pStyle w:val="Normal"/>
        <w:ind w:left="0" w:right="0" w:firstLine="432"/>
        <w:jc w:val="both"/>
        <w:rPr>
          <w:szCs w:val="24"/>
        </w:rPr>
      </w:pPr>
      <w:r>
        <w:rPr>
          <w:rStyle w:val="Style"/>
          <w:rFonts w:eastAsia="Times New Roman" w:cs="Times New Roman" w:ascii="Times New Roman;serif" w:hAnsi="Times New Roman;serif"/>
          <w:b w:val="false"/>
          <w:bCs/>
          <w:i w:val="false"/>
          <w:iCs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eastAsia="x-none"/>
        </w:rPr>
        <w:t xml:space="preserve">- </w:t>
      </w:r>
      <w:r>
        <w:rPr>
          <w:rStyle w:val="Style"/>
          <w:rFonts w:eastAsia="Times New Roman" w:cs="Times New Roman" w:ascii="Times New Roman;serif" w:hAnsi="Times New Roman;serif"/>
          <w:b w:val="false"/>
          <w:bCs/>
          <w:i w:val="false"/>
          <w:iCs w:val="false"/>
          <w:caps w:val="false"/>
          <w:smallCaps w:val="false"/>
          <w:color w:val="000000"/>
          <w:spacing w:val="0"/>
          <w:sz w:val="24"/>
          <w:szCs w:val="24"/>
          <w:shd w:fill="FFFFFF" w:val="clear"/>
          <w:lang w:eastAsia="ru-RU"/>
        </w:rPr>
        <w:t xml:space="preserve">Лот 0026-ТПиР БЕЗОП-2026-СШГЭС </w:t>
      </w:r>
      <w:r>
        <w:rPr>
          <w:rStyle w:val="Style"/>
          <w:rFonts w:eastAsia="Times New Roman" w:cs="Times New Roman" w:ascii="Times New Roman;serif" w:hAnsi="Times New Roman;serif"/>
          <w:b w:val="false"/>
          <w:bCs/>
          <w:i w:val="false"/>
          <w:iCs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eastAsia="ru-RU"/>
        </w:rPr>
        <w:t xml:space="preserve">Модернизация комплекса инженерно-технических средств физической защиты Саяно-Шушенской ГЭС в районе берегового водосброса, левобережного примыкания плотины,Карлового лога и Майнской ГЭС в районе трансформаторной площадки, правобережной части плотины в рамках инвестиционного проекта Q_0117-8ОКПД2 27.90.1 (Обоснование закупки </w:t>
      </w:r>
      <w:r>
        <w:rPr>
          <w:rStyle w:val="Style"/>
          <w:rFonts w:eastAsia="Times New Roman" w:cs="Times New Roman" w:ascii="Times New Roman;serif" w:hAnsi="Times New Roman;serif"/>
          <w:b w:val="false"/>
          <w:bCs/>
          <w:i w:val="false"/>
          <w:iCs w:val="false"/>
          <w:caps w:val="false"/>
          <w:smallCaps w:val="false"/>
          <w:color w:val="2C2D2E"/>
          <w:spacing w:val="0"/>
          <w:sz w:val="24"/>
          <w:szCs w:val="24"/>
          <w:shd w:fill="auto" w:val="clear"/>
          <w:lang w:eastAsia="ru-RU"/>
        </w:rPr>
        <w:t xml:space="preserve">ВЗЛ между </w:t>
      </w:r>
      <w:r>
        <w:rPr>
          <w:rStyle w:val="Style"/>
          <w:rFonts w:eastAsia="Calibri" w:cs="Times New Roman" w:ascii="Times New Roman;serif" w:hAnsi="Times New Roman;serif"/>
          <w:b w:val="false"/>
          <w:bCs/>
          <w:i w:val="false"/>
          <w:iCs w:val="false"/>
          <w:caps w:val="false"/>
          <w:smallCaps w:val="false"/>
          <w:color w:val="2C2D2E"/>
          <w:spacing w:val="0"/>
          <w:sz w:val="24"/>
          <w:szCs w:val="24"/>
          <w:shd w:fill="auto" w:val="clear"/>
          <w:lang w:eastAsia="en-US"/>
        </w:rPr>
        <w:t>ПАО “РусГидро” и АО “Гидроремонт-ВКК”)</w:t>
      </w:r>
    </w:p>
    <w:p>
      <w:pPr>
        <w:pStyle w:val="Normal"/>
        <w:ind w:left="0" w:right="0" w:firstLine="432"/>
        <w:jc w:val="both"/>
        <w:rPr>
          <w:szCs w:val="24"/>
        </w:rPr>
      </w:pPr>
      <w:r>
        <w:rPr>
          <w:szCs w:val="24"/>
        </w:rPr>
      </w:r>
    </w:p>
    <w:p>
      <w:pPr>
        <w:pStyle w:val="Heading1"/>
        <w:numPr>
          <w:ilvl w:val="0"/>
          <w:numId w:val="1"/>
        </w:numPr>
        <w:ind w:left="0" w:right="0" w:firstLine="709"/>
        <w:rPr>
          <w:caps/>
          <w:lang w:val="ru-RU"/>
        </w:rPr>
      </w:pPr>
      <w:bookmarkStart w:id="4" w:name="_Toc51339693"/>
      <w:bookmarkStart w:id="5" w:name="_Toc75446573"/>
      <w:r>
        <w:rPr/>
        <w:t>Требования к продукции</w:t>
      </w:r>
      <w:bookmarkEnd w:id="4"/>
      <w:bookmarkEnd w:id="5"/>
    </w:p>
    <w:p>
      <w:pPr>
        <w:pStyle w:val="Heading4"/>
        <w:numPr>
          <w:ilvl w:val="1"/>
          <w:numId w:val="1"/>
        </w:numPr>
        <w:ind w:left="0" w:right="0" w:firstLine="709"/>
        <w:rPr/>
      </w:pPr>
      <w:bookmarkStart w:id="6" w:name="_Toc75446574"/>
      <w:r>
        <w:rPr/>
        <w:t xml:space="preserve">Требования к объемам и срокам </w:t>
      </w:r>
      <w:r>
        <w:rPr>
          <w:lang w:val="ru-RU"/>
        </w:rPr>
        <w:t>поставки</w:t>
      </w:r>
      <w:bookmarkEnd w:id="6"/>
    </w:p>
    <w:p>
      <w:pPr>
        <w:pStyle w:val="Heading3"/>
        <w:numPr>
          <w:ilvl w:val="2"/>
          <w:numId w:val="1"/>
        </w:numPr>
        <w:ind w:left="0" w:right="0" w:firstLine="709"/>
        <w:rPr/>
      </w:pPr>
      <w:bookmarkStart w:id="7" w:name="_Toc75446575"/>
      <w:r>
        <w:rPr/>
        <w:t>Перечень и объем закупаемой продукции</w:t>
      </w:r>
      <w:bookmarkEnd w:id="7"/>
    </w:p>
    <w:p>
      <w:pPr>
        <w:pStyle w:val="Normal"/>
        <w:ind w:left="0" w:right="0" w:firstLine="709"/>
        <w:rPr/>
      </w:pPr>
      <w:r>
        <w:rPr/>
      </w:r>
    </w:p>
    <w:p>
      <w:pPr>
        <w:pStyle w:val="Normal"/>
        <w:jc w:val="both"/>
        <w:rPr>
          <w:szCs w:val="24"/>
        </w:rPr>
      </w:pPr>
      <w:bookmarkStart w:id="8" w:name="_Toc75446576"/>
      <w:bookmarkStart w:id="9" w:name="_Toc51339695"/>
      <w:r>
        <w:rPr>
          <w:szCs w:val="24"/>
        </w:rPr>
        <w:t xml:space="preserve">Таблица 2.1 Перечень </w:t>
      </w:r>
      <w:bookmarkEnd w:id="9"/>
      <w:r>
        <w:rPr>
          <w:szCs w:val="24"/>
        </w:rPr>
        <w:t>и объем закупаемой продукци</w:t>
      </w:r>
      <w:bookmarkEnd w:id="8"/>
      <w:r>
        <w:rPr>
          <w:szCs w:val="24"/>
        </w:rPr>
        <w:t>и</w:t>
      </w:r>
    </w:p>
    <w:p>
      <w:pPr>
        <w:pStyle w:val="Normal"/>
        <w:jc w:val="both"/>
        <w:rPr>
          <w:szCs w:val="24"/>
        </w:rPr>
      </w:pPr>
      <w:r>
        <w:rPr>
          <w:szCs w:val="24"/>
        </w:rPr>
      </w:r>
    </w:p>
    <w:tbl>
      <w:tblPr>
        <w:tblW w:w="9463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5"/>
        <w:gridCol w:w="5974"/>
        <w:gridCol w:w="1304"/>
        <w:gridCol w:w="1409"/>
      </w:tblGrid>
      <w:tr>
        <w:trPr>
          <w:trHeight w:val="567" w:hRule="atLeast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/>
                <w:kern w:val="0"/>
                <w:sz w:val="24"/>
                <w:szCs w:val="24"/>
                <w:lang w:val="ru-RU" w:eastAsia="en-US" w:bidi="ar-SA"/>
              </w:rPr>
              <w:t>№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/>
                <w:kern w:val="0"/>
                <w:sz w:val="24"/>
                <w:szCs w:val="24"/>
                <w:lang w:val="ru-RU" w:eastAsia="en-US" w:bidi="ar-SA"/>
              </w:rPr>
              <w:t>п/п</w:t>
            </w:r>
          </w:p>
        </w:tc>
        <w:tc>
          <w:tcPr>
            <w:tcW w:w="5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/>
                <w:kern w:val="0"/>
                <w:sz w:val="24"/>
                <w:szCs w:val="24"/>
                <w:lang w:val="ru-RU" w:eastAsia="en-US" w:bidi="ar-SA"/>
              </w:rPr>
              <w:t>Наименование продукции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/>
                <w:kern w:val="0"/>
                <w:sz w:val="24"/>
                <w:szCs w:val="24"/>
                <w:lang w:val="ru-RU" w:eastAsia="en-US" w:bidi="ar-SA"/>
              </w:rPr>
              <w:t>Единица измерения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/>
                <w:kern w:val="0"/>
                <w:sz w:val="24"/>
                <w:szCs w:val="24"/>
                <w:lang w:val="ru-RU" w:eastAsia="en-US" w:bidi="ar-SA"/>
              </w:rPr>
              <w:t>Количество</w:t>
            </w:r>
          </w:p>
        </w:tc>
      </w:tr>
      <w:tr>
        <w:trPr/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/>
                <w:b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5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/>
                <w:b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/>
                <w:b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/>
                <w:b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</w:tr>
      <w:tr>
        <w:trPr>
          <w:trHeight w:val="274" w:hRule="atLeast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113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kern w:val="0"/>
                <w:sz w:val="24"/>
                <w:szCs w:val="24"/>
                <w:lang w:val="ru-RU" w:eastAsia="en-US" w:bidi="ar-SA"/>
              </w:rPr>
              <w:t>1</w:t>
            </w:r>
            <w:r>
              <w:rPr>
                <w:rFonts w:eastAsia="Calibri"/>
                <w:kern w:val="0"/>
                <w:sz w:val="24"/>
                <w:szCs w:val="24"/>
                <w:lang w:val="ru-RU" w:eastAsia="en-US" w:bidi="ar-SA"/>
              </w:rPr>
              <w:t>.</w:t>
            </w:r>
          </w:p>
        </w:tc>
        <w:tc>
          <w:tcPr>
            <w:tcW w:w="59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em w:val="none"/>
                <w:lang w:val="ru-RU" w:eastAsia="en-US" w:bidi="ar-SA"/>
              </w:rPr>
              <w:t>К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раска ВД интерьерная влагостойкая ТЕКС (глубокоматовая)</w:t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2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color w:val="000000"/>
                <w:kern w:val="0"/>
                <w:sz w:val="24"/>
                <w:szCs w:val="24"/>
                <w:lang w:val="ru-RU" w:eastAsia="en-US" w:bidi="ar-SA"/>
              </w:rPr>
              <w:t>кг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2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color w:val="000000"/>
                <w:kern w:val="0"/>
                <w:sz w:val="24"/>
                <w:szCs w:val="24"/>
                <w:lang w:val="ru-RU" w:eastAsia="en-US" w:bidi="ar-SA"/>
              </w:rPr>
              <w:t>713,8</w:t>
            </w:r>
          </w:p>
        </w:tc>
      </w:tr>
      <w:tr>
        <w:trPr>
          <w:trHeight w:val="263" w:hRule="atLeast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113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kern w:val="0"/>
                <w:sz w:val="24"/>
                <w:szCs w:val="24"/>
                <w:lang w:val="ru-RU" w:eastAsia="en-US" w:bidi="ar-SA"/>
              </w:rPr>
              <w:t>2.</w:t>
            </w:r>
          </w:p>
        </w:tc>
        <w:tc>
          <w:tcPr>
            <w:tcW w:w="59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em w:val="none"/>
                <w:lang w:val="ru-RU" w:eastAsia="en-US" w:bidi="ar-SA"/>
              </w:rPr>
              <w:t>Г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рунтовка 2-в-1 глубокого проникновения ТЕКС Универсальная</w:t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2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color w:val="000000"/>
                <w:kern w:val="0"/>
                <w:position w:val="0"/>
                <w:sz w:val="24"/>
                <w:sz w:val="24"/>
                <w:szCs w:val="24"/>
                <w:vertAlign w:val="baseline"/>
                <w:lang w:val="ru-RU" w:eastAsia="en-US" w:bidi="ar-SA"/>
              </w:rPr>
              <w:t>л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2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color w:val="000000"/>
                <w:kern w:val="0"/>
                <w:sz w:val="24"/>
                <w:szCs w:val="24"/>
                <w:lang w:val="ru-RU" w:eastAsia="en-US" w:bidi="ar-SA"/>
              </w:rPr>
              <w:t>594,80</w:t>
            </w:r>
          </w:p>
        </w:tc>
      </w:tr>
      <w:tr>
        <w:trPr>
          <w:trHeight w:val="263" w:hRule="atLeast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113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kern w:val="0"/>
                <w:sz w:val="24"/>
                <w:szCs w:val="24"/>
                <w:lang w:val="ru-RU" w:eastAsia="en-US" w:bidi="ar-SA"/>
              </w:rPr>
              <w:t>3</w:t>
            </w:r>
            <w:r>
              <w:rPr>
                <w:rFonts w:eastAsia="Calibri"/>
                <w:kern w:val="0"/>
                <w:sz w:val="24"/>
                <w:szCs w:val="24"/>
                <w:lang w:val="ru-RU" w:eastAsia="en-US" w:bidi="ar-SA"/>
              </w:rPr>
              <w:t>.</w:t>
            </w:r>
          </w:p>
        </w:tc>
        <w:tc>
          <w:tcPr>
            <w:tcW w:w="59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em w:val="none"/>
                <w:lang w:val="ru-RU" w:eastAsia="en-US" w:bidi="ar-SA"/>
              </w:rPr>
              <w:t>Г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рунтовка (серая), ГФ-021</w:t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2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color w:val="000000"/>
                <w:kern w:val="0"/>
                <w:sz w:val="24"/>
                <w:szCs w:val="24"/>
                <w:lang w:val="ru-RU" w:eastAsia="en-US" w:bidi="ar-SA"/>
              </w:rPr>
              <w:t>кг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2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color w:val="000000"/>
                <w:kern w:val="0"/>
                <w:sz w:val="24"/>
                <w:szCs w:val="24"/>
                <w:lang w:val="ru-RU" w:eastAsia="en-US" w:bidi="ar-SA"/>
              </w:rPr>
              <w:t>0,4</w:t>
            </w:r>
          </w:p>
        </w:tc>
      </w:tr>
      <w:tr>
        <w:trPr>
          <w:trHeight w:val="263" w:hRule="atLeast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113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kern w:val="0"/>
                <w:sz w:val="24"/>
                <w:szCs w:val="24"/>
                <w:lang w:val="ru-RU" w:eastAsia="en-US" w:bidi="ar-SA"/>
              </w:rPr>
              <w:t>4</w:t>
            </w:r>
            <w:r>
              <w:rPr>
                <w:rFonts w:eastAsia="Calibri"/>
                <w:kern w:val="0"/>
                <w:sz w:val="24"/>
                <w:szCs w:val="24"/>
                <w:lang w:val="ru-RU" w:eastAsia="en-US" w:bidi="ar-SA"/>
              </w:rPr>
              <w:t>.</w:t>
            </w:r>
          </w:p>
        </w:tc>
        <w:tc>
          <w:tcPr>
            <w:tcW w:w="59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em w:val="none"/>
                <w:lang w:val="ru-RU" w:eastAsia="en-US" w:bidi="ar-SA"/>
              </w:rPr>
              <w:t>К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раска (серая), ПФ-115</w:t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2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color w:val="000000"/>
                <w:kern w:val="0"/>
                <w:sz w:val="24"/>
                <w:szCs w:val="24"/>
                <w:lang w:val="ru-RU" w:eastAsia="en-US" w:bidi="ar-SA"/>
              </w:rPr>
              <w:t>кг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2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color w:val="000000"/>
                <w:kern w:val="0"/>
                <w:sz w:val="24"/>
                <w:szCs w:val="24"/>
                <w:lang w:val="ru-RU" w:eastAsia="en-US" w:bidi="ar-SA"/>
              </w:rPr>
              <w:t>0,7</w:t>
            </w:r>
          </w:p>
        </w:tc>
      </w:tr>
      <w:tr>
        <w:trPr>
          <w:trHeight w:val="263" w:hRule="atLeast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113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kern w:val="0"/>
                <w:sz w:val="24"/>
                <w:szCs w:val="24"/>
                <w:lang w:val="ru-RU" w:eastAsia="en-US" w:bidi="ar-SA"/>
              </w:rPr>
              <w:t>5.</w:t>
            </w:r>
          </w:p>
        </w:tc>
        <w:tc>
          <w:tcPr>
            <w:tcW w:w="59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em w:val="none"/>
                <w:lang w:val="ru-RU" w:eastAsia="en-US" w:bidi="ar-SA"/>
              </w:rPr>
              <w:t>К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омпозиция цинконаполненная ЦИНОЛ</w:t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2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color w:val="000000"/>
                <w:kern w:val="0"/>
                <w:sz w:val="24"/>
                <w:szCs w:val="24"/>
                <w:lang w:val="ru-RU" w:eastAsia="en-US" w:bidi="ar-SA"/>
              </w:rPr>
              <w:t>кг</w:t>
            </w:r>
          </w:p>
        </w:tc>
        <w:tc>
          <w:tcPr>
            <w:tcW w:w="14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2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color w:val="000000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</w:tr>
    </w:tbl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Heading3"/>
        <w:numPr>
          <w:ilvl w:val="2"/>
          <w:numId w:val="1"/>
        </w:numPr>
        <w:ind w:left="0" w:right="0" w:firstLine="709"/>
        <w:rPr>
          <w:color w:val="auto"/>
        </w:rPr>
      </w:pPr>
      <w:r>
        <w:rPr>
          <w:color w:val="auto"/>
        </w:rPr>
        <w:t xml:space="preserve">Требования к срокам поставки продукции </w:t>
      </w:r>
    </w:p>
    <w:p>
      <w:pPr>
        <w:pStyle w:val="Normal"/>
        <w:rPr>
          <w:color w:val="auto"/>
        </w:rPr>
      </w:pPr>
      <w:bookmarkStart w:id="10" w:name="_Toc75446579"/>
      <w:bookmarkStart w:id="11" w:name="_Toc51339697"/>
      <w:bookmarkStart w:id="12" w:name="_Toc50125127"/>
      <w:r>
        <w:rPr>
          <w:rFonts w:eastAsia="Calibri"/>
          <w:color w:val="auto"/>
          <w:szCs w:val="24"/>
          <w:lang w:eastAsia="x-none"/>
        </w:rPr>
        <w:t xml:space="preserve">Таблица 2.2 </w:t>
      </w:r>
      <w:bookmarkStart w:id="13" w:name="_Hlk50465284"/>
      <w:r>
        <w:rPr>
          <w:rFonts w:eastAsia="Calibri"/>
          <w:color w:val="auto"/>
          <w:szCs w:val="24"/>
          <w:lang w:eastAsia="x-none"/>
        </w:rPr>
        <w:t xml:space="preserve">Требования по срокам </w:t>
      </w:r>
      <w:bookmarkEnd w:id="11"/>
      <w:bookmarkEnd w:id="12"/>
      <w:bookmarkEnd w:id="13"/>
      <w:r>
        <w:rPr>
          <w:rFonts w:eastAsia="Calibri"/>
          <w:color w:val="auto"/>
          <w:szCs w:val="24"/>
          <w:lang w:eastAsia="x-none"/>
        </w:rPr>
        <w:t>поставки продукции</w:t>
      </w:r>
      <w:bookmarkEnd w:id="10"/>
    </w:p>
    <w:p>
      <w:pPr>
        <w:pStyle w:val="Normal"/>
        <w:rPr>
          <w:color w:val="auto"/>
        </w:rPr>
      </w:pPr>
      <w:r>
        <w:rPr>
          <w:rFonts w:eastAsia="Calibri"/>
          <w:color w:val="auto"/>
          <w:szCs w:val="24"/>
          <w:lang w:eastAsia="x-none"/>
        </w:rPr>
        <w:t xml:space="preserve"> </w:t>
      </w:r>
    </w:p>
    <w:tbl>
      <w:tblPr>
        <w:tblW w:w="9525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4137"/>
        <w:gridCol w:w="2386"/>
        <w:gridCol w:w="2326"/>
      </w:tblGrid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color w:val="auto"/>
                <w:szCs w:val="24"/>
              </w:rPr>
              <w:t xml:space="preserve">№ </w:t>
            </w:r>
            <w:r>
              <w:rPr>
                <w:color w:val="auto"/>
                <w:szCs w:val="24"/>
              </w:rPr>
              <w:t>п/п</w:t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color w:val="auto"/>
                <w:szCs w:val="24"/>
              </w:rPr>
              <w:t>Наименование продукции / партии продукции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color w:val="auto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color w:val="auto"/>
                <w:szCs w:val="24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b/>
                <w:color w:val="auto"/>
              </w:rPr>
              <w:t>1</w:t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b/>
                <w:color w:val="auto"/>
              </w:rPr>
              <w:t>2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b/>
                <w:color w:val="auto"/>
              </w:rPr>
              <w:t>3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b/>
                <w:color w:val="auto"/>
              </w:rPr>
              <w:t>4</w:t>
            </w:r>
          </w:p>
        </w:tc>
      </w:tr>
      <w:tr>
        <w:trPr>
          <w:trHeight w:val="1426" w:hRule="atLeas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113" w:right="0" w:hanging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1.</w:t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0"/>
              </w:numPr>
              <w:tabs>
                <w:tab w:val="clear" w:pos="708"/>
                <w:tab w:val="left" w:pos="900" w:leader="none"/>
              </w:tabs>
              <w:suppressAutoHyphens w:val="true"/>
              <w:bidi w:val="0"/>
              <w:spacing w:lineRule="auto" w:line="276" w:before="0" w:after="0"/>
              <w:ind w:left="-397" w:right="0" w:hanging="0"/>
              <w:jc w:val="center"/>
              <w:outlineLvl w:val="0"/>
              <w:rPr/>
            </w:pPr>
            <w:r>
              <w:rPr>
                <w:rFonts w:eastAsia="Calibri" w:ascii="Times New Roman" w:hAnsi="Times New Roman"/>
                <w:color w:val="000000"/>
                <w:sz w:val="24"/>
                <w:szCs w:val="24"/>
                <w:shd w:fill="auto" w:val="clear"/>
              </w:rPr>
              <w:t xml:space="preserve">ОКПД2 </w:t>
            </w:r>
            <w:r>
              <w:rPr>
                <w:rStyle w:val="Strong"/>
                <w:rFonts w:eastAsia="Calibri" w:ascii="Times New Roman" w:hAnsi="Times New Roman"/>
                <w:b w:val="false"/>
                <w:i w:val="false"/>
                <w:caps w:val="false"/>
                <w:smallCaps w:val="false"/>
                <w:color w:val="333333"/>
                <w:spacing w:val="0"/>
                <w:sz w:val="24"/>
                <w:szCs w:val="24"/>
                <w:shd w:fill="auto" w:val="clear"/>
              </w:rPr>
              <w:t>20.30.1</w:t>
            </w:r>
            <w:r>
              <w:rPr>
                <w:rStyle w:val="Strong"/>
                <w:rFonts w:eastAsia="Calibri" w:ascii="Times New Roman" w:hAnsi="Times New Roman"/>
                <w:b w:val="false"/>
                <w:i w:val="false"/>
                <w:caps w:val="false"/>
                <w:smallCaps w:val="false"/>
                <w:color w:val="333333"/>
                <w:spacing w:val="0"/>
                <w:sz w:val="24"/>
                <w:szCs w:val="24"/>
                <w:shd w:fill="auto" w:val="clear"/>
              </w:rPr>
              <w:t>1</w:t>
            </w:r>
            <w:r>
              <w:rPr>
                <w:rStyle w:val="Strong"/>
                <w:rFonts w:eastAsia="Calibri" w:ascii="Times New Roman" w:hAnsi="Times New Roman"/>
                <w:b w:val="false"/>
                <w:i w:val="false"/>
                <w:caps w:val="false"/>
                <w:smallCaps w:val="false"/>
                <w:color w:val="333333"/>
                <w:spacing w:val="0"/>
                <w:sz w:val="24"/>
                <w:szCs w:val="24"/>
                <w:shd w:fill="auto" w:val="clear"/>
              </w:rPr>
              <w:t xml:space="preserve">.120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Поставка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лакокрасочных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материалов для выполнения работ на Саяно-Шушенской ГЭС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В течении </w:t>
            </w:r>
            <w:r>
              <w:rPr>
                <w:color w:val="000000"/>
                <w:sz w:val="24"/>
                <w:szCs w:val="24"/>
                <w:shd w:fill="FFFF00" w:val="clear"/>
              </w:rPr>
              <w:t>30</w:t>
            </w:r>
            <w:r>
              <w:rPr>
                <w:color w:val="auto"/>
                <w:sz w:val="24"/>
                <w:szCs w:val="24"/>
              </w:rPr>
              <w:t xml:space="preserve"> календарных дней с даты подписания договора</w:t>
            </w:r>
          </w:p>
        </w:tc>
      </w:tr>
    </w:tbl>
    <w:p>
      <w:pPr>
        <w:sectPr>
          <w:footerReference w:type="default" r:id="rId2"/>
          <w:type w:val="nextPage"/>
          <w:pgSz w:w="11906" w:h="16838"/>
          <w:pgMar w:left="1701" w:right="851" w:gutter="0" w:header="0" w:top="1134" w:footer="709" w:bottom="1134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Normal"/>
        <w:rPr>
          <w:rFonts w:eastAsia="Calibri"/>
          <w:szCs w:val="24"/>
          <w:lang w:eastAsia="x-none"/>
        </w:rPr>
      </w:pPr>
      <w:bookmarkStart w:id="14" w:name="_Toc75446582"/>
      <w:bookmarkStart w:id="15" w:name="_Toc54785622"/>
      <w:bookmarkEnd w:id="15"/>
      <w:r>
        <w:rPr>
          <w:rFonts w:eastAsia="Calibri"/>
          <w:szCs w:val="24"/>
          <w:lang w:eastAsia="x-none"/>
        </w:rPr>
        <w:t xml:space="preserve">          </w:t>
      </w:r>
      <w:r>
        <w:rPr>
          <w:rFonts w:eastAsia="Calibri"/>
          <w:szCs w:val="24"/>
          <w:lang w:eastAsia="x-none"/>
        </w:rPr>
        <w:t>Таблица 2.3. Требования к продукции</w:t>
      </w:r>
      <w:bookmarkEnd w:id="14"/>
    </w:p>
    <w:tbl>
      <w:tblPr>
        <w:tblW w:w="151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1"/>
        <w:gridCol w:w="5454"/>
        <w:gridCol w:w="3174"/>
        <w:gridCol w:w="2950"/>
        <w:gridCol w:w="2889"/>
      </w:tblGrid>
      <w:tr>
        <w:trPr>
          <w:trHeight w:val="20" w:hRule="atLeast"/>
        </w:trPr>
        <w:tc>
          <w:tcPr>
            <w:tcW w:w="151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 xml:space="preserve">Наименование продукции (позиции № 1.1.-1.106. Таблицы 2.1): </w:t>
            </w:r>
            <w:r>
              <w:rPr>
                <w:rFonts w:eastAsia="Calibri" w:ascii="Times New Roman" w:hAnsi="Times New Roman"/>
                <w:b/>
                <w:bCs/>
                <w:color w:val="000000"/>
                <w:sz w:val="24"/>
                <w:szCs w:val="24"/>
                <w:shd w:fill="auto" w:val="clear"/>
              </w:rPr>
              <w:t xml:space="preserve">ОКПД2 </w:t>
            </w:r>
            <w:r>
              <w:rPr>
                <w:rStyle w:val="Strong"/>
                <w:rFonts w:eastAsia="Calibri" w:ascii="Times New Roman" w:hAnsi="Times New Roman"/>
                <w:b w:val="false"/>
                <w:i w:val="false"/>
                <w:caps w:val="false"/>
                <w:smallCaps w:val="false"/>
                <w:color w:val="333333"/>
                <w:spacing w:val="0"/>
                <w:sz w:val="24"/>
                <w:szCs w:val="24"/>
                <w:shd w:fill="auto" w:val="clear"/>
              </w:rPr>
              <w:t>20.30.1</w:t>
            </w:r>
            <w:r>
              <w:rPr>
                <w:rStyle w:val="Strong"/>
                <w:rFonts w:eastAsia="Calibri" w:ascii="Times New Roman" w:hAnsi="Times New Roman"/>
                <w:b w:val="false"/>
                <w:i w:val="false"/>
                <w:caps w:val="false"/>
                <w:smallCaps w:val="false"/>
                <w:color w:val="333333"/>
                <w:spacing w:val="0"/>
                <w:sz w:val="24"/>
                <w:szCs w:val="24"/>
                <w:shd w:fill="auto" w:val="clear"/>
              </w:rPr>
              <w:t>1</w:t>
            </w:r>
            <w:r>
              <w:rPr>
                <w:rStyle w:val="Strong"/>
                <w:rFonts w:eastAsia="Calibri" w:ascii="Times New Roman" w:hAnsi="Times New Roman"/>
                <w:b w:val="false"/>
                <w:i w:val="false"/>
                <w:caps w:val="false"/>
                <w:smallCaps w:val="false"/>
                <w:color w:val="333333"/>
                <w:spacing w:val="0"/>
                <w:sz w:val="24"/>
                <w:szCs w:val="24"/>
                <w:shd w:fill="auto" w:val="clear"/>
              </w:rPr>
              <w:t xml:space="preserve">.120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Поставка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лакокрасочных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материалов для выполнения работ на Саяно-Шушенской ГЭС</w:t>
            </w:r>
          </w:p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900" w:leader="none"/>
              </w:tabs>
              <w:spacing w:lineRule="auto" w:line="276"/>
              <w:ind w:left="0" w:right="0" w:hanging="0"/>
              <w:jc w:val="center"/>
              <w:outlineLvl w:val="0"/>
              <w:rPr>
                <w:szCs w:val="24"/>
              </w:rPr>
            </w:pPr>
            <w:r>
              <w:rPr>
                <w:rFonts w:eastAsia="Calibri"/>
                <w:b/>
                <w:bCs/>
                <w:szCs w:val="24"/>
                <w:shd w:fill="auto" w:val="clear"/>
              </w:rPr>
              <w:t>Строительные материалы</w:t>
            </w:r>
            <w:r>
              <w:rPr>
                <w:b/>
                <w:bCs/>
                <w:color w:val="000000"/>
                <w:szCs w:val="24"/>
                <w:shd w:fill="auto" w:val="clear"/>
              </w:rPr>
              <w:t xml:space="preserve"> </w:t>
            </w:r>
            <w:r>
              <w:rPr>
                <w:b/>
                <w:bCs/>
                <w:color w:val="auto"/>
                <w:szCs w:val="24"/>
              </w:rPr>
              <w:t>для выполнения работ на Саяно-Шушенской  ГЭС</w:t>
            </w:r>
          </w:p>
        </w:tc>
      </w:tr>
      <w:tr>
        <w:trPr>
          <w:trHeight w:val="10" w:hRule="atLeast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№ </w:t>
            </w:r>
            <w:r>
              <w:rPr>
                <w:b/>
                <w:szCs w:val="24"/>
              </w:rPr>
              <w:t>п/п</w:t>
            </w: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Наименование продукции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Cs w:val="24"/>
              </w:rPr>
            </w:pPr>
            <w:r>
              <w:rPr>
                <w:b/>
                <w:bCs/>
                <w:szCs w:val="24"/>
              </w:rPr>
              <w:t>Наименование параметра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b/>
                <w:bCs/>
                <w:szCs w:val="24"/>
              </w:rPr>
              <w:t>Требование заказчика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Соответствие</w:t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стандартам</w:t>
            </w:r>
          </w:p>
        </w:tc>
      </w:tr>
      <w:tr>
        <w:trPr>
          <w:trHeight w:val="20" w:hRule="atLeast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</w:t>
            </w: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DotumChe"/>
                <w:b/>
                <w:szCs w:val="24"/>
              </w:rPr>
            </w:pPr>
            <w:r>
              <w:rPr>
                <w:rFonts w:eastAsia="DotumChe"/>
                <w:b/>
                <w:szCs w:val="24"/>
              </w:rPr>
              <w:t>4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DotumChe"/>
                <w:b/>
                <w:szCs w:val="24"/>
              </w:rPr>
            </w:pPr>
            <w:r>
              <w:rPr>
                <w:rFonts w:eastAsia="DotumChe"/>
                <w:b/>
                <w:szCs w:val="24"/>
              </w:rPr>
              <w:t>5</w:t>
            </w:r>
          </w:p>
        </w:tc>
      </w:tr>
      <w:tr>
        <w:trPr>
          <w:trHeight w:val="20" w:hRule="atLeast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C9211E"/>
              </w:rPr>
            </w:pPr>
            <w:r>
              <w:rPr>
                <w:b/>
                <w:szCs w:val="24"/>
              </w:rPr>
              <w:t>1.</w:t>
            </w:r>
          </w:p>
        </w:tc>
        <w:tc>
          <w:tcPr>
            <w:tcW w:w="144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DotumChe"/>
                <w:b/>
                <w:szCs w:val="24"/>
              </w:rPr>
            </w:pPr>
            <w:r>
              <w:rPr>
                <w:b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>
        <w:trPr>
          <w:trHeight w:val="28" w:hRule="atLeast"/>
        </w:trPr>
        <w:tc>
          <w:tcPr>
            <w:tcW w:w="72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  <w:r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545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em w:val="none"/>
                <w:lang w:val="ru-RU" w:eastAsia="en-US" w:bidi="ar-SA"/>
              </w:rPr>
              <w:t>К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раска ВД интерьерная влагостойкая ТЕКС (глубокоматовая)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31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Марка</w:t>
            </w:r>
          </w:p>
        </w:tc>
        <w:tc>
          <w:tcPr>
            <w:tcW w:w="29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42"/>
              <w:widowControl w:val="false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  <w:em w:val="none"/>
              </w:rPr>
              <w:t>ТЕКС</w:t>
            </w:r>
          </w:p>
        </w:tc>
        <w:tc>
          <w:tcPr>
            <w:tcW w:w="288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>
          <w:trHeight w:val="28" w:hRule="atLeast"/>
        </w:trPr>
        <w:tc>
          <w:tcPr>
            <w:tcW w:w="72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545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</w:t>
            </w:r>
          </w:p>
        </w:tc>
        <w:tc>
          <w:tcPr>
            <w:tcW w:w="29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42"/>
              <w:widowControl w:val="false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b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sz w:val="24"/>
                <w:szCs w:val="24"/>
                <w:u w:val="none"/>
                <w:em w:val="none"/>
              </w:rPr>
              <w:t>водно-дисперсионная</w:t>
            </w:r>
          </w:p>
        </w:tc>
        <w:tc>
          <w:tcPr>
            <w:tcW w:w="288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8" w:hRule="atLeast"/>
        </w:trPr>
        <w:tc>
          <w:tcPr>
            <w:tcW w:w="72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545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Степень блеска</w:t>
            </w:r>
          </w:p>
        </w:tc>
        <w:tc>
          <w:tcPr>
            <w:tcW w:w="29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42"/>
              <w:widowControl w:val="false"/>
              <w:jc w:val="center"/>
              <w:rPr>
                <w:rFonts w:ascii="Times New Roman" w:hAnsi="Times New Roman" w:eastAsia="Calibri" w:cs="Tahoma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kern w:val="0"/>
                <w:sz w:val="24"/>
                <w:szCs w:val="24"/>
                <w:u w:val="none"/>
                <w:em w:val="none"/>
                <w:lang w:val="ru-RU" w:eastAsia="en-US" w:bidi="ar-SA"/>
              </w:rPr>
            </w:pPr>
            <w:r>
              <w:rPr>
                <w:rFonts w:eastAsia="Calibri" w:cs="Tahoma"/>
                <w:b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kern w:val="0"/>
                <w:sz w:val="24"/>
                <w:szCs w:val="24"/>
                <w:u w:val="none"/>
                <w:em w:val="none"/>
                <w:lang w:val="ru-RU" w:eastAsia="en-US" w:bidi="ar-SA"/>
              </w:rPr>
              <w:t>глубокоматовый</w:t>
            </w:r>
          </w:p>
        </w:tc>
        <w:tc>
          <w:tcPr>
            <w:tcW w:w="288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8" w:hRule="atLeast"/>
        </w:trPr>
        <w:tc>
          <w:tcPr>
            <w:tcW w:w="72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545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</w:t>
            </w:r>
          </w:p>
        </w:tc>
        <w:tc>
          <w:tcPr>
            <w:tcW w:w="29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42"/>
              <w:widowControl w:val="false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color w:val="000000"/>
              </w:rPr>
              <w:t>белый</w:t>
            </w:r>
          </w:p>
        </w:tc>
        <w:tc>
          <w:tcPr>
            <w:tcW w:w="288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4" w:hRule="atLeast"/>
        </w:trPr>
        <w:tc>
          <w:tcPr>
            <w:tcW w:w="72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545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Влагостойкость</w:t>
            </w:r>
          </w:p>
        </w:tc>
        <w:tc>
          <w:tcPr>
            <w:tcW w:w="29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none"/>
                <w:em w:val="none"/>
              </w:rPr>
              <w:t>Да</w:t>
            </w:r>
          </w:p>
        </w:tc>
        <w:tc>
          <w:tcPr>
            <w:tcW w:w="288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4" w:hRule="atLeast"/>
        </w:trPr>
        <w:tc>
          <w:tcPr>
            <w:tcW w:w="72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545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Особенности</w:t>
            </w:r>
          </w:p>
        </w:tc>
        <w:tc>
          <w:tcPr>
            <w:tcW w:w="29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/>
            </w:pPr>
            <w:hyperlink r:id="rId3">
              <w:r>
                <w:rPr>
                  <w:rStyle w:val="Hyperlink"/>
                  <w:rFonts w:eastAsia="Calibri" w:cs="Tahoma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outline w:val="false"/>
                  <w:shadow w:val="false"/>
                  <w:color w:val="000000"/>
                  <w:spacing w:val="0"/>
                  <w:kern w:val="0"/>
                  <w:sz w:val="24"/>
                  <w:szCs w:val="24"/>
                  <w:u w:val="none"/>
                  <w:em w:val="none"/>
                  <w:lang w:val="ru-RU" w:eastAsia="en-US" w:bidi="ar-SA"/>
                </w:rPr>
                <w:t>Моющаяся</w:t>
              </w:r>
            </w:hyperlink>
            <w:r>
              <w:rPr>
                <w:rFonts w:eastAsia="Calibri" w:cs="Tahoma"/>
                <w:b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kern w:val="0"/>
                <w:sz w:val="24"/>
                <w:szCs w:val="24"/>
                <w:u w:val="none"/>
                <w:em w:val="none"/>
                <w:lang w:val="ru-RU" w:eastAsia="en-US" w:bidi="ar-SA"/>
              </w:rPr>
              <w:t>, б</w:t>
            </w:r>
            <w:hyperlink r:id="rId4">
              <w:r>
                <w:rPr>
                  <w:rStyle w:val="Hyperlink"/>
                  <w:rFonts w:eastAsia="Calibri" w:cs="Tahoma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outline w:val="false"/>
                  <w:shadow w:val="false"/>
                  <w:color w:val="000000"/>
                  <w:spacing w:val="0"/>
                  <w:kern w:val="0"/>
                  <w:sz w:val="24"/>
                  <w:szCs w:val="24"/>
                  <w:u w:val="none"/>
                  <w:em w:val="none"/>
                  <w:lang w:val="ru-RU" w:eastAsia="en-US" w:bidi="ar-SA"/>
                </w:rPr>
                <w:t>ыстросохнущая</w:t>
              </w:r>
            </w:hyperlink>
            <w:r>
              <w:rPr>
                <w:rFonts w:eastAsia="Calibri" w:cs="Tahoma"/>
                <w:b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kern w:val="0"/>
                <w:sz w:val="24"/>
                <w:szCs w:val="24"/>
                <w:u w:val="none"/>
                <w:em w:val="none"/>
                <w:lang w:val="ru-RU" w:eastAsia="en-US" w:bidi="ar-SA"/>
              </w:rPr>
              <w:t>, без запаха, влагостойкая</w:t>
            </w:r>
          </w:p>
        </w:tc>
        <w:tc>
          <w:tcPr>
            <w:tcW w:w="28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1" w:hRule="atLeast"/>
        </w:trPr>
        <w:tc>
          <w:tcPr>
            <w:tcW w:w="72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  <w:r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545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 w:val="false"/>
                <w:i w:val="false"/>
                <w:strike w:val="false"/>
                <w:dstrike w:val="false"/>
                <w:outline w:val="false"/>
                <w:shadow w:val="false"/>
                <w:kern w:val="0"/>
                <w:sz w:val="24"/>
                <w:szCs w:val="24"/>
                <w:u w:val="none"/>
                <w:em w:val="none"/>
                <w:lang w:val="ru-RU" w:eastAsia="en-US" w:bidi="ar-SA"/>
              </w:rPr>
              <w:t>Г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рунтовка 2-в-1 глубокого проникновения ТЕКС Универсальная</w:t>
            </w:r>
          </w:p>
        </w:tc>
        <w:tc>
          <w:tcPr>
            <w:tcW w:w="31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Марка</w:t>
            </w:r>
          </w:p>
        </w:tc>
        <w:tc>
          <w:tcPr>
            <w:tcW w:w="29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42"/>
              <w:widowControl w:val="false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  <w:em w:val="none"/>
              </w:rPr>
              <w:t>ТЕКС Универсал</w:t>
            </w:r>
          </w:p>
        </w:tc>
        <w:tc>
          <w:tcPr>
            <w:tcW w:w="288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1" w:hRule="atLeast"/>
        </w:trPr>
        <w:tc>
          <w:tcPr>
            <w:tcW w:w="72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545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Тип</w:t>
            </w:r>
          </w:p>
        </w:tc>
        <w:tc>
          <w:tcPr>
            <w:tcW w:w="29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42"/>
              <w:widowControl w:val="false"/>
              <w:jc w:val="center"/>
              <w:rPr>
                <w:rFonts w:ascii="Times New Roman" w:hAnsi="Times New Roman" w:eastAsia="Calibri" w:cs="Tahoma"/>
                <w:color w:val="000000"/>
                <w:kern w:val="0"/>
                <w:sz w:val="24"/>
                <w:szCs w:val="22"/>
                <w:lang w:val="ru-RU" w:eastAsia="en-US" w:bidi="ar-SA"/>
              </w:rPr>
            </w:pPr>
            <w:r>
              <w:rPr>
                <w:rFonts w:eastAsia="Calibri" w:cs="Tahoma"/>
                <w:color w:val="000000"/>
                <w:kern w:val="0"/>
                <w:sz w:val="24"/>
                <w:szCs w:val="22"/>
                <w:lang w:val="ru-RU" w:eastAsia="en-US" w:bidi="ar-SA"/>
              </w:rPr>
              <w:t>Водно-дисперсионная пропиточная глубоко проникающая грунтовка</w:t>
            </w:r>
          </w:p>
        </w:tc>
        <w:tc>
          <w:tcPr>
            <w:tcW w:w="288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1" w:hRule="atLeast"/>
        </w:trPr>
        <w:tc>
          <w:tcPr>
            <w:tcW w:w="72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545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</w:t>
            </w:r>
          </w:p>
        </w:tc>
        <w:tc>
          <w:tcPr>
            <w:tcW w:w="29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42"/>
              <w:widowControl w:val="false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color w:val="000000"/>
              </w:rPr>
              <w:t>белый</w:t>
            </w:r>
          </w:p>
        </w:tc>
        <w:tc>
          <w:tcPr>
            <w:tcW w:w="288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1" w:hRule="atLeast"/>
        </w:trPr>
        <w:tc>
          <w:tcPr>
            <w:tcW w:w="72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545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Назначение</w:t>
            </w:r>
          </w:p>
        </w:tc>
        <w:tc>
          <w:tcPr>
            <w:tcW w:w="29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eastAsia="Calibri" w:cs="Tahoma"/>
                <w:color w:val="000000"/>
                <w:kern w:val="0"/>
                <w:sz w:val="24"/>
                <w:szCs w:val="22"/>
                <w:lang w:val="ru-RU" w:eastAsia="en-US" w:bidi="ar-SA"/>
              </w:rPr>
            </w:pPr>
            <w:r>
              <w:rPr>
                <w:rFonts w:eastAsia="Calibri" w:cs="Tahoma"/>
                <w:color w:val="000000"/>
                <w:kern w:val="0"/>
                <w:sz w:val="24"/>
                <w:szCs w:val="22"/>
                <w:lang w:val="ru-RU" w:eastAsia="en-US" w:bidi="ar-SA"/>
              </w:rPr>
              <w:t>Применяется перед последующей окраской водно-дисперсионными красками</w:t>
            </w:r>
          </w:p>
        </w:tc>
        <w:tc>
          <w:tcPr>
            <w:tcW w:w="288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1" w:hRule="atLeast"/>
        </w:trPr>
        <w:tc>
          <w:tcPr>
            <w:tcW w:w="72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</w:t>
            </w:r>
            <w:r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545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 w:val="false"/>
                <w:i w:val="false"/>
                <w:strike w:val="false"/>
                <w:dstrike w:val="false"/>
                <w:outline w:val="false"/>
                <w:shadow w:val="false"/>
                <w:kern w:val="0"/>
                <w:sz w:val="24"/>
                <w:szCs w:val="24"/>
                <w:u w:val="none"/>
                <w:em w:val="none"/>
                <w:lang w:val="ru-RU" w:eastAsia="en-US" w:bidi="ar-SA"/>
              </w:rPr>
              <w:t>Г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рунтовка</w:t>
            </w:r>
          </w:p>
        </w:tc>
        <w:tc>
          <w:tcPr>
            <w:tcW w:w="31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Марка</w:t>
            </w:r>
          </w:p>
        </w:tc>
        <w:tc>
          <w:tcPr>
            <w:tcW w:w="29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  <w:em w:val="none"/>
              </w:rPr>
              <w:t>ГФ-021</w:t>
            </w:r>
          </w:p>
        </w:tc>
        <w:tc>
          <w:tcPr>
            <w:tcW w:w="288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25129-82</w:t>
            </w:r>
          </w:p>
        </w:tc>
      </w:tr>
      <w:tr>
        <w:trPr>
          <w:trHeight w:val="333" w:hRule="atLeast"/>
        </w:trPr>
        <w:tc>
          <w:tcPr>
            <w:tcW w:w="72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545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</w:t>
            </w:r>
          </w:p>
        </w:tc>
        <w:tc>
          <w:tcPr>
            <w:tcW w:w="29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42"/>
              <w:widowControl w:val="false"/>
              <w:jc w:val="center"/>
              <w:rPr>
                <w:rFonts w:ascii="Times New Roman" w:hAnsi="Times New Roman" w:eastAsia="Calibri" w:cs="Tahoma"/>
                <w:color w:val="000000"/>
                <w:kern w:val="0"/>
                <w:sz w:val="24"/>
                <w:szCs w:val="22"/>
                <w:lang w:val="ru-RU" w:eastAsia="en-US" w:bidi="ar-SA"/>
              </w:rPr>
            </w:pPr>
            <w:r>
              <w:rPr>
                <w:rFonts w:eastAsia="Calibri" w:cs="Tahoma"/>
                <w:color w:val="000000"/>
                <w:kern w:val="0"/>
                <w:sz w:val="24"/>
                <w:szCs w:val="22"/>
                <w:lang w:val="ru-RU" w:eastAsia="en-US" w:bidi="ar-SA"/>
              </w:rPr>
              <w:t>Алкидная</w:t>
            </w:r>
          </w:p>
        </w:tc>
        <w:tc>
          <w:tcPr>
            <w:tcW w:w="288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5" w:hRule="atLeast"/>
        </w:trPr>
        <w:tc>
          <w:tcPr>
            <w:tcW w:w="72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545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</w:t>
            </w:r>
          </w:p>
        </w:tc>
        <w:tc>
          <w:tcPr>
            <w:tcW w:w="29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42"/>
              <w:widowControl w:val="false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color w:val="000000"/>
              </w:rPr>
              <w:t>серый</w:t>
            </w:r>
          </w:p>
        </w:tc>
        <w:tc>
          <w:tcPr>
            <w:tcW w:w="288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5" w:hRule="atLeast"/>
        </w:trPr>
        <w:tc>
          <w:tcPr>
            <w:tcW w:w="72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545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Назначение</w:t>
            </w:r>
          </w:p>
        </w:tc>
        <w:tc>
          <w:tcPr>
            <w:tcW w:w="29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eastAsia="Calibri" w:cs="Tahoma"/>
                <w:color w:val="000000"/>
                <w:kern w:val="0"/>
                <w:sz w:val="24"/>
                <w:szCs w:val="22"/>
                <w:lang w:val="ru-RU" w:eastAsia="en-US" w:bidi="ar-SA"/>
              </w:rPr>
            </w:pPr>
            <w:r>
              <w:rPr>
                <w:rFonts w:eastAsia="Calibri" w:cs="Tahoma"/>
                <w:color w:val="000000"/>
                <w:kern w:val="0"/>
                <w:sz w:val="24"/>
                <w:szCs w:val="22"/>
                <w:lang w:val="ru-RU" w:eastAsia="en-US" w:bidi="ar-SA"/>
              </w:rPr>
              <w:t>Применяется перед последующей окраской водно-дисперсионными красками</w:t>
            </w:r>
          </w:p>
        </w:tc>
        <w:tc>
          <w:tcPr>
            <w:tcW w:w="288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5" w:hRule="atLeast"/>
        </w:trPr>
        <w:tc>
          <w:tcPr>
            <w:tcW w:w="72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  <w:t>4.</w:t>
            </w:r>
          </w:p>
        </w:tc>
        <w:tc>
          <w:tcPr>
            <w:tcW w:w="545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em w:val="none"/>
                <w:lang w:val="ru-RU" w:eastAsia="en-US" w:bidi="ar-SA"/>
              </w:rPr>
              <w:t>К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раска</w:t>
            </w:r>
          </w:p>
        </w:tc>
        <w:tc>
          <w:tcPr>
            <w:tcW w:w="31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Марка</w:t>
            </w:r>
          </w:p>
        </w:tc>
        <w:tc>
          <w:tcPr>
            <w:tcW w:w="29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ПФ-115</w:t>
            </w:r>
          </w:p>
        </w:tc>
        <w:tc>
          <w:tcPr>
            <w:tcW w:w="288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ГОСТ 6465-76</w:t>
            </w:r>
          </w:p>
        </w:tc>
      </w:tr>
      <w:tr>
        <w:trPr>
          <w:trHeight w:val="5" w:hRule="atLeast"/>
        </w:trPr>
        <w:tc>
          <w:tcPr>
            <w:tcW w:w="72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545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</w:t>
            </w:r>
          </w:p>
        </w:tc>
        <w:tc>
          <w:tcPr>
            <w:tcW w:w="29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серая</w:t>
            </w:r>
          </w:p>
        </w:tc>
        <w:tc>
          <w:tcPr>
            <w:tcW w:w="288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5" w:hRule="atLeast"/>
        </w:trPr>
        <w:tc>
          <w:tcPr>
            <w:tcW w:w="72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  <w:t>5</w:t>
            </w:r>
            <w:r>
              <w:rPr/>
              <w:t>.</w:t>
            </w:r>
          </w:p>
        </w:tc>
        <w:tc>
          <w:tcPr>
            <w:tcW w:w="545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  <w:em w:val="none"/>
              </w:rPr>
              <w:t>К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омпозиция цинконаполнненая  "Цинол"</w:t>
            </w:r>
          </w:p>
        </w:tc>
        <w:tc>
          <w:tcPr>
            <w:tcW w:w="31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</w:rPr>
            </w:pPr>
            <w:r>
              <w:rPr>
                <w:rFonts w:cs="Times New Roman"/>
                <w:sz w:val="22"/>
              </w:rPr>
              <w:t>Цвет</w:t>
            </w:r>
          </w:p>
        </w:tc>
        <w:tc>
          <w:tcPr>
            <w:tcW w:w="29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</w:rPr>
            </w:pPr>
            <w:r>
              <w:rPr>
                <w:rFonts w:cs="Times New Roman"/>
                <w:sz w:val="22"/>
              </w:rPr>
              <w:t>светло-серый</w:t>
            </w:r>
          </w:p>
        </w:tc>
        <w:tc>
          <w:tcPr>
            <w:tcW w:w="288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5" w:hRule="atLeast"/>
        </w:trPr>
        <w:tc>
          <w:tcPr>
            <w:tcW w:w="72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545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1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Внешний вид   покрытия</w:t>
            </w:r>
          </w:p>
        </w:tc>
        <w:tc>
          <w:tcPr>
            <w:tcW w:w="29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матовое</w:t>
            </w:r>
          </w:p>
        </w:tc>
        <w:tc>
          <w:tcPr>
            <w:tcW w:w="288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78" w:hRule="atLeast"/>
        </w:trPr>
        <w:tc>
          <w:tcPr>
            <w:tcW w:w="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/>
                <w:bCs/>
                <w:i w:val="false"/>
                <w:iCs w:val="false"/>
                <w:sz w:val="24"/>
                <w:szCs w:val="24"/>
              </w:rPr>
              <w:t>2.</w:t>
            </w:r>
          </w:p>
        </w:tc>
        <w:tc>
          <w:tcPr>
            <w:tcW w:w="1446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i w:val="false"/>
                <w:iCs w:val="false"/>
                <w:sz w:val="24"/>
                <w:szCs w:val="24"/>
                <w:lang w:eastAsia="ru-RU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</w:tr>
      <w:tr>
        <w:trPr>
          <w:trHeight w:val="278" w:hRule="atLeast"/>
        </w:trPr>
        <w:tc>
          <w:tcPr>
            <w:tcW w:w="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2.1</w:t>
            </w:r>
          </w:p>
        </w:tc>
        <w:tc>
          <w:tcPr>
            <w:tcW w:w="5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i/>
                <w:i/>
                <w:iCs w:val="false"/>
                <w:color w:val="auto"/>
                <w:kern w:val="0"/>
                <w:sz w:val="24"/>
                <w:szCs w:val="24"/>
                <w:highlight w:val="none"/>
                <w:shd w:fill="auto" w:val="clear"/>
                <w:lang w:val="ru-RU" w:eastAsia="x-none" w:bidi="ar-SA"/>
              </w:rPr>
            </w:pPr>
            <w:r>
              <w:rPr>
                <w:rFonts w:eastAsia="Times New Roman" w:cs="Times New Roman"/>
                <w:i/>
                <w:iCs w:val="false"/>
                <w:color w:val="000000"/>
                <w:kern w:val="0"/>
                <w:sz w:val="24"/>
                <w:szCs w:val="24"/>
                <w:shd w:fill="auto" w:val="clear"/>
                <w:lang w:val="ru-RU" w:eastAsia="x-none" w:bidi="ar-SA"/>
              </w:rPr>
              <w:t>Место поставки</w:t>
            </w:r>
          </w:p>
        </w:tc>
        <w:tc>
          <w:tcPr>
            <w:tcW w:w="901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b w:val="false"/>
                <w:i/>
                <w:iCs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4"/>
                <w:u w:val="none"/>
                <w:shd w:fill="auto" w:val="clear"/>
                <w:em w:val="none"/>
              </w:rPr>
              <w:t>Саяно-Шушенский филиал АО «Гидроремонт-ВКК» в п. Черёмушки. 655619, Российская Федерация, Республика Хакасия, г. Саяногорск, рп. Черемушки, дом 103.</w:t>
            </w:r>
          </w:p>
        </w:tc>
      </w:tr>
      <w:tr>
        <w:trPr>
          <w:trHeight w:val="278" w:hRule="atLeast"/>
        </w:trPr>
        <w:tc>
          <w:tcPr>
            <w:tcW w:w="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2.2</w:t>
            </w:r>
          </w:p>
        </w:tc>
        <w:tc>
          <w:tcPr>
            <w:tcW w:w="5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i/>
                <w:i/>
                <w:iCs w:val="false"/>
                <w:color w:val="auto"/>
                <w:kern w:val="0"/>
                <w:sz w:val="24"/>
                <w:szCs w:val="24"/>
                <w:highlight w:val="none"/>
                <w:shd w:fill="auto" w:val="clear"/>
                <w:lang w:val="ru-RU" w:eastAsia="x-none" w:bidi="ar-SA"/>
              </w:rPr>
            </w:pPr>
            <w:r>
              <w:rPr>
                <w:rFonts w:eastAsia="Times New Roman" w:cs="Times New Roman"/>
                <w:i/>
                <w:iCs w:val="false"/>
                <w:color w:val="000000"/>
                <w:kern w:val="0"/>
                <w:sz w:val="24"/>
                <w:szCs w:val="24"/>
                <w:shd w:fill="auto" w:val="clear"/>
                <w:lang w:val="ru-RU" w:eastAsia="x-none" w:bidi="ar-SA"/>
              </w:rPr>
              <w:t>Приемка продукции</w:t>
            </w:r>
          </w:p>
        </w:tc>
        <w:tc>
          <w:tcPr>
            <w:tcW w:w="901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i/>
                <w:i/>
                <w:iCs/>
              </w:rPr>
            </w:pPr>
            <w:r>
              <w:rPr>
                <w:rFonts w:cs="Times New Roman"/>
                <w:i/>
                <w:iCs/>
                <w:sz w:val="22"/>
                <w:szCs w:val="24"/>
              </w:rPr>
              <w:t>Приемка продукции осуществляется только в рабочие дни с 9-00 до 11-00 и с 13-00 до 16-00.</w:t>
            </w:r>
          </w:p>
        </w:tc>
      </w:tr>
      <w:tr>
        <w:trPr>
          <w:trHeight w:val="278" w:hRule="atLeast"/>
        </w:trPr>
        <w:tc>
          <w:tcPr>
            <w:tcW w:w="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2.3</w:t>
            </w:r>
          </w:p>
        </w:tc>
        <w:tc>
          <w:tcPr>
            <w:tcW w:w="1446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i/>
                <w:iCs w:val="false"/>
                <w:sz w:val="24"/>
                <w:szCs w:val="24"/>
                <w:shd w:fill="auto" w:val="clear"/>
                <w:lang w:eastAsia="x-none"/>
              </w:rPr>
              <w:t>Информация о транспорте, на котором осуществляется доставка, для оформления допуска на территорию предоставляется не позднее предыдущего рабочего дня до прибытия транспорта</w:t>
            </w:r>
          </w:p>
        </w:tc>
      </w:tr>
      <w:tr>
        <w:trPr>
          <w:trHeight w:val="278" w:hRule="atLeast"/>
        </w:trPr>
        <w:tc>
          <w:tcPr>
            <w:tcW w:w="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/>
                <w:bCs/>
                <w:i w:val="false"/>
                <w:iCs w:val="false"/>
                <w:sz w:val="24"/>
                <w:szCs w:val="24"/>
              </w:rPr>
              <w:t>3.</w:t>
            </w:r>
          </w:p>
        </w:tc>
        <w:tc>
          <w:tcPr>
            <w:tcW w:w="1446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 w:val="false"/>
                <w:iCs w:val="false"/>
                <w:sz w:val="24"/>
                <w:szCs w:val="24"/>
                <w:lang w:eastAsia="ru-RU"/>
              </w:rPr>
              <w:t>Требования к гарантиям, гарантийному и послегарантийному обслуживанию</w:t>
            </w:r>
          </w:p>
        </w:tc>
      </w:tr>
      <w:tr>
        <w:trPr>
          <w:trHeight w:val="278" w:hRule="atLeast"/>
        </w:trPr>
        <w:tc>
          <w:tcPr>
            <w:tcW w:w="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3.1</w:t>
            </w:r>
          </w:p>
        </w:tc>
        <w:tc>
          <w:tcPr>
            <w:tcW w:w="5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i/>
                <w:i/>
                <w:iCs w:val="false"/>
                <w:color w:val="auto"/>
                <w:kern w:val="0"/>
                <w:sz w:val="24"/>
                <w:szCs w:val="24"/>
                <w:highlight w:val="none"/>
                <w:shd w:fill="auto" w:val="clear"/>
                <w:lang w:val="ru-RU" w:eastAsia="x-none" w:bidi="ar-SA"/>
              </w:rPr>
            </w:pPr>
            <w:r>
              <w:rPr>
                <w:rFonts w:eastAsia="Times New Roman" w:cs="Times New Roman"/>
                <w:i/>
                <w:iCs w:val="false"/>
                <w:color w:val="000000"/>
                <w:kern w:val="0"/>
                <w:sz w:val="24"/>
                <w:szCs w:val="24"/>
                <w:shd w:fill="auto" w:val="clear"/>
                <w:lang w:val="ru-RU" w:eastAsia="x-none" w:bidi="ar-SA"/>
              </w:rPr>
              <w:t>Сроки гарантии</w:t>
            </w:r>
          </w:p>
        </w:tc>
        <w:tc>
          <w:tcPr>
            <w:tcW w:w="901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i/>
                <w:i/>
                <w:iCs w:val="false"/>
                <w:color w:val="auto"/>
                <w:kern w:val="0"/>
                <w:sz w:val="24"/>
                <w:szCs w:val="24"/>
                <w:highlight w:val="none"/>
                <w:shd w:fill="auto" w:val="clear"/>
                <w:lang w:val="ru-RU" w:eastAsia="x-none" w:bidi="ar-SA"/>
              </w:rPr>
            </w:pPr>
            <w:r>
              <w:rPr>
                <w:rFonts w:eastAsia="Times New Roman" w:cs="Times New Roman"/>
                <w:i/>
                <w:iCs w:val="false"/>
                <w:color w:val="000000"/>
                <w:kern w:val="0"/>
                <w:sz w:val="24"/>
                <w:szCs w:val="24"/>
                <w:shd w:fill="auto" w:val="clear"/>
                <w:lang w:val="ru-RU" w:eastAsia="x-none" w:bidi="ar-SA"/>
              </w:rPr>
              <w:t>Не менее 12 месяцев с даты подписания сторонами ТОРГ-12 (УПД)</w:t>
            </w:r>
          </w:p>
        </w:tc>
      </w:tr>
      <w:tr>
        <w:trPr>
          <w:trHeight w:val="278" w:hRule="atLeast"/>
        </w:trPr>
        <w:tc>
          <w:tcPr>
            <w:tcW w:w="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/>
                <w:bCs/>
                <w:i w:val="false"/>
                <w:iCs w:val="false"/>
                <w:sz w:val="24"/>
                <w:szCs w:val="24"/>
              </w:rPr>
              <w:t>4.</w:t>
            </w:r>
          </w:p>
        </w:tc>
        <w:tc>
          <w:tcPr>
            <w:tcW w:w="1446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 w:val="false"/>
                <w:iCs w:val="false"/>
                <w:sz w:val="24"/>
                <w:szCs w:val="24"/>
                <w:lang w:eastAsia="ru-RU"/>
              </w:rPr>
              <w:t>Требования к комплектации и документам, поставляемым вместе с продукцией</w:t>
            </w:r>
          </w:p>
        </w:tc>
      </w:tr>
      <w:tr>
        <w:trPr>
          <w:trHeight w:val="278" w:hRule="atLeast"/>
        </w:trPr>
        <w:tc>
          <w:tcPr>
            <w:tcW w:w="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4.1</w:t>
            </w:r>
          </w:p>
        </w:tc>
        <w:tc>
          <w:tcPr>
            <w:tcW w:w="5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i/>
                <w:i/>
                <w:iCs w:val="false"/>
                <w:color w:val="auto"/>
                <w:kern w:val="0"/>
                <w:sz w:val="24"/>
                <w:szCs w:val="24"/>
                <w:highlight w:val="none"/>
                <w:shd w:fill="auto" w:val="clear"/>
                <w:lang w:val="ru-RU" w:eastAsia="x-none" w:bidi="ar-SA"/>
              </w:rPr>
            </w:pPr>
            <w:r>
              <w:rPr>
                <w:rFonts w:eastAsia="Times New Roman" w:cs="Times New Roman"/>
                <w:i/>
                <w:iCs w:val="false"/>
                <w:color w:val="000000"/>
                <w:kern w:val="0"/>
                <w:sz w:val="24"/>
                <w:szCs w:val="24"/>
                <w:shd w:fill="auto" w:val="clear"/>
                <w:lang w:val="ru-RU" w:eastAsia="x-none" w:bidi="ar-SA"/>
              </w:rPr>
              <w:t>Документы, передаваемые вместе с продукцией</w:t>
            </w:r>
          </w:p>
        </w:tc>
        <w:tc>
          <w:tcPr>
            <w:tcW w:w="901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i/>
                <w:i/>
                <w:iCs w:val="false"/>
                <w:color w:val="auto"/>
                <w:kern w:val="0"/>
                <w:sz w:val="24"/>
                <w:szCs w:val="24"/>
                <w:highlight w:val="none"/>
                <w:shd w:fill="auto" w:val="clear"/>
                <w:lang w:val="ru-RU" w:eastAsia="x-none" w:bidi="ar-SA"/>
              </w:rPr>
            </w:pPr>
            <w:r>
              <w:rPr>
                <w:rFonts w:eastAsia="Times New Roman" w:cs="Times New Roman"/>
                <w:i/>
                <w:iCs w:val="false"/>
                <w:color w:val="000000"/>
                <w:kern w:val="0"/>
                <w:sz w:val="24"/>
                <w:szCs w:val="24"/>
                <w:shd w:fill="auto" w:val="clear"/>
                <w:lang w:val="ru-RU" w:eastAsia="x-none" w:bidi="ar-SA"/>
              </w:rPr>
              <w:t>Поставщик обязан одновременно с передачей продукции передать Покупателю относящиеся к нему документы, оформленные надлежащим образом: сертификаты качества; технические паспорта; счет-фактуру; товарную накладную унифицированной формы ТОРГ-12 (УПД) в 2 экз., транспортную накладную.</w:t>
            </w:r>
          </w:p>
        </w:tc>
      </w:tr>
      <w:tr>
        <w:trPr>
          <w:trHeight w:val="278" w:hRule="atLeast"/>
        </w:trPr>
        <w:tc>
          <w:tcPr>
            <w:tcW w:w="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/>
                <w:bCs/>
                <w:i w:val="false"/>
                <w:iCs w:val="false"/>
                <w:sz w:val="24"/>
                <w:szCs w:val="24"/>
              </w:rPr>
              <w:t>5.</w:t>
            </w:r>
          </w:p>
        </w:tc>
        <w:tc>
          <w:tcPr>
            <w:tcW w:w="1446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 w:val="false"/>
                <w:iCs w:val="false"/>
                <w:sz w:val="24"/>
                <w:szCs w:val="24"/>
                <w:lang w:eastAsia="ru-RU"/>
              </w:rPr>
              <w:t>Прочие (дополнительные) требования к продукции</w:t>
            </w:r>
          </w:p>
        </w:tc>
      </w:tr>
      <w:tr>
        <w:trPr>
          <w:trHeight w:val="278" w:hRule="atLeast"/>
        </w:trPr>
        <w:tc>
          <w:tcPr>
            <w:tcW w:w="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5.1</w:t>
            </w:r>
          </w:p>
        </w:tc>
        <w:tc>
          <w:tcPr>
            <w:tcW w:w="1446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i/>
                <w:i/>
                <w:iCs w:val="false"/>
                <w:color w:val="auto"/>
                <w:kern w:val="0"/>
                <w:sz w:val="24"/>
                <w:szCs w:val="24"/>
                <w:highlight w:val="none"/>
                <w:shd w:fill="auto" w:val="clear"/>
                <w:lang w:val="ru-RU" w:eastAsia="x-none" w:bidi="ar-SA"/>
              </w:rPr>
            </w:pPr>
            <w:r>
              <w:rPr>
                <w:rFonts w:eastAsia="Times New Roman" w:cs="Times New Roman"/>
                <w:i/>
                <w:iCs w:val="false"/>
                <w:color w:val="000000"/>
                <w:kern w:val="0"/>
                <w:sz w:val="24"/>
                <w:szCs w:val="24"/>
                <w:shd w:fill="auto" w:val="clear"/>
                <w:lang w:val="ru-RU" w:eastAsia="x-none" w:bidi="ar-SA"/>
              </w:rPr>
              <w:t>Продукция должна быть новой, ранее не использовавшейся</w:t>
            </w:r>
          </w:p>
        </w:tc>
      </w:tr>
    </w:tbl>
    <w:p>
      <w:pPr>
        <w:pStyle w:val="Normal"/>
        <w:rPr>
          <w:rFonts w:eastAsia="Calibri"/>
          <w:szCs w:val="24"/>
          <w:lang w:eastAsia="x-none"/>
        </w:rPr>
      </w:pPr>
      <w:r>
        <w:rPr>
          <w:rFonts w:eastAsia="Calibri"/>
          <w:szCs w:val="24"/>
          <w:lang w:eastAsia="x-none"/>
        </w:rPr>
      </w:r>
    </w:p>
    <w:p>
      <w:pPr>
        <w:pStyle w:val="Normal"/>
        <w:rPr>
          <w:rFonts w:eastAsia="Calibri"/>
          <w:szCs w:val="24"/>
          <w:lang w:eastAsia="x-none"/>
        </w:rPr>
      </w:pPr>
      <w:r>
        <w:rPr>
          <w:rFonts w:eastAsia="Calibri"/>
          <w:szCs w:val="24"/>
          <w:lang w:eastAsia="x-none"/>
        </w:rPr>
      </w:r>
      <w:bookmarkStart w:id="16" w:name="_Toc46743519"/>
      <w:bookmarkStart w:id="17" w:name="_Toc46743519"/>
      <w:bookmarkEnd w:id="17"/>
    </w:p>
    <w:p>
      <w:pPr>
        <w:pStyle w:val="Heading1"/>
        <w:numPr>
          <w:ilvl w:val="0"/>
          <w:numId w:val="1"/>
        </w:numPr>
        <w:tabs>
          <w:tab w:val="clear" w:pos="709"/>
          <w:tab w:val="left" w:pos="0" w:leader="none"/>
        </w:tabs>
        <w:spacing w:before="120" w:after="60"/>
        <w:ind w:left="357" w:right="0" w:hanging="357"/>
        <w:jc w:val="center"/>
        <w:rPr>
          <w:i w:val="false"/>
          <w:i w:val="false"/>
          <w:iCs w:val="false"/>
        </w:rPr>
      </w:pPr>
      <w:r>
        <w:rPr>
          <w:i w:val="false"/>
          <w:iCs w:val="false"/>
          <w:lang w:val="ru-RU"/>
        </w:rPr>
        <w:t>Т</w:t>
      </w:r>
      <w:bookmarkStart w:id="18" w:name="_Toc46743519_Копия_1"/>
      <w:bookmarkStart w:id="19" w:name="_Toc51339699"/>
      <w:bookmarkStart w:id="20" w:name="_Toc75446583"/>
      <w:bookmarkStart w:id="21" w:name="_Toc53393312"/>
      <w:r>
        <w:rPr>
          <w:i w:val="false"/>
          <w:iCs w:val="false"/>
          <w:lang w:val="ru-RU"/>
        </w:rPr>
        <w:t>ребования к документации по ценообразованию</w:t>
      </w:r>
      <w:bookmarkEnd w:id="21"/>
      <w:r>
        <w:rPr>
          <w:i w:val="false"/>
          <w:iCs w:val="false"/>
          <w:lang w:val="ru-RU"/>
        </w:rPr>
        <w:t xml:space="preserve"> на этапе закупки</w:t>
      </w:r>
      <w:bookmarkEnd w:id="20"/>
    </w:p>
    <w:p>
      <w:pPr>
        <w:pStyle w:val="Normal"/>
        <w:numPr>
          <w:ilvl w:val="1"/>
          <w:numId w:val="9"/>
        </w:numPr>
        <w:ind w:left="0" w:right="0" w:hanging="0"/>
        <w:jc w:val="both"/>
        <w:rPr>
          <w:i w:val="false"/>
          <w:i w:val="false"/>
          <w:iCs w:val="false"/>
        </w:rPr>
      </w:pPr>
      <w:r>
        <w:rPr>
          <w:rFonts w:eastAsia="Times New Roman" w:cs="Times New Roman"/>
          <w:i w:val="false"/>
          <w:iCs w:val="false"/>
          <w:szCs w:val="24"/>
          <w:lang w:eastAsia="ru-RU"/>
        </w:rPr>
        <w:t xml:space="preserve">В обоснование стоимости своей заявки Участник предоставляет Коммерческое предложение по форме </w:t>
      </w:r>
      <w:bookmarkStart w:id="22" w:name="_Hlk88325985"/>
      <w:r>
        <w:rPr>
          <w:rFonts w:eastAsia="Times New Roman" w:cs="Times New Roman"/>
          <w:i w:val="false"/>
          <w:iCs w:val="false"/>
          <w:szCs w:val="24"/>
          <w:lang w:eastAsia="ru-RU"/>
        </w:rPr>
        <w:t>(с учетом прилагаемой к ней инструкции по заполнению)</w:t>
      </w:r>
      <w:bookmarkEnd w:id="22"/>
      <w:r>
        <w:rPr>
          <w:rFonts w:eastAsia="Times New Roman" w:cs="Times New Roman"/>
          <w:i w:val="false"/>
          <w:iCs w:val="false"/>
          <w:szCs w:val="24"/>
          <w:lang w:eastAsia="ru-RU"/>
        </w:rPr>
        <w:t>, приведенной в Документации о закупке.</w:t>
      </w:r>
    </w:p>
    <w:p>
      <w:pPr>
        <w:pStyle w:val="Normal"/>
        <w:numPr>
          <w:ilvl w:val="1"/>
          <w:numId w:val="10"/>
        </w:numPr>
        <w:ind w:left="0" w:right="0" w:hanging="0"/>
        <w:jc w:val="both"/>
        <w:rPr>
          <w:i w:val="false"/>
          <w:i w:val="false"/>
          <w:iCs w:val="false"/>
        </w:rPr>
      </w:pPr>
      <w:bookmarkStart w:id="23" w:name="_Hlk88327292"/>
      <w:r>
        <w:rPr>
          <w:rFonts w:eastAsia="Times New Roman" w:cs="Times New Roman"/>
          <w:i w:val="false"/>
          <w:iCs w:val="false"/>
          <w:szCs w:val="24"/>
          <w:lang w:eastAsia="ru-RU"/>
        </w:rPr>
        <w:t>Дополнительные документы по ценообразованию</w:t>
      </w:r>
      <w:bookmarkEnd w:id="23"/>
      <w:r>
        <w:rPr>
          <w:rFonts w:eastAsia="Times New Roman" w:cs="Times New Roman"/>
          <w:i w:val="false"/>
          <w:iCs w:val="false"/>
          <w:szCs w:val="24"/>
          <w:lang w:eastAsia="ru-RU"/>
        </w:rPr>
        <w:t xml:space="preserve"> в состав заявки не включаются.</w:t>
      </w:r>
      <w:bookmarkEnd w:id="18"/>
      <w:bookmarkEnd w:id="19"/>
    </w:p>
    <w:sectPr>
      <w:footerReference w:type="default" r:id="rId5"/>
      <w:footerReference w:type="first" r:id="rId6"/>
      <w:type w:val="nextPage"/>
      <w:pgSz w:orient="landscape" w:w="16838" w:h="11906"/>
      <w:pgMar w:left="1134" w:right="1134" w:gutter="0" w:header="0" w:top="426" w:footer="708" w:bottom="85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Tahoma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Times New Roman">
    <w:altName w:val="serif"/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>
        <w:sz w:val="24"/>
        <w:szCs w:val="24"/>
      </w:rPr>
    </w:pPr>
    <w:r>
      <w:rPr>
        <w:sz w:val="24"/>
        <w:szCs w:val="24"/>
      </w:rPr>
      <w:t xml:space="preserve">Страница </w:t>
    </w:r>
    <w:r>
      <w:rPr>
        <w:b/>
        <w:bCs/>
        <w:sz w:val="24"/>
        <w:szCs w:val="24"/>
      </w:rPr>
      <w:fldChar w:fldCharType="begin"/>
    </w:r>
    <w:r>
      <w:rPr>
        <w:sz w:val="24"/>
        <w:b/>
        <w:szCs w:val="24"/>
        <w:bCs/>
      </w:rPr>
      <w:instrText xml:space="preserve"> PAGE </w:instrText>
    </w:r>
    <w:r>
      <w:rPr>
        <w:sz w:val="24"/>
        <w:b/>
        <w:szCs w:val="24"/>
        <w:bCs/>
      </w:rPr>
      <w:fldChar w:fldCharType="separate"/>
    </w:r>
    <w:r>
      <w:rPr>
        <w:sz w:val="24"/>
        <w:b/>
        <w:szCs w:val="24"/>
        <w:bCs/>
      </w:rPr>
      <w:t>2</w:t>
    </w:r>
    <w:r>
      <w:rPr>
        <w:sz w:val="24"/>
        <w:b/>
        <w:szCs w:val="24"/>
        <w:bCs/>
      </w:rPr>
      <w:fldChar w:fldCharType="end"/>
    </w:r>
    <w:r>
      <w:rPr>
        <w:sz w:val="24"/>
        <w:szCs w:val="24"/>
      </w:rPr>
      <w:t xml:space="preserve"> из </w:t>
    </w:r>
    <w:r>
      <w:rPr>
        <w:b/>
        <w:bCs/>
        <w:sz w:val="24"/>
        <w:szCs w:val="24"/>
      </w:rPr>
      <w:fldChar w:fldCharType="begin"/>
    </w:r>
    <w:r>
      <w:rPr>
        <w:sz w:val="24"/>
        <w:b/>
        <w:szCs w:val="24"/>
        <w:bCs/>
      </w:rPr>
      <w:instrText xml:space="preserve"> NUMPAGES </w:instrText>
    </w:r>
    <w:r>
      <w:rPr>
        <w:sz w:val="24"/>
        <w:b/>
        <w:szCs w:val="24"/>
        <w:bCs/>
      </w:rPr>
      <w:fldChar w:fldCharType="separate"/>
    </w:r>
    <w:r>
      <w:rPr>
        <w:sz w:val="24"/>
        <w:b/>
        <w:szCs w:val="24"/>
        <w:bCs/>
      </w:rPr>
      <w:t>4</w:t>
    </w:r>
    <w:r>
      <w:rPr>
        <w:sz w:val="24"/>
        <w:b/>
        <w:szCs w:val="24"/>
        <w:bCs/>
      </w:rPr>
      <w:fldChar w:fldCharType="end"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>
        <w:sz w:val="24"/>
        <w:szCs w:val="24"/>
      </w:rPr>
    </w:pPr>
    <w:r>
      <w:rPr>
        <w:sz w:val="24"/>
        <w:szCs w:val="24"/>
      </w:rPr>
      <w:t xml:space="preserve">Страница </w:t>
    </w:r>
    <w:r>
      <w:rPr>
        <w:b/>
        <w:bCs/>
        <w:sz w:val="24"/>
        <w:szCs w:val="24"/>
      </w:rPr>
      <w:fldChar w:fldCharType="begin"/>
    </w:r>
    <w:r>
      <w:rPr>
        <w:sz w:val="24"/>
        <w:b/>
        <w:szCs w:val="24"/>
        <w:bCs/>
      </w:rPr>
      <w:instrText xml:space="preserve"> PAGE </w:instrText>
    </w:r>
    <w:r>
      <w:rPr>
        <w:sz w:val="24"/>
        <w:b/>
        <w:szCs w:val="24"/>
        <w:bCs/>
      </w:rPr>
      <w:fldChar w:fldCharType="separate"/>
    </w:r>
    <w:r>
      <w:rPr>
        <w:sz w:val="24"/>
        <w:b/>
        <w:szCs w:val="24"/>
        <w:bCs/>
      </w:rPr>
      <w:t>4</w:t>
    </w:r>
    <w:r>
      <w:rPr>
        <w:sz w:val="24"/>
        <w:b/>
        <w:szCs w:val="24"/>
        <w:bCs/>
      </w:rPr>
      <w:fldChar w:fldCharType="end"/>
    </w:r>
    <w:r>
      <w:rPr>
        <w:sz w:val="24"/>
        <w:szCs w:val="24"/>
      </w:rPr>
      <w:t xml:space="preserve"> из </w:t>
    </w:r>
    <w:r>
      <w:rPr>
        <w:b/>
        <w:bCs/>
        <w:sz w:val="24"/>
        <w:szCs w:val="24"/>
      </w:rPr>
      <w:fldChar w:fldCharType="begin"/>
    </w:r>
    <w:r>
      <w:rPr>
        <w:sz w:val="24"/>
        <w:b/>
        <w:szCs w:val="24"/>
        <w:bCs/>
      </w:rPr>
      <w:instrText xml:space="preserve"> NUMPAGES </w:instrText>
    </w:r>
    <w:r>
      <w:rPr>
        <w:sz w:val="24"/>
        <w:b/>
        <w:szCs w:val="24"/>
        <w:bCs/>
      </w:rPr>
      <w:fldChar w:fldCharType="separate"/>
    </w:r>
    <w:r>
      <w:rPr>
        <w:sz w:val="24"/>
        <w:b/>
        <w:szCs w:val="24"/>
        <w:bCs/>
      </w:rPr>
      <w:t>4</w:t>
    </w:r>
    <w:r>
      <w:rPr>
        <w:sz w:val="24"/>
        <w:b/>
        <w:szCs w:val="24"/>
        <w:bCs/>
      </w:rPr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196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3">
    <w:lvl w:ilvl="0">
      <w:start w:val="1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3"/>
      <w:numFmt w:val="decimal"/>
      <w:lvlText w:val="%1."/>
      <w:lvlJc w:val="left"/>
      <w:pPr>
        <w:tabs>
          <w:tab w:val="num" w:pos="0"/>
        </w:tabs>
        <w:ind w:left="108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40" w:hanging="4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b w:val="false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1800"/>
      </w:pPr>
      <w:rPr/>
    </w:lvl>
  </w:abstractNum>
  <w:abstractNum w:abstractNumId="7">
    <w:lvl w:ilvl="0">
      <w:start w:val="3"/>
      <w:numFmt w:val="decimal"/>
      <w:lvlText w:val="%1."/>
      <w:lvlJc w:val="left"/>
      <w:pPr>
        <w:tabs>
          <w:tab w:val="num" w:pos="0"/>
        </w:tabs>
        <w:ind w:left="108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40" w:hanging="4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b w:val="false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1800"/>
      </w:pPr>
      <w:rPr/>
    </w:lvl>
  </w:abstractNum>
  <w:abstractNum w:abstractNumId="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6"/>
    <w:lvlOverride w:ilvl="0">
      <w:startOverride w:val="3"/>
    </w:lvlOverride>
    <w:lvlOverride w:ilvl="1">
      <w:startOverride w:val="1"/>
    </w:lvlOverride>
  </w:num>
  <w:num w:numId="10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Calibri" w:cs="Tahoma"/>
      <w:color w:val="auto"/>
      <w:kern w:val="0"/>
      <w:sz w:val="24"/>
      <w:szCs w:val="22"/>
      <w:lang w:val="ru-RU" w:eastAsia="en-US" w:bidi="ar-SA"/>
    </w:rPr>
  </w:style>
  <w:style w:type="paragraph" w:styleId="Heading1">
    <w:name w:val="Heading 1"/>
    <w:basedOn w:val="Heading3"/>
    <w:next w:val="Normal"/>
    <w:link w:val="1"/>
    <w:qFormat/>
    <w:pPr>
      <w:numPr>
        <w:ilvl w:val="0"/>
        <w:numId w:val="0"/>
      </w:numPr>
      <w:ind w:left="0" w:right="0" w:firstLine="709"/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pPr>
      <w:numPr>
        <w:ilvl w:val="0"/>
        <w:numId w:val="0"/>
      </w:numPr>
      <w:tabs>
        <w:tab w:val="clear" w:pos="0"/>
        <w:tab w:val="clear" w:pos="709"/>
      </w:tabs>
      <w:ind w:left="432" w:right="0" w:hanging="432"/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pPr>
      <w:keepNext w:val="true"/>
      <w:numPr>
        <w:ilvl w:val="0"/>
        <w:numId w:val="0"/>
      </w:numPr>
      <w:tabs>
        <w:tab w:val="clear" w:pos="708"/>
        <w:tab w:val="left" w:pos="0" w:leader="none"/>
        <w:tab w:val="left" w:pos="709" w:leader="none"/>
      </w:tabs>
      <w:ind w:left="0" w:right="0" w:firstLine="709"/>
      <w:outlineLvl w:val="2"/>
    </w:pPr>
    <w:rPr>
      <w:rFonts w:eastAsia="Calibri" w:cs="Times New Roman"/>
      <w:b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pPr>
      <w:numPr>
        <w:ilvl w:val="0"/>
        <w:numId w:val="0"/>
      </w:numPr>
      <w:ind w:left="0" w:right="0" w:firstLine="709"/>
      <w:outlineLvl w:val="3"/>
    </w:pPr>
    <w:rPr>
      <w:bCs/>
    </w:rPr>
  </w:style>
  <w:style w:type="paragraph" w:styleId="Heading5">
    <w:name w:val="Heading 5"/>
    <w:basedOn w:val="Normal"/>
    <w:next w:val="Normal"/>
    <w:link w:val="5"/>
    <w:qFormat/>
    <w:pPr>
      <w:numPr>
        <w:ilvl w:val="0"/>
        <w:numId w:val="0"/>
      </w:numPr>
      <w:spacing w:before="240" w:after="60"/>
      <w:outlineLvl w:val="4"/>
    </w:pPr>
    <w:rPr>
      <w:rFonts w:eastAsia="Times New Roman" w:cs="Times New Roman"/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qFormat/>
    <w:pPr>
      <w:keepNext w:val="true"/>
      <w:keepLines/>
      <w:numPr>
        <w:ilvl w:val="0"/>
        <w:numId w:val="0"/>
      </w:numPr>
      <w:spacing w:before="200" w:after="0"/>
      <w:outlineLvl w:val="5"/>
    </w:pPr>
    <w:rPr>
      <w:rFonts w:ascii="Cambria" w:hAnsi="Cambria" w:eastAsia="Times New Roman" w:cs="Times New Roman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qFormat/>
    <w:pPr>
      <w:keepNext w:val="true"/>
      <w:keepLines/>
      <w:numPr>
        <w:ilvl w:val="0"/>
        <w:numId w:val="0"/>
      </w:numPr>
      <w:spacing w:before="200" w:after="0"/>
      <w:outlineLvl w:val="6"/>
    </w:pPr>
    <w:rPr>
      <w:rFonts w:ascii="Cambria" w:hAnsi="Cambria" w:eastAsia="Times New Roman" w:cs="Times New Roman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qFormat/>
    <w:pPr>
      <w:keepNext w:val="true"/>
      <w:keepLines/>
      <w:numPr>
        <w:ilvl w:val="0"/>
        <w:numId w:val="0"/>
      </w:numPr>
      <w:spacing w:before="200" w:after="0"/>
      <w:outlineLvl w:val="7"/>
    </w:pPr>
    <w:rPr>
      <w:rFonts w:ascii="Cambria" w:hAnsi="Cambria" w:eastAsia="Times New Roman" w:cs="Times New Roman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qFormat/>
    <w:pPr>
      <w:numPr>
        <w:ilvl w:val="0"/>
        <w:numId w:val="0"/>
      </w:numPr>
      <w:spacing w:before="240" w:after="60"/>
      <w:outlineLvl w:val="8"/>
    </w:pPr>
    <w:rPr>
      <w:rFonts w:ascii="Arial" w:hAnsi="Arial" w:eastAsia="Times New Roman" w:cs="Times New Roman"/>
      <w:sz w:val="22"/>
      <w:lang w:val="x-none" w:eastAsia="x-none"/>
    </w:rPr>
  </w:style>
  <w:style w:type="character" w:styleId="DefaultParagraphFont">
    <w:name w:val="Default Paragraph Font"/>
    <w:qFormat/>
    <w:rPr/>
  </w:style>
  <w:style w:type="character" w:styleId="1">
    <w:name w:val="Заголовок 1 Знак"/>
    <w:basedOn w:val="DefaultParagraphFont"/>
    <w:qFormat/>
    <w:rPr>
      <w:rFonts w:ascii="Times New Roman" w:hAnsi="Times New Roman" w:eastAsia="Calibri" w:cs="Times New Roman"/>
      <w:b/>
      <w:sz w:val="28"/>
      <w:szCs w:val="28"/>
      <w:lang w:val="x-none" w:eastAsia="x-none"/>
    </w:rPr>
  </w:style>
  <w:style w:type="character" w:styleId="3">
    <w:name w:val="Заголовок 3 Знак"/>
    <w:basedOn w:val="DefaultParagraphFont"/>
    <w:qFormat/>
    <w:rPr>
      <w:rFonts w:ascii="Times New Roman" w:hAnsi="Times New Roman" w:eastAsia="Calibri" w:cs="Times New Roman"/>
      <w:b/>
      <w:sz w:val="24"/>
      <w:szCs w:val="24"/>
      <w:lang w:val="x-none" w:eastAsia="x-none"/>
    </w:rPr>
  </w:style>
  <w:style w:type="character" w:styleId="4">
    <w:name w:val="Заголовок 4 Знак"/>
    <w:basedOn w:val="DefaultParagraphFont"/>
    <w:qFormat/>
    <w:rPr>
      <w:rFonts w:ascii="Times New Roman" w:hAnsi="Times New Roman" w:eastAsia="Calibri" w:cs="Times New Roman"/>
      <w:b/>
      <w:bCs/>
      <w:sz w:val="24"/>
      <w:szCs w:val="24"/>
      <w:lang w:val="x-none" w:eastAsia="x-none"/>
    </w:rPr>
  </w:style>
  <w:style w:type="character" w:styleId="Style">
    <w:name w:val="комментарий"/>
    <w:qFormat/>
    <w:rPr>
      <w:b/>
      <w:i/>
      <w:shd w:fill="FFFF99" w:val="clear"/>
    </w:rPr>
  </w:style>
  <w:style w:type="character" w:styleId="2">
    <w:name w:val="Заголовок 2 Знак"/>
    <w:basedOn w:val="DefaultParagraphFont"/>
    <w:qFormat/>
    <w:rPr>
      <w:rFonts w:ascii="Times New Roman" w:hAnsi="Times New Roman" w:eastAsia="Calibri" w:cs="Times New Roman"/>
      <w:b/>
      <w:bCs/>
      <w:sz w:val="24"/>
      <w:szCs w:val="24"/>
      <w:lang w:val="x-none" w:eastAsia="x-none"/>
    </w:rPr>
  </w:style>
  <w:style w:type="character" w:styleId="5">
    <w:name w:val="Заголовок 5 Знак"/>
    <w:basedOn w:val="DefaultParagraphFont"/>
    <w:qFormat/>
    <w:rPr>
      <w:rFonts w:ascii="Times New Roman" w:hAnsi="Times New Roman" w:eastAsia="Times New Roman" w:cs="Times New Roman"/>
      <w:b/>
      <w:bCs/>
      <w:i/>
      <w:iCs/>
      <w:sz w:val="26"/>
      <w:szCs w:val="26"/>
      <w:lang w:val="x-none" w:eastAsia="x-none"/>
    </w:rPr>
  </w:style>
  <w:style w:type="character" w:styleId="6">
    <w:name w:val="Заголовок 6 Знак"/>
    <w:basedOn w:val="DefaultParagraphFont"/>
    <w:qFormat/>
    <w:rPr>
      <w:rFonts w:ascii="Cambria" w:hAnsi="Cambria" w:eastAsia="Times New Roman" w:cs="Times New Roman"/>
      <w:i/>
      <w:iCs/>
      <w:color w:val="243F60"/>
      <w:sz w:val="20"/>
      <w:szCs w:val="20"/>
      <w:lang w:val="x-none" w:eastAsia="x-none"/>
    </w:rPr>
  </w:style>
  <w:style w:type="character" w:styleId="7">
    <w:name w:val="Заголовок 7 Знак"/>
    <w:basedOn w:val="DefaultParagraphFont"/>
    <w:qFormat/>
    <w:rPr>
      <w:rFonts w:ascii="Cambria" w:hAnsi="Cambria" w:eastAsia="Times New Roman" w:cs="Times New Roman"/>
      <w:i/>
      <w:iCs/>
      <w:color w:val="404040"/>
      <w:sz w:val="20"/>
      <w:szCs w:val="20"/>
      <w:lang w:val="x-none" w:eastAsia="x-none"/>
    </w:rPr>
  </w:style>
  <w:style w:type="character" w:styleId="8">
    <w:name w:val="Заголовок 8 Знак"/>
    <w:basedOn w:val="DefaultParagraphFont"/>
    <w:qFormat/>
    <w:rPr>
      <w:rFonts w:ascii="Cambria" w:hAnsi="Cambria" w:eastAsia="Times New Roman" w:cs="Times New Roman"/>
      <w:color w:val="4F81BD"/>
      <w:sz w:val="20"/>
      <w:szCs w:val="20"/>
      <w:lang w:val="x-none" w:eastAsia="x-none"/>
    </w:rPr>
  </w:style>
  <w:style w:type="character" w:styleId="9">
    <w:name w:val="Заголовок 9 Знак"/>
    <w:basedOn w:val="DefaultParagraphFont"/>
    <w:qFormat/>
    <w:rPr>
      <w:rFonts w:ascii="Arial" w:hAnsi="Arial" w:eastAsia="Times New Roman" w:cs="Times New Roman"/>
      <w:lang w:val="x-none" w:eastAsia="x-none"/>
    </w:rPr>
  </w:style>
  <w:style w:type="character" w:styleId="Style1">
    <w:name w:val="Текст сноски Знак"/>
    <w:basedOn w:val="DefaultParagraphFont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2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Style3">
    <w:name w:val="Верхний колонтитул Знак"/>
    <w:basedOn w:val="DefaultParagraphFont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4">
    <w:name w:val="Основной текст с отступом Знак"/>
    <w:basedOn w:val="DefaultParagraphFont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5">
    <w:name w:val="Нижний колонтитул Знак"/>
    <w:basedOn w:val="DefaultParagraphFont"/>
    <w:qFormat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Style6">
    <w:name w:val="Основной текст Знак"/>
    <w:basedOn w:val="DefaultParagraphFont"/>
    <w:qFormat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21">
    <w:name w:val="Основной текст с отступом 2 Знак"/>
    <w:basedOn w:val="DefaultParagraphFont"/>
    <w:link w:val="BodyTextIndent2"/>
    <w:qFormat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31">
    <w:name w:val="Основной текст 3 Знак"/>
    <w:basedOn w:val="DefaultParagraphFont"/>
    <w:link w:val="BodyText3"/>
    <w:qFormat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32">
    <w:name w:val="Основной текст с отступом 3 Знак"/>
    <w:basedOn w:val="DefaultParagraphFont"/>
    <w:link w:val="BodyTextIndent3"/>
    <w:qFormat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22">
    <w:name w:val="Основной текст 2 Знак"/>
    <w:basedOn w:val="DefaultParagraphFont"/>
    <w:link w:val="BodyText2"/>
    <w:qFormat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Pagenumber">
    <w:name w:val="page number"/>
    <w:basedOn w:val="DefaultParagraphFont"/>
    <w:qFormat/>
    <w:rPr/>
  </w:style>
  <w:style w:type="character" w:styleId="Hyperlink">
    <w:name w:val="Hyperlink"/>
    <w:rPr>
      <w:color w:val="0000FF"/>
      <w:u w:val="single"/>
    </w:rPr>
  </w:style>
  <w:style w:type="character" w:styleId="Style7">
    <w:name w:val="Текст выноски Знак"/>
    <w:basedOn w:val="DefaultParagraphFont"/>
    <w:link w:val="BalloonText"/>
    <w:qFormat/>
    <w:rPr>
      <w:rFonts w:ascii="Tahoma" w:hAnsi="Tahoma" w:eastAsia="Times New Roman" w:cs="Tahoma"/>
      <w:sz w:val="16"/>
      <w:szCs w:val="16"/>
      <w:lang w:eastAsia="ru-RU"/>
    </w:rPr>
  </w:style>
  <w:style w:type="character" w:styleId="Annotationreference">
    <w:name w:val="annotation reference"/>
    <w:qFormat/>
    <w:rPr>
      <w:sz w:val="16"/>
      <w:szCs w:val="16"/>
    </w:rPr>
  </w:style>
  <w:style w:type="character" w:styleId="Style8">
    <w:name w:val="Текст примечания Знак"/>
    <w:basedOn w:val="DefaultParagraphFont"/>
    <w:link w:val="Annotationtext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9">
    <w:name w:val="Тема примечания Знак"/>
    <w:basedOn w:val="Style8"/>
    <w:link w:val="Annotationsubject"/>
    <w:qFormat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styleId="Strong1">
    <w:name w:val="Strong1"/>
    <w:qFormat/>
    <w:rPr>
      <w:b/>
      <w:bCs/>
    </w:rPr>
  </w:style>
  <w:style w:type="character" w:styleId="Style10">
    <w:name w:val="Название Знак"/>
    <w:link w:val="15"/>
    <w:qFormat/>
    <w:rPr>
      <w:rFonts w:ascii="Times New Roman" w:hAnsi="Times New Roman" w:eastAsia="Times New Roman" w:cs="Times New Roman"/>
      <w:sz w:val="28"/>
      <w:szCs w:val="20"/>
      <w:lang w:val="x-none" w:eastAsia="x-none"/>
    </w:rPr>
  </w:style>
  <w:style w:type="character" w:styleId="Style11">
    <w:name w:val="Подзаголовок Знак"/>
    <w:basedOn w:val="DefaultParagraphFont"/>
    <w:qFormat/>
    <w:rPr>
      <w:rFonts w:ascii="Cambria" w:hAnsi="Cambria" w:eastAsia="Times New Roman" w:cs="Times New Roman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qFormat/>
    <w:rPr>
      <w:i/>
      <w:iCs/>
    </w:rPr>
  </w:style>
  <w:style w:type="character" w:styleId="23">
    <w:name w:val="Цитата 2 Знак"/>
    <w:basedOn w:val="DefaultParagraphFont"/>
    <w:link w:val="Quote"/>
    <w:qFormat/>
    <w:rPr>
      <w:rFonts w:ascii="Calibri" w:hAnsi="Calibri" w:eastAsia="Calibri" w:cs="Times New Roman"/>
      <w:i/>
      <w:iCs/>
      <w:color w:val="000000"/>
      <w:sz w:val="20"/>
      <w:szCs w:val="20"/>
      <w:lang w:val="x-none" w:eastAsia="x-none"/>
    </w:rPr>
  </w:style>
  <w:style w:type="character" w:styleId="Style12">
    <w:name w:val="Выделенная цитата Знак"/>
    <w:basedOn w:val="DefaultParagraphFont"/>
    <w:link w:val="IntenseQuote"/>
    <w:qFormat/>
    <w:rPr>
      <w:rFonts w:ascii="Calibri" w:hAnsi="Calibri" w:eastAsia="Calibri" w:cs="Times New Roman"/>
      <w:b/>
      <w:bCs/>
      <w:i/>
      <w:iCs/>
      <w:color w:val="4F81BD"/>
      <w:sz w:val="20"/>
      <w:szCs w:val="20"/>
      <w:lang w:val="x-none" w:eastAsia="x-none"/>
    </w:rPr>
  </w:style>
  <w:style w:type="character" w:styleId="SubtleEmphasis">
    <w:name w:val="Subtle Emphasis"/>
    <w:qFormat/>
    <w:rPr>
      <w:i/>
      <w:iCs/>
      <w:color w:val="808080"/>
    </w:rPr>
  </w:style>
  <w:style w:type="character" w:styleId="IntenseEmphasis">
    <w:name w:val="Intense Emphasis"/>
    <w:qFormat/>
    <w:rPr>
      <w:b/>
      <w:bCs/>
      <w:i/>
      <w:iCs/>
      <w:color w:val="4F81BD"/>
    </w:rPr>
  </w:style>
  <w:style w:type="character" w:styleId="SubtleReference">
    <w:name w:val="Subtle Reference"/>
    <w:qFormat/>
    <w:rPr>
      <w:smallCaps/>
      <w:color w:val="C0504D"/>
      <w:u w:val="single"/>
    </w:rPr>
  </w:style>
  <w:style w:type="character" w:styleId="IntenseReference">
    <w:name w:val="Intense Reference"/>
    <w:qFormat/>
    <w:rPr>
      <w:b/>
      <w:bCs/>
      <w:smallCaps/>
      <w:color w:val="C0504D"/>
      <w:spacing w:val="5"/>
      <w:u w:val="single"/>
    </w:rPr>
  </w:style>
  <w:style w:type="character" w:styleId="BookTitle">
    <w:name w:val="Book Title"/>
    <w:qFormat/>
    <w:rPr>
      <w:b/>
      <w:bCs/>
      <w:smallCaps/>
      <w:spacing w:val="5"/>
    </w:rPr>
  </w:style>
  <w:style w:type="character" w:styleId="Style13">
    <w:name w:val="Электронная подпись Знак"/>
    <w:basedOn w:val="DefaultParagraphFont"/>
    <w:link w:val="E-mailSignature"/>
    <w:qFormat/>
    <w:rPr>
      <w:rFonts w:ascii="Times New Roman" w:hAnsi="Times New Roman" w:eastAsia="Calibri" w:cs="Times New Roman"/>
      <w:sz w:val="24"/>
      <w:szCs w:val="24"/>
      <w:lang w:val="x-none" w:eastAsia="x-none"/>
    </w:rPr>
  </w:style>
  <w:style w:type="character" w:styleId="11">
    <w:name w:val="Подпункт Знак1"/>
    <w:link w:val="Style27"/>
    <w:qFormat/>
    <w:rPr>
      <w:rFonts w:ascii="Times New Roman" w:hAnsi="Times New Roman" w:eastAsia="Times New Roman" w:cs="Times New Roman"/>
      <w:sz w:val="28"/>
      <w:szCs w:val="20"/>
      <w:lang w:val="x-none" w:eastAsia="x-none"/>
    </w:rPr>
  </w:style>
  <w:style w:type="character" w:styleId="Blk">
    <w:name w:val="blk"/>
    <w:qFormat/>
    <w:rPr/>
  </w:style>
  <w:style w:type="character" w:styleId="Style14">
    <w:name w:val="Абзац списка Знак"/>
    <w:link w:val="ListParagraph"/>
    <w:qFormat/>
    <w:rPr>
      <w:rFonts w:ascii="Times New Roman" w:hAnsi="Times New Roman" w:eastAsia="Calibri" w:cs="Times New Roman"/>
      <w:sz w:val="24"/>
      <w:szCs w:val="24"/>
      <w:lang w:eastAsia="ru-RU"/>
    </w:rPr>
  </w:style>
  <w:style w:type="character" w:styleId="Style15">
    <w:name w:val="Подподпункт Знак"/>
    <w:link w:val="Style34"/>
    <w:qFormat/>
    <w:rPr>
      <w:rFonts w:ascii="Times New Roman" w:hAnsi="Times New Roman" w:eastAsia="Times New Roman" w:cs="Times New Roman"/>
      <w:sz w:val="26"/>
      <w:szCs w:val="26"/>
      <w:lang w:eastAsia="ru-RU"/>
    </w:rPr>
  </w:style>
  <w:style w:type="character" w:styleId="33">
    <w:name w:val="УРОВЕНЬ_Абзац_тип3 Знак"/>
    <w:link w:val="37"/>
    <w:qFormat/>
    <w:rPr>
      <w:rFonts w:ascii="Times New Roman" w:hAnsi="Times New Roman" w:eastAsia="Calibri" w:cs="Times New Roman"/>
      <w:sz w:val="26"/>
      <w:szCs w:val="28"/>
    </w:rPr>
  </w:style>
  <w:style w:type="character" w:styleId="Style16">
    <w:name w:val="Текст концевой сноски Знак"/>
    <w:basedOn w:val="DefaultParagraphFont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7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>
    <w:name w:val="Endnote Characters"/>
    <w:basedOn w:val="DefaultParagraphFont"/>
    <w:qFormat/>
    <w:rPr>
      <w:vertAlign w:val="superscript"/>
    </w:rPr>
  </w:style>
  <w:style w:type="character" w:styleId="24">
    <w:name w:val="Пункт2 Знак"/>
    <w:link w:val="26"/>
    <w:qFormat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12">
    <w:name w:val="УРОВЕНЬ_1. Знак"/>
    <w:link w:val="19"/>
    <w:qFormat/>
    <w:rPr>
      <w:rFonts w:ascii="Times New Roman" w:hAnsi="Times New Roman" w:eastAsia="Calibri" w:cs="Times New Roman"/>
      <w:caps/>
      <w:sz w:val="28"/>
      <w:szCs w:val="28"/>
    </w:rPr>
  </w:style>
  <w:style w:type="character" w:styleId="13">
    <w:name w:val="Неразрешенное упоминание1"/>
    <w:basedOn w:val="DefaultParagraphFont"/>
    <w:qFormat/>
    <w:rPr>
      <w:color w:val="605E5C"/>
      <w:shd w:fill="E1DFDD" w:val="clear"/>
    </w:rPr>
  </w:style>
  <w:style w:type="character" w:styleId="FontStyle16">
    <w:name w:val="Font Style16"/>
    <w:qFormat/>
    <w:rPr>
      <w:rFonts w:ascii="Times New Roman" w:hAnsi="Times New Roman" w:cs="Times New Roman"/>
      <w:sz w:val="22"/>
      <w:szCs w:val="22"/>
    </w:rPr>
  </w:style>
  <w:style w:type="character" w:styleId="Text">
    <w:name w:val="text"/>
    <w:qFormat/>
    <w:rPr/>
  </w:style>
  <w:style w:type="character" w:styleId="Value">
    <w:name w:val="value"/>
    <w:qFormat/>
    <w:rPr/>
  </w:style>
  <w:style w:type="character" w:styleId="Style18">
    <w:name w:val="Текст Знак"/>
    <w:basedOn w:val="DefaultParagraphFont"/>
    <w:link w:val="PlainText"/>
    <w:qFormat/>
    <w:rPr>
      <w:rFonts w:ascii="Calibri" w:hAnsi="Calibri" w:eastAsia="Calibri" w:cs="Times New Roman"/>
      <w:szCs w:val="21"/>
      <w:lang w:val="x-none"/>
    </w:rPr>
  </w:style>
  <w:style w:type="character" w:styleId="Name">
    <w:name w:val="name"/>
    <w:qFormat/>
    <w:rPr/>
  </w:style>
  <w:style w:type="character" w:styleId="Extended-textshort">
    <w:name w:val="extended-text__short"/>
    <w:qFormat/>
    <w:rPr/>
  </w:style>
  <w:style w:type="character" w:styleId="FollowedHyperlink">
    <w:name w:val="FollowedHyperlink"/>
    <w:rPr>
      <w:color w:val="800080"/>
      <w:u w:val="single"/>
    </w:rPr>
  </w:style>
  <w:style w:type="character" w:styleId="Productcode">
    <w:name w:val="product_code"/>
    <w:qFormat/>
    <w:rPr/>
  </w:style>
  <w:style w:type="character" w:styleId="Add-data-value">
    <w:name w:val="add-data-value"/>
    <w:basedOn w:val="DefaultParagraphFont"/>
    <w:qFormat/>
    <w:rPr/>
  </w:style>
  <w:style w:type="character" w:styleId="Extendedtext-short">
    <w:name w:val="extendedtext-short"/>
    <w:qFormat/>
    <w:rPr/>
  </w:style>
  <w:style w:type="character" w:styleId="Strong2">
    <w:name w:val="Strong2"/>
    <w:qFormat/>
    <w:rPr>
      <w:b/>
      <w:bCs/>
    </w:rPr>
  </w:style>
  <w:style w:type="character" w:styleId="Style19">
    <w:name w:val="Маркеры"/>
    <w:qFormat/>
    <w:rPr>
      <w:rFonts w:ascii="OpenSymbol" w:hAnsi="OpenSymbol" w:eastAsia="OpenSymbol" w:cs="OpenSymbol"/>
    </w:rPr>
  </w:style>
  <w:style w:type="character" w:styleId="Strong">
    <w:name w:val="Strong"/>
    <w:qFormat/>
    <w:rPr>
      <w:b/>
      <w:bCs/>
    </w:rPr>
  </w:style>
  <w:style w:type="paragraph" w:styleId="Style2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pPr>
      <w:spacing w:before="0" w:after="120"/>
    </w:pPr>
    <w:rPr>
      <w:rFonts w:eastAsia="Times New Roman" w:cs="Times New Roman"/>
      <w:sz w:val="28"/>
      <w:szCs w:val="28"/>
      <w:lang w:eastAsia="ru-RU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lang w:val="zxx" w:eastAsia="zxx" w:bidi="zxx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next w:val="Normal"/>
    <w:qFormat/>
    <w:pPr/>
    <w:rPr>
      <w:rFonts w:eastAsia="Calibri" w:cs="Times New Roman"/>
      <w:b/>
      <w:bCs/>
      <w:color w:val="4F81BD"/>
      <w:sz w:val="18"/>
      <w:szCs w:val="18"/>
      <w:lang w:eastAsia="ru-RU"/>
    </w:rPr>
  </w:style>
  <w:style w:type="paragraph" w:styleId="Indexheading1">
    <w:name w:val="index heading1"/>
    <w:basedOn w:val="Title"/>
    <w:qFormat/>
    <w:pPr/>
    <w:rPr/>
  </w:style>
  <w:style w:type="paragraph" w:styleId="Style22">
    <w:name w:val="Раздел положения"/>
    <w:basedOn w:val="Normal"/>
    <w:autoRedefine/>
    <w:qFormat/>
    <w:pPr>
      <w:numPr>
        <w:ilvl w:val="0"/>
        <w:numId w:val="2"/>
      </w:numPr>
      <w:spacing w:before="80" w:after="80"/>
      <w:jc w:val="center"/>
    </w:pPr>
    <w:rPr>
      <w:rFonts w:eastAsia="Times New Roman" w:cs="Times New Roman"/>
      <w:b/>
      <w:sz w:val="32"/>
      <w:szCs w:val="32"/>
      <w:lang w:eastAsia="ru-RU"/>
    </w:rPr>
  </w:style>
  <w:style w:type="paragraph" w:styleId="Style23">
    <w:name w:val="Подраздел раздела положения"/>
    <w:basedOn w:val="Normal"/>
    <w:autoRedefine/>
    <w:qFormat/>
    <w:pPr>
      <w:numPr>
        <w:ilvl w:val="1"/>
        <w:numId w:val="2"/>
      </w:numPr>
      <w:spacing w:before="80" w:after="80"/>
      <w:jc w:val="both"/>
    </w:pPr>
    <w:rPr>
      <w:rFonts w:eastAsia="Times New Roman" w:cs="Times New Roman"/>
      <w:sz w:val="28"/>
      <w:szCs w:val="28"/>
      <w:lang w:eastAsia="ru-RU"/>
    </w:rPr>
  </w:style>
  <w:style w:type="paragraph" w:styleId="Style24">
    <w:name w:val="Таблица шапка"/>
    <w:basedOn w:val="Normal"/>
    <w:qFormat/>
    <w:pPr>
      <w:keepNext w:val="true"/>
      <w:spacing w:before="40" w:after="40"/>
      <w:ind w:left="57" w:right="57" w:hanging="0"/>
    </w:pPr>
    <w:rPr>
      <w:rFonts w:eastAsia="Times New Roman" w:cs="Times New Roman"/>
      <w:sz w:val="22"/>
      <w:szCs w:val="26"/>
      <w:lang w:eastAsia="ru-RU"/>
    </w:rPr>
  </w:style>
  <w:style w:type="paragraph" w:styleId="Style25">
    <w:name w:val="Название раздела инструкции"/>
    <w:basedOn w:val="Normal"/>
    <w:autoRedefine/>
    <w:qFormat/>
    <w:pPr>
      <w:jc w:val="center"/>
    </w:pPr>
    <w:rPr>
      <w:rFonts w:eastAsia="Times New Roman" w:cs="Times New Roman"/>
      <w:b/>
      <w:sz w:val="28"/>
      <w:szCs w:val="28"/>
      <w:lang w:eastAsia="ru-RU"/>
    </w:rPr>
  </w:style>
  <w:style w:type="paragraph" w:styleId="FootnoteText">
    <w:name w:val="Footnote Text"/>
    <w:basedOn w:val="Normal"/>
    <w:link w:val="Style1"/>
    <w:pPr/>
    <w:rPr>
      <w:rFonts w:eastAsia="Times New Roman" w:cs="Times New Roman"/>
      <w:sz w:val="20"/>
      <w:szCs w:val="20"/>
      <w:lang w:eastAsia="ru-RU"/>
    </w:rPr>
  </w:style>
  <w:style w:type="paragraph" w:styleId="14">
    <w:name w:val="Шапка 1"/>
    <w:basedOn w:val="Normal"/>
    <w:qFormat/>
    <w:pPr>
      <w:pBdr>
        <w:bottom w:val="thickThinSmallGap" w:sz="24" w:space="1" w:color="000000"/>
      </w:pBdr>
      <w:spacing w:before="0" w:after="240"/>
      <w:jc w:val="center"/>
    </w:pPr>
    <w:rPr>
      <w:rFonts w:eastAsia="Times New Roman" w:cs="Times New Roman"/>
      <w:sz w:val="22"/>
      <w:lang w:eastAsia="ru-RU"/>
    </w:rPr>
  </w:style>
  <w:style w:type="paragraph" w:styleId="25">
    <w:name w:val="Шапка 2"/>
    <w:basedOn w:val="Normal"/>
    <w:qFormat/>
    <w:pPr>
      <w:pBdr>
        <w:bottom w:val="thickThinSmallGap" w:sz="24" w:space="1" w:color="000000"/>
      </w:pBdr>
      <w:spacing w:before="0" w:after="120"/>
      <w:jc w:val="center"/>
    </w:pPr>
    <w:rPr>
      <w:rFonts w:eastAsia="Times New Roman" w:cs="Times New Roman"/>
      <w:b/>
      <w:sz w:val="22"/>
      <w:lang w:eastAsia="ru-RU"/>
    </w:rPr>
  </w:style>
  <w:style w:type="paragraph" w:styleId="34">
    <w:name w:val="Шапка 3"/>
    <w:basedOn w:val="Normal"/>
    <w:qFormat/>
    <w:pPr>
      <w:pBdr>
        <w:bottom w:val="thickThinSmallGap" w:sz="24" w:space="1" w:color="000000"/>
      </w:pBdr>
      <w:spacing w:before="240" w:after="360"/>
      <w:jc w:val="center"/>
    </w:pPr>
    <w:rPr>
      <w:rFonts w:eastAsia="Times New Roman" w:cs="Times New Roman"/>
      <w:b/>
      <w:szCs w:val="24"/>
      <w:lang w:eastAsia="ru-RU"/>
    </w:rPr>
  </w:style>
  <w:style w:type="paragraph" w:styleId="15">
    <w:name w:val="Название1"/>
    <w:basedOn w:val="Normal"/>
    <w:link w:val="Style10"/>
    <w:qFormat/>
    <w:pPr>
      <w:jc w:val="center"/>
    </w:pPr>
    <w:rPr>
      <w:rFonts w:eastAsia="Times New Roman" w:cs="Times New Roman"/>
      <w:sz w:val="28"/>
      <w:szCs w:val="20"/>
      <w:lang w:val="x-none" w:eastAsia="x-none"/>
    </w:rPr>
  </w:style>
  <w:style w:type="paragraph" w:styleId="Style26">
    <w:name w:val="Колонтитул"/>
    <w:basedOn w:val="Normal"/>
    <w:qFormat/>
    <w:pPr/>
    <w:rPr/>
  </w:style>
  <w:style w:type="paragraph" w:styleId="Header">
    <w:name w:val="Header"/>
    <w:basedOn w:val="Normal"/>
    <w:link w:val="Style3"/>
    <w:pPr>
      <w:tabs>
        <w:tab w:val="clear" w:pos="708"/>
        <w:tab w:val="center" w:pos="4677" w:leader="none"/>
        <w:tab w:val="right" w:pos="9355" w:leader="none"/>
      </w:tabs>
    </w:pPr>
    <w:rPr>
      <w:rFonts w:eastAsia="Times New Roman" w:cs="Times New Roman"/>
      <w:szCs w:val="24"/>
      <w:lang w:eastAsia="ru-RU"/>
    </w:rPr>
  </w:style>
  <w:style w:type="paragraph" w:styleId="BodyTextIndent">
    <w:name w:val="Body Text Indent"/>
    <w:basedOn w:val="Normal"/>
    <w:link w:val="Style4"/>
    <w:pPr>
      <w:ind w:left="360" w:right="0" w:hanging="0"/>
    </w:pPr>
    <w:rPr>
      <w:rFonts w:eastAsia="Times New Roman" w:cs="Times New Roman"/>
      <w:szCs w:val="24"/>
      <w:lang w:eastAsia="ru-RU"/>
    </w:rPr>
  </w:style>
  <w:style w:type="paragraph" w:styleId="Footer">
    <w:name w:val="Footer"/>
    <w:basedOn w:val="Normal"/>
    <w:link w:val="Style5"/>
    <w:pPr>
      <w:tabs>
        <w:tab w:val="clear" w:pos="708"/>
        <w:tab w:val="center" w:pos="4677" w:leader="none"/>
        <w:tab w:val="right" w:pos="9355" w:leader="none"/>
      </w:tabs>
    </w:pPr>
    <w:rPr>
      <w:rFonts w:eastAsia="Times New Roman" w:cs="Times New Roman"/>
      <w:sz w:val="28"/>
      <w:szCs w:val="28"/>
      <w:lang w:eastAsia="ru-RU"/>
    </w:rPr>
  </w:style>
  <w:style w:type="paragraph" w:styleId="BodyTextIndent2">
    <w:name w:val="Body Text Indent 2"/>
    <w:basedOn w:val="Normal"/>
    <w:link w:val="21"/>
    <w:qFormat/>
    <w:pPr>
      <w:spacing w:lineRule="auto" w:line="480" w:before="0" w:after="120"/>
      <w:ind w:left="283" w:right="0" w:hanging="0"/>
    </w:pPr>
    <w:rPr>
      <w:rFonts w:eastAsia="Times New Roman" w:cs="Times New Roman"/>
      <w:sz w:val="28"/>
      <w:szCs w:val="28"/>
      <w:lang w:eastAsia="ru-RU"/>
    </w:rPr>
  </w:style>
  <w:style w:type="paragraph" w:styleId="BodyText3">
    <w:name w:val="Body Text 3"/>
    <w:basedOn w:val="Normal"/>
    <w:link w:val="31"/>
    <w:qFormat/>
    <w:pPr>
      <w:spacing w:before="0" w:after="120"/>
    </w:pPr>
    <w:rPr>
      <w:rFonts w:eastAsia="Times New Roman" w:cs="Times New Roman"/>
      <w:sz w:val="16"/>
      <w:szCs w:val="16"/>
      <w:lang w:eastAsia="ru-RU"/>
    </w:rPr>
  </w:style>
  <w:style w:type="paragraph" w:styleId="BodyTextIndent3">
    <w:name w:val="Body Text Indent 3"/>
    <w:basedOn w:val="Normal"/>
    <w:link w:val="32"/>
    <w:qFormat/>
    <w:pPr>
      <w:spacing w:before="0" w:after="120"/>
      <w:ind w:left="283" w:right="0" w:hanging="0"/>
    </w:pPr>
    <w:rPr>
      <w:rFonts w:eastAsia="Times New Roman" w:cs="Times New Roman"/>
      <w:sz w:val="16"/>
      <w:szCs w:val="16"/>
      <w:lang w:eastAsia="ru-RU"/>
    </w:rPr>
  </w:style>
  <w:style w:type="paragraph" w:styleId="BodyText2">
    <w:name w:val="Body Text 2"/>
    <w:basedOn w:val="Normal"/>
    <w:link w:val="22"/>
    <w:qFormat/>
    <w:pPr>
      <w:spacing w:lineRule="auto" w:line="480" w:before="0" w:after="120"/>
    </w:pPr>
    <w:rPr>
      <w:rFonts w:eastAsia="Times New Roman" w:cs="Times New Roman"/>
      <w:sz w:val="28"/>
      <w:szCs w:val="28"/>
      <w:lang w:eastAsia="ru-RU"/>
    </w:rPr>
  </w:style>
  <w:style w:type="paragraph" w:styleId="BlockText">
    <w:name w:val="Block Text"/>
    <w:basedOn w:val="Normal"/>
    <w:qFormat/>
    <w:pPr>
      <w:ind w:left="-567" w:right="-766" w:hanging="0"/>
      <w:jc w:val="center"/>
    </w:pPr>
    <w:rPr>
      <w:rFonts w:eastAsia="Times New Roman" w:cs="Times New Roman"/>
      <w:b/>
      <w:bCs/>
      <w:szCs w:val="20"/>
      <w:lang w:eastAsia="ru-RU"/>
    </w:rPr>
  </w:style>
  <w:style w:type="paragraph" w:styleId="Style27">
    <w:name w:val="Подпункт"/>
    <w:basedOn w:val="Normal"/>
    <w:link w:val="11"/>
    <w:qFormat/>
    <w:pPr>
      <w:tabs>
        <w:tab w:val="clear" w:pos="708"/>
        <w:tab w:val="left" w:pos="1134" w:leader="none"/>
      </w:tabs>
      <w:snapToGrid w:val="false"/>
      <w:spacing w:lineRule="auto" w:line="360"/>
      <w:ind w:left="1134" w:right="0" w:hanging="1134"/>
      <w:jc w:val="both"/>
    </w:pPr>
    <w:rPr>
      <w:rFonts w:eastAsia="Times New Roman" w:cs="Times New Roman"/>
      <w:sz w:val="28"/>
      <w:szCs w:val="20"/>
      <w:lang w:val="x-none" w:eastAsia="x-none"/>
    </w:rPr>
  </w:style>
  <w:style w:type="paragraph" w:styleId="26">
    <w:name w:val="Пункт2"/>
    <w:basedOn w:val="Normal"/>
    <w:link w:val="24"/>
    <w:qFormat/>
    <w:pPr>
      <w:keepNext w:val="true"/>
      <w:numPr>
        <w:ilvl w:val="0"/>
        <w:numId w:val="0"/>
      </w:numPr>
      <w:tabs>
        <w:tab w:val="clear" w:pos="708"/>
        <w:tab w:val="left" w:pos="1134" w:leader="none"/>
      </w:tabs>
      <w:snapToGrid w:val="false"/>
      <w:spacing w:before="240" w:after="120"/>
      <w:ind w:left="1134" w:right="0" w:hanging="1134"/>
      <w:outlineLvl w:val="2"/>
    </w:pPr>
    <w:rPr>
      <w:rFonts w:eastAsia="Times New Roman" w:cs="Times New Roman"/>
      <w:b/>
      <w:sz w:val="28"/>
      <w:szCs w:val="20"/>
      <w:lang w:eastAsia="ru-RU"/>
    </w:rPr>
  </w:style>
  <w:style w:type="paragraph" w:styleId="TOC1">
    <w:name w:val="TOC 1"/>
    <w:basedOn w:val="Normal"/>
    <w:next w:val="Normal"/>
    <w:autoRedefine/>
    <w:pPr>
      <w:spacing w:before="120" w:after="0"/>
    </w:pPr>
    <w:rPr>
      <w:rFonts w:eastAsia="Times New Roman" w:cs="Calibri Light (Заголовки)"/>
      <w:b/>
      <w:bCs/>
      <w:szCs w:val="24"/>
      <w:lang w:eastAsia="ru-RU"/>
    </w:rPr>
  </w:style>
  <w:style w:type="paragraph" w:styleId="TOC3">
    <w:name w:val="TOC 3"/>
    <w:basedOn w:val="Normal"/>
    <w:next w:val="Normal"/>
    <w:autoRedefine/>
    <w:pPr>
      <w:ind w:left="280" w:right="0" w:hanging="0"/>
    </w:pPr>
    <w:rPr>
      <w:rFonts w:eastAsia="Times New Roman" w:cs="Calibri"/>
      <w:sz w:val="20"/>
      <w:szCs w:val="20"/>
      <w:lang w:eastAsia="ru-RU"/>
    </w:rPr>
  </w:style>
  <w:style w:type="paragraph" w:styleId="Style28">
    <w:name w:val="Раздел регламента"/>
    <w:basedOn w:val="Normal"/>
    <w:qFormat/>
    <w:pPr/>
    <w:rPr>
      <w:rFonts w:eastAsia="Times New Roman" w:cs="Times New Roman"/>
      <w:sz w:val="28"/>
      <w:szCs w:val="28"/>
      <w:lang w:eastAsia="ru-RU"/>
    </w:rPr>
  </w:style>
  <w:style w:type="paragraph" w:styleId="Style29">
    <w:name w:val="Приложение к регламенту"/>
    <w:basedOn w:val="Normal"/>
    <w:qFormat/>
    <w:pPr>
      <w:jc w:val="right"/>
    </w:pPr>
    <w:rPr>
      <w:rFonts w:eastAsia="Times New Roman" w:cs="Times New Roman"/>
      <w:sz w:val="28"/>
      <w:szCs w:val="28"/>
      <w:lang w:eastAsia="ru-RU"/>
    </w:rPr>
  </w:style>
  <w:style w:type="paragraph" w:styleId="TOC2">
    <w:name w:val="TOC 2"/>
    <w:basedOn w:val="Normal"/>
    <w:next w:val="Normal"/>
    <w:autoRedefine/>
    <w:pPr>
      <w:spacing w:before="240" w:after="0"/>
    </w:pPr>
    <w:rPr>
      <w:rFonts w:eastAsia="Times New Roman" w:cs="Calibri"/>
      <w:b/>
      <w:bCs/>
      <w:sz w:val="20"/>
      <w:szCs w:val="20"/>
      <w:lang w:eastAsia="ru-RU"/>
    </w:rPr>
  </w:style>
  <w:style w:type="paragraph" w:styleId="BalloonText">
    <w:name w:val="Balloon Text"/>
    <w:basedOn w:val="Normal"/>
    <w:link w:val="Style7"/>
    <w:qFormat/>
    <w:pPr/>
    <w:rPr>
      <w:rFonts w:ascii="Tahoma" w:hAnsi="Tahoma" w:eastAsia="Times New Roman" w:cs="Tahoma"/>
      <w:sz w:val="16"/>
      <w:szCs w:val="16"/>
      <w:lang w:eastAsia="ru-RU"/>
    </w:rPr>
  </w:style>
  <w:style w:type="paragraph" w:styleId="Annotationtext">
    <w:name w:val="annotation text"/>
    <w:basedOn w:val="Normal"/>
    <w:link w:val="Style8"/>
    <w:qFormat/>
    <w:pPr/>
    <w:rPr>
      <w:rFonts w:eastAsia="Times New Roman" w:cs="Times New Roman"/>
      <w:sz w:val="20"/>
      <w:szCs w:val="20"/>
      <w:lang w:eastAsia="ru-RU"/>
    </w:rPr>
  </w:style>
  <w:style w:type="paragraph" w:styleId="Annotationsubject">
    <w:name w:val="annotation subject"/>
    <w:basedOn w:val="Annotationtext"/>
    <w:next w:val="Annotationtext"/>
    <w:link w:val="Style9"/>
    <w:qFormat/>
    <w:pPr/>
    <w:rPr>
      <w:b/>
      <w:bCs/>
    </w:rPr>
  </w:style>
  <w:style w:type="paragraph" w:styleId="16">
    <w:name w:val="Обычный (веб)1"/>
    <w:basedOn w:val="Normal"/>
    <w:qFormat/>
    <w:pPr>
      <w:spacing w:before="280" w:after="280"/>
    </w:pPr>
    <w:rPr>
      <w:rFonts w:ascii="Arial Unicode MS" w:hAnsi="Arial Unicode MS" w:eastAsia="Arial Unicode MS" w:cs="Arial Unicode MS"/>
      <w:szCs w:val="24"/>
      <w:lang w:eastAsia="ru-RU"/>
    </w:rPr>
  </w:style>
  <w:style w:type="paragraph" w:styleId="TOC9">
    <w:name w:val="TOC 9"/>
    <w:basedOn w:val="Normal"/>
    <w:next w:val="Normal"/>
    <w:autoRedefine/>
    <w:pPr>
      <w:ind w:left="1960" w:right="0" w:hanging="0"/>
    </w:pPr>
    <w:rPr>
      <w:rFonts w:ascii="Calibri" w:hAnsi="Calibri" w:eastAsia="Times New Roman" w:cs="Calibri"/>
      <w:sz w:val="20"/>
      <w:szCs w:val="20"/>
      <w:lang w:eastAsia="ru-RU"/>
    </w:rPr>
  </w:style>
  <w:style w:type="paragraph" w:styleId="TOC5">
    <w:name w:val="TOC 5"/>
    <w:basedOn w:val="Normal"/>
    <w:next w:val="Normal"/>
    <w:autoRedefine/>
    <w:pPr>
      <w:ind w:left="840" w:right="0" w:hanging="0"/>
    </w:pPr>
    <w:rPr>
      <w:rFonts w:ascii="Calibri" w:hAnsi="Calibri" w:eastAsia="Times New Roman" w:cs="Calibri"/>
      <w:sz w:val="20"/>
      <w:szCs w:val="20"/>
      <w:lang w:eastAsia="ru-RU"/>
    </w:rPr>
  </w:style>
  <w:style w:type="paragraph" w:styleId="TOC4">
    <w:name w:val="TOC 4"/>
    <w:basedOn w:val="Normal"/>
    <w:next w:val="Normal"/>
    <w:autoRedefine/>
    <w:pPr>
      <w:ind w:left="560" w:right="0" w:hanging="0"/>
    </w:pPr>
    <w:rPr>
      <w:rFonts w:eastAsia="Times New Roman" w:cs="Calibri"/>
      <w:sz w:val="20"/>
      <w:szCs w:val="20"/>
      <w:lang w:eastAsia="ru-RU"/>
    </w:rPr>
  </w:style>
  <w:style w:type="paragraph" w:styleId="27">
    <w:name w:val="Раздел положения 2"/>
    <w:basedOn w:val="Normal"/>
    <w:qFormat/>
    <w:pPr>
      <w:pageBreakBefore/>
      <w:numPr>
        <w:ilvl w:val="0"/>
        <w:numId w:val="0"/>
      </w:numPr>
      <w:jc w:val="both"/>
      <w:outlineLvl w:val="0"/>
    </w:pPr>
    <w:rPr>
      <w:rFonts w:eastAsia="Times New Roman" w:cs="Times New Roman"/>
      <w:b/>
      <w:sz w:val="28"/>
      <w:szCs w:val="28"/>
      <w:lang w:eastAsia="ru-RU"/>
    </w:rPr>
  </w:style>
  <w:style w:type="paragraph" w:styleId="Style30">
    <w:name w:val="Знак Знак Знак Знак Знак Знак Знак Знак Знак"/>
    <w:basedOn w:val="Normal"/>
    <w:qFormat/>
    <w:pPr>
      <w:spacing w:lineRule="exact" w:line="240" w:before="0" w:after="160"/>
      <w:jc w:val="both"/>
    </w:pPr>
    <w:rPr>
      <w:rFonts w:ascii="Verdana" w:hAnsi="Verdana" w:eastAsia="Times New Roman" w:cs="Times New Roman"/>
      <w:sz w:val="22"/>
      <w:szCs w:val="20"/>
      <w:lang w:val="en-US"/>
    </w:rPr>
  </w:style>
  <w:style w:type="paragraph" w:styleId="NoSpacing">
    <w:name w:val="No Spacing"/>
    <w:basedOn w:val="Normal"/>
    <w:qFormat/>
    <w:pPr>
      <w:spacing w:lineRule="auto" w:line="360"/>
    </w:pPr>
    <w:rPr>
      <w:rFonts w:eastAsia="Calibri" w:cs="Times New Roman"/>
      <w:szCs w:val="24"/>
      <w:lang w:eastAsia="ru-RU"/>
    </w:rPr>
  </w:style>
  <w:style w:type="paragraph" w:styleId="Subtitle">
    <w:name w:val="Subtitle"/>
    <w:basedOn w:val="Normal"/>
    <w:next w:val="Normal"/>
    <w:link w:val="Style11"/>
    <w:qFormat/>
    <w:pPr>
      <w:ind w:left="1066" w:right="0" w:firstLine="709"/>
    </w:pPr>
    <w:rPr>
      <w:rFonts w:ascii="Cambria" w:hAnsi="Cambria" w:eastAsia="Times New Roman" w:cs="Times New Roman"/>
      <w:i/>
      <w:iCs/>
      <w:color w:val="4F81BD"/>
      <w:spacing w:val="15"/>
      <w:szCs w:val="24"/>
      <w:lang w:val="x-none" w:eastAsia="x-none"/>
    </w:rPr>
  </w:style>
  <w:style w:type="paragraph" w:styleId="ListParagraph">
    <w:name w:val="List Paragraph"/>
    <w:basedOn w:val="Normal"/>
    <w:link w:val="Style14"/>
    <w:qFormat/>
    <w:pPr>
      <w:spacing w:before="0" w:after="0"/>
      <w:ind w:left="720" w:right="0" w:hanging="0"/>
      <w:contextualSpacing/>
    </w:pPr>
    <w:rPr>
      <w:rFonts w:eastAsia="Calibri" w:cs="Times New Roman"/>
      <w:szCs w:val="24"/>
      <w:lang w:eastAsia="ru-RU"/>
    </w:rPr>
  </w:style>
  <w:style w:type="paragraph" w:styleId="Quote">
    <w:name w:val="Quote"/>
    <w:basedOn w:val="Normal"/>
    <w:next w:val="Normal"/>
    <w:link w:val="23"/>
    <w:qFormat/>
    <w:pPr/>
    <w:rPr>
      <w:rFonts w:ascii="Calibri" w:hAnsi="Calibri" w:eastAsia="Calibri" w:cs="Times New Roman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12"/>
    <w:qFormat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 w:cs="Times New Roman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20"/>
    <w:pPr/>
    <w:rPr/>
  </w:style>
  <w:style w:type="paragraph" w:styleId="TOCHeading">
    <w:name w:val="TOC Heading"/>
    <w:basedOn w:val="Heading1"/>
    <w:next w:val="Normal"/>
    <w:qFormat/>
    <w:pPr>
      <w:keepLines/>
      <w:tabs>
        <w:tab w:val="clear" w:pos="0"/>
        <w:tab w:val="left" w:pos="709" w:leader="none"/>
      </w:tabs>
      <w:spacing w:before="480" w:after="0"/>
      <w:ind w:left="3196" w:right="0" w:hanging="3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13"/>
    <w:qFormat/>
    <w:pPr/>
    <w:rPr>
      <w:rFonts w:eastAsia="Calibri" w:cs="Times New Roman"/>
      <w:szCs w:val="24"/>
      <w:lang w:val="x-none" w:eastAsia="x-none"/>
    </w:rPr>
  </w:style>
  <w:style w:type="paragraph" w:styleId="Style31">
    <w:name w:val="Знак"/>
    <w:basedOn w:val="Normal"/>
    <w:qFormat/>
    <w:pPr>
      <w:spacing w:lineRule="exact" w:line="240" w:before="0" w:after="160"/>
    </w:pPr>
    <w:rPr>
      <w:rFonts w:ascii="Verdana" w:hAnsi="Verdana" w:eastAsia="Times New Roman" w:cs="Verdana"/>
      <w:sz w:val="20"/>
      <w:szCs w:val="20"/>
      <w:lang w:val="en-US"/>
    </w:rPr>
  </w:style>
  <w:style w:type="paragraph" w:styleId="35">
    <w:name w:val="Нумерованный список ур3"/>
    <w:basedOn w:val="Normal"/>
    <w:qFormat/>
    <w:pPr>
      <w:numPr>
        <w:ilvl w:val="2"/>
        <w:numId w:val="3"/>
      </w:numPr>
      <w:jc w:val="both"/>
    </w:pPr>
    <w:rPr>
      <w:rFonts w:ascii="Garamond" w:hAnsi="Garamond" w:eastAsia="Times New Roman" w:cs="Times New Roman"/>
      <w:szCs w:val="20"/>
      <w:lang w:eastAsia="ru-RU"/>
    </w:rPr>
  </w:style>
  <w:style w:type="paragraph" w:styleId="311">
    <w:name w:val="Список 31"/>
    <w:basedOn w:val="Normal"/>
    <w:qFormat/>
    <w:pPr>
      <w:numPr>
        <w:ilvl w:val="0"/>
        <w:numId w:val="3"/>
      </w:numPr>
      <w:spacing w:before="120" w:after="0"/>
      <w:jc w:val="both"/>
    </w:pPr>
    <w:rPr>
      <w:rFonts w:ascii="Garamond" w:hAnsi="Garamond" w:eastAsia="Times New Roman" w:cs="Times New Roman"/>
      <w:szCs w:val="20"/>
      <w:lang w:eastAsia="ru-RU"/>
    </w:rPr>
  </w:style>
  <w:style w:type="paragraph" w:styleId="28">
    <w:name w:val="Нумерованный список ур2"/>
    <w:basedOn w:val="Normal"/>
    <w:qFormat/>
    <w:pPr>
      <w:numPr>
        <w:ilvl w:val="1"/>
        <w:numId w:val="3"/>
      </w:numPr>
      <w:spacing w:before="120" w:after="0"/>
      <w:jc w:val="both"/>
    </w:pPr>
    <w:rPr>
      <w:rFonts w:ascii="Garamond" w:hAnsi="Garamond" w:eastAsia="Times New Roman" w:cs="Times New Roman"/>
      <w:szCs w:val="20"/>
      <w:lang w:eastAsia="ru-RU"/>
    </w:rPr>
  </w:style>
  <w:style w:type="paragraph" w:styleId="Revision">
    <w:name w:val="Revision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>
    <w:name w:val="ConsPlusNormal"/>
    <w:qFormat/>
    <w:pPr>
      <w:widowControl w:val="false"/>
      <w:suppressAutoHyphens w:val="true"/>
      <w:overflowPunct w:val="false"/>
      <w:bidi w:val="0"/>
      <w:spacing w:before="0" w:after="0"/>
      <w:ind w:left="0" w:right="0"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6">
    <w:name w:val="Знак Знак3 Знак Знак"/>
    <w:basedOn w:val="Normal"/>
    <w:qFormat/>
    <w:pPr>
      <w:spacing w:lineRule="exact" w:line="240" w:before="0" w:after="160"/>
      <w:jc w:val="both"/>
    </w:pPr>
    <w:rPr>
      <w:rFonts w:ascii="Verdana" w:hAnsi="Verdana" w:eastAsia="Times New Roman" w:cs="Verdana"/>
      <w:sz w:val="22"/>
      <w:lang w:val="en-US"/>
    </w:rPr>
  </w:style>
  <w:style w:type="paragraph" w:styleId="Style32">
    <w:name w:val="Пункт"/>
    <w:basedOn w:val="Normal"/>
    <w:qFormat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 w:eastAsia="Times New Roman" w:cs="Times New Roman"/>
      <w:b/>
      <w:i/>
      <w:sz w:val="28"/>
      <w:szCs w:val="20"/>
      <w:lang w:eastAsia="ru-RU"/>
    </w:rPr>
  </w:style>
  <w:style w:type="paragraph" w:styleId="17">
    <w:name w:val="Абзац списка1"/>
    <w:basedOn w:val="Normal"/>
    <w:qFormat/>
    <w:pPr>
      <w:spacing w:lineRule="auto" w:line="276" w:before="0" w:after="200"/>
      <w:ind w:left="720" w:right="0" w:hanging="0"/>
      <w:contextualSpacing/>
    </w:pPr>
    <w:rPr>
      <w:rFonts w:ascii="Calibri" w:hAnsi="Calibri" w:eastAsia="Times New Roman" w:cs="Times New Roman"/>
      <w:sz w:val="22"/>
    </w:rPr>
  </w:style>
  <w:style w:type="paragraph" w:styleId="Style33">
    <w:name w:val="Таблица"/>
    <w:basedOn w:val="Normal"/>
    <w:qFormat/>
    <w:pPr>
      <w:keepNext w:val="true"/>
      <w:spacing w:before="60" w:after="60"/>
      <w:jc w:val="center"/>
    </w:pPr>
    <w:rPr>
      <w:rFonts w:eastAsia="Calibri" w:cs="Times New Roman"/>
      <w:b/>
      <w:szCs w:val="24"/>
      <w:lang w:val="x-none" w:eastAsia="x-none"/>
    </w:rPr>
  </w:style>
  <w:style w:type="paragraph" w:styleId="Style34">
    <w:name w:val="Подподпункт"/>
    <w:basedOn w:val="Style27"/>
    <w:link w:val="Style15"/>
    <w:qFormat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right="0" w:hanging="567"/>
    </w:pPr>
    <w:rPr>
      <w:sz w:val="26"/>
      <w:szCs w:val="26"/>
      <w:lang w:val="ru-RU" w:eastAsia="ru-RU"/>
    </w:rPr>
  </w:style>
  <w:style w:type="paragraph" w:styleId="Style35">
    <w:name w:val="УРОВЕНЬ_(а)"/>
    <w:basedOn w:val="ListParagraph"/>
    <w:qFormat/>
    <w:pPr>
      <w:numPr>
        <w:ilvl w:val="3"/>
        <w:numId w:val="4"/>
      </w:numPr>
      <w:spacing w:lineRule="exact" w:line="360" w:before="120" w:after="0"/>
      <w:ind w:left="1728" w:right="0" w:hanging="648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>
    <w:name w:val="УРОВЕНЬ_-"/>
    <w:basedOn w:val="ListParagraph"/>
    <w:qFormat/>
    <w:pPr>
      <w:numPr>
        <w:ilvl w:val="4"/>
        <w:numId w:val="4"/>
      </w:numPr>
      <w:spacing w:lineRule="exact" w:line="360" w:before="120" w:after="0"/>
      <w:ind w:left="2232" w:right="0" w:hanging="792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9">
    <w:name w:val="УРОВЕНЬ_Абзац_тип2"/>
    <w:basedOn w:val="ListParagraph"/>
    <w:qFormat/>
    <w:pPr>
      <w:numPr>
        <w:ilvl w:val="6"/>
        <w:numId w:val="4"/>
      </w:numPr>
      <w:spacing w:lineRule="exact" w:line="360" w:before="120" w:after="0"/>
      <w:ind w:left="3240" w:right="0" w:hanging="1080"/>
      <w:contextualSpacing w:val="false"/>
      <w:jc w:val="both"/>
    </w:pPr>
    <w:rPr>
      <w:sz w:val="26"/>
      <w:szCs w:val="28"/>
      <w:lang w:eastAsia="en-US"/>
    </w:rPr>
  </w:style>
  <w:style w:type="paragraph" w:styleId="37">
    <w:name w:val="УРОВЕНЬ_Абзац_тип3"/>
    <w:basedOn w:val="ListParagraph"/>
    <w:link w:val="33"/>
    <w:qFormat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6">
    <w:name w:val="УРОВЕНЬ_Подпись"/>
    <w:basedOn w:val="ListParagraph"/>
    <w:qFormat/>
    <w:pPr>
      <w:keepNext w:val="true"/>
      <w:numPr>
        <w:ilvl w:val="5"/>
        <w:numId w:val="4"/>
      </w:numPr>
      <w:spacing w:lineRule="exact" w:line="360" w:before="120" w:after="120"/>
      <w:ind w:left="2736" w:right="0" w:hanging="936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8">
    <w:name w:val="Стиль Заголовок 1 + по ширине"/>
    <w:basedOn w:val="Heading1"/>
    <w:qFormat/>
    <w:pPr>
      <w:keepLines/>
      <w:tabs>
        <w:tab w:val="clear" w:pos="0"/>
        <w:tab w:val="left" w:pos="567" w:leader="none"/>
        <w:tab w:val="left" w:pos="709" w:leader="none"/>
      </w:tabs>
      <w:spacing w:before="480" w:after="240"/>
      <w:ind w:left="567" w:right="0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6"/>
    <w:pPr/>
    <w:rPr>
      <w:rFonts w:eastAsia="Times New Roman" w:cs="Times New Roman"/>
      <w:sz w:val="20"/>
      <w:szCs w:val="20"/>
      <w:lang w:eastAsia="ru-RU"/>
    </w:rPr>
  </w:style>
  <w:style w:type="paragraph" w:styleId="210">
    <w:name w:val="Заголовок 2 КВВ"/>
    <w:basedOn w:val="Normal"/>
    <w:qFormat/>
    <w:pPr>
      <w:keepNext w:val="true"/>
      <w:numPr>
        <w:ilvl w:val="0"/>
        <w:numId w:val="5"/>
      </w:numPr>
      <w:spacing w:before="120" w:after="120"/>
      <w:jc w:val="both"/>
      <w:outlineLvl w:val="0"/>
    </w:pPr>
    <w:rPr>
      <w:rFonts w:eastAsia="Times New Roman" w:cs="Times New Roman"/>
      <w:b/>
      <w:kern w:val="2"/>
      <w:szCs w:val="20"/>
      <w:lang w:eastAsia="x-none"/>
    </w:rPr>
  </w:style>
  <w:style w:type="paragraph" w:styleId="Style37">
    <w:name w:val="Таблица текст"/>
    <w:basedOn w:val="Normal"/>
    <w:qFormat/>
    <w:pPr>
      <w:spacing w:before="40" w:after="40"/>
      <w:ind w:left="57" w:right="57" w:hanging="0"/>
    </w:pPr>
    <w:rPr>
      <w:rFonts w:eastAsia="Times New Roman" w:cs="Times New Roman"/>
      <w:szCs w:val="26"/>
      <w:lang w:eastAsia="ru-RU"/>
    </w:rPr>
  </w:style>
  <w:style w:type="paragraph" w:styleId="NormalWeb">
    <w:name w:val="Normal (Web)"/>
    <w:basedOn w:val="Normal"/>
    <w:qFormat/>
    <w:pPr>
      <w:spacing w:before="280" w:after="280"/>
    </w:pPr>
    <w:rPr>
      <w:rFonts w:eastAsia="Times New Roman" w:cs="Times New Roman"/>
      <w:szCs w:val="24"/>
      <w:lang w:eastAsia="ru-RU"/>
    </w:rPr>
  </w:style>
  <w:style w:type="paragraph" w:styleId="19">
    <w:name w:val="УРОВЕНЬ_1."/>
    <w:basedOn w:val="ListParagraph"/>
    <w:link w:val="12"/>
    <w:qFormat/>
    <w:pPr>
      <w:keepNext w:val="true"/>
      <w:keepLines/>
      <w:numPr>
        <w:ilvl w:val="0"/>
        <w:numId w:val="0"/>
      </w:numPr>
      <w:spacing w:lineRule="auto" w:line="276" w:before="240" w:after="120"/>
      <w:ind w:left="0" w:righ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pPr>
      <w:ind w:left="1120" w:right="0" w:hanging="0"/>
    </w:pPr>
    <w:rPr>
      <w:rFonts w:ascii="Calibri" w:hAnsi="Calibri" w:eastAsia="Times New Roman" w:cs="Calibri"/>
      <w:sz w:val="20"/>
      <w:szCs w:val="20"/>
      <w:lang w:eastAsia="ru-RU"/>
    </w:rPr>
  </w:style>
  <w:style w:type="paragraph" w:styleId="TOC7">
    <w:name w:val="TOC 7"/>
    <w:basedOn w:val="Normal"/>
    <w:next w:val="Normal"/>
    <w:autoRedefine/>
    <w:pPr>
      <w:ind w:left="1400" w:right="0" w:hanging="0"/>
    </w:pPr>
    <w:rPr>
      <w:rFonts w:ascii="Calibri" w:hAnsi="Calibri" w:eastAsia="Times New Roman" w:cs="Calibri"/>
      <w:sz w:val="20"/>
      <w:szCs w:val="20"/>
      <w:lang w:eastAsia="ru-RU"/>
    </w:rPr>
  </w:style>
  <w:style w:type="paragraph" w:styleId="TOC8">
    <w:name w:val="TOC 8"/>
    <w:basedOn w:val="Normal"/>
    <w:next w:val="Normal"/>
    <w:autoRedefine/>
    <w:pPr>
      <w:ind w:left="1680" w:right="0" w:hanging="0"/>
    </w:pPr>
    <w:rPr>
      <w:rFonts w:ascii="Calibri" w:hAnsi="Calibri" w:eastAsia="Times New Roman" w:cs="Calibri"/>
      <w:sz w:val="20"/>
      <w:szCs w:val="20"/>
      <w:lang w:eastAsia="ru-RU"/>
    </w:rPr>
  </w:style>
  <w:style w:type="paragraph" w:styleId="Style38">
    <w:name w:val="Знак Знак Знак Знак"/>
    <w:basedOn w:val="Normal"/>
    <w:qFormat/>
    <w:pPr>
      <w:spacing w:lineRule="exact" w:line="240" w:before="0" w:after="160"/>
    </w:pPr>
    <w:rPr>
      <w:rFonts w:ascii="Verdana" w:hAnsi="Verdana" w:eastAsia="Times New Roman" w:cs="Verdana"/>
      <w:sz w:val="20"/>
      <w:szCs w:val="20"/>
      <w:lang w:val="en-US"/>
    </w:rPr>
  </w:style>
  <w:style w:type="paragraph" w:styleId="-1">
    <w:name w:val="Контракт-раздел"/>
    <w:basedOn w:val="Normal"/>
    <w:qFormat/>
    <w:pPr>
      <w:keepNext w:val="true"/>
      <w:keepLines/>
      <w:numPr>
        <w:ilvl w:val="0"/>
        <w:numId w:val="0"/>
      </w:numPr>
      <w:tabs>
        <w:tab w:val="clear" w:pos="708"/>
        <w:tab w:val="left" w:pos="0" w:leader="none"/>
        <w:tab w:val="left" w:pos="567" w:leader="none"/>
      </w:tabs>
      <w:spacing w:before="240" w:after="120"/>
      <w:jc w:val="center"/>
      <w:outlineLvl w:val="2"/>
    </w:pPr>
    <w:rPr>
      <w:rFonts w:eastAsia="Times New Roman" w:cs="Times New Roman"/>
      <w:b/>
      <w:bCs/>
      <w:caps/>
      <w:szCs w:val="28"/>
      <w:lang w:eastAsia="ru-RU"/>
    </w:rPr>
  </w:style>
  <w:style w:type="paragraph" w:styleId="-2">
    <w:name w:val="Контракт-пункт"/>
    <w:basedOn w:val="Normal"/>
    <w:qFormat/>
    <w:pPr>
      <w:tabs>
        <w:tab w:val="clear" w:pos="708"/>
        <w:tab w:val="left" w:pos="1391" w:leader="none"/>
      </w:tabs>
      <w:ind w:left="1391" w:right="0" w:hanging="851"/>
    </w:pPr>
    <w:rPr>
      <w:rFonts w:eastAsia="Times New Roman" w:cs="Times New Roman"/>
      <w:szCs w:val="28"/>
      <w:lang w:eastAsia="ru-RU"/>
    </w:rPr>
  </w:style>
  <w:style w:type="paragraph" w:styleId="110">
    <w:name w:val="Обычный1"/>
    <w:qFormat/>
    <w:pPr>
      <w:widowControl w:val="false"/>
      <w:suppressAutoHyphens w:val="true"/>
      <w:overflowPunct w:val="false"/>
      <w:bidi w:val="0"/>
      <w:spacing w:lineRule="auto" w:line="300" w:before="0" w:after="0"/>
      <w:ind w:left="600" w:right="0" w:hanging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Style39">
    <w:name w:val="Пункт договора"/>
    <w:basedOn w:val="Normal"/>
    <w:qFormat/>
    <w:pPr>
      <w:widowControl w:val="false"/>
      <w:jc w:val="both"/>
    </w:pPr>
    <w:rPr>
      <w:rFonts w:ascii="Arial" w:hAnsi="Arial" w:eastAsia="Times New Roman" w:cs="Times New Roman"/>
      <w:sz w:val="20"/>
      <w:szCs w:val="20"/>
      <w:lang w:eastAsia="ru-RU"/>
    </w:rPr>
  </w:style>
  <w:style w:type="paragraph" w:styleId="Style40">
    <w:name w:val="Подпункт договора"/>
    <w:basedOn w:val="Normal"/>
    <w:qFormat/>
    <w:pPr>
      <w:tabs>
        <w:tab w:val="clear" w:pos="708"/>
        <w:tab w:val="left" w:pos="360" w:leader="none"/>
      </w:tabs>
      <w:jc w:val="both"/>
    </w:pPr>
    <w:rPr>
      <w:rFonts w:ascii="Arial" w:hAnsi="Arial" w:eastAsia="Times New Roman" w:cs="Times New Roman"/>
      <w:sz w:val="20"/>
      <w:szCs w:val="20"/>
      <w:lang w:eastAsia="ru-RU"/>
    </w:rPr>
  </w:style>
  <w:style w:type="paragraph" w:styleId="BodyText21">
    <w:name w:val="Body Text 21"/>
    <w:basedOn w:val="Normal"/>
    <w:qFormat/>
    <w:pPr>
      <w:ind w:left="0" w:right="0" w:firstLine="709"/>
      <w:jc w:val="both"/>
    </w:pPr>
    <w:rPr>
      <w:rFonts w:eastAsia="Times New Roman" w:cs="Times New Roman"/>
      <w:szCs w:val="20"/>
      <w:lang w:eastAsia="ru-RU"/>
    </w:rPr>
  </w:style>
  <w:style w:type="paragraph" w:styleId="Style41">
    <w:name w:val="Обычный+ без отступа"/>
    <w:basedOn w:val="Normal"/>
    <w:qFormat/>
    <w:pPr>
      <w:spacing w:lineRule="auto" w:line="360" w:before="120" w:after="0"/>
      <w:jc w:val="both"/>
    </w:pPr>
    <w:rPr>
      <w:rFonts w:eastAsia="MS Mincho" w:cs="Times New Roman"/>
      <w:sz w:val="28"/>
      <w:szCs w:val="28"/>
      <w:lang w:eastAsia="ru-RU"/>
    </w:rPr>
  </w:style>
  <w:style w:type="paragraph" w:styleId="211">
    <w:name w:val="Обычный2"/>
    <w:qFormat/>
    <w:pPr>
      <w:widowControl w:val="false"/>
      <w:suppressAutoHyphens w:val="true"/>
      <w:overflowPunct w:val="false"/>
      <w:bidi w:val="0"/>
      <w:spacing w:lineRule="auto" w:line="300" w:before="0" w:after="0"/>
      <w:ind w:left="600" w:right="0" w:hanging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PlainText">
    <w:name w:val="Plain Text"/>
    <w:basedOn w:val="Normal"/>
    <w:link w:val="Style18"/>
    <w:qFormat/>
    <w:pPr/>
    <w:rPr>
      <w:rFonts w:ascii="Calibri" w:hAnsi="Calibri" w:eastAsia="Calibri" w:cs="Times New Roman"/>
      <w:sz w:val="22"/>
      <w:szCs w:val="21"/>
      <w:lang w:val="x-none"/>
    </w:rPr>
  </w:style>
  <w:style w:type="paragraph" w:styleId="Txt1">
    <w:name w:val="txt1"/>
    <w:basedOn w:val="Normal"/>
    <w:qFormat/>
    <w:pPr/>
    <w:rPr>
      <w:rFonts w:ascii="Calibri" w:hAnsi="Calibri" w:eastAsia="Times New Roman" w:cs="Times New Roman"/>
      <w:szCs w:val="24"/>
      <w:lang w:eastAsia="ru-RU"/>
    </w:rPr>
  </w:style>
  <w:style w:type="paragraph" w:styleId="Formattext">
    <w:name w:val="formattext"/>
    <w:basedOn w:val="Normal"/>
    <w:qFormat/>
    <w:pPr>
      <w:spacing w:before="280" w:after="280"/>
    </w:pPr>
    <w:rPr>
      <w:rFonts w:eastAsia="Times New Roman" w:cs="Times New Roman"/>
      <w:szCs w:val="24"/>
      <w:lang w:eastAsia="ru-RU"/>
    </w:rPr>
  </w:style>
  <w:style w:type="paragraph" w:styleId="38">
    <w:name w:val="Обычный3"/>
    <w:qFormat/>
    <w:pPr>
      <w:widowControl w:val="false"/>
      <w:suppressAutoHyphens w:val="true"/>
      <w:overflowPunct w:val="false"/>
      <w:bidi w:val="0"/>
      <w:spacing w:lineRule="auto" w:line="300" w:before="0" w:after="0"/>
      <w:ind w:left="600" w:right="0" w:hanging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Style42">
    <w:name w:val="Содержимое таблицы"/>
    <w:basedOn w:val="Normal"/>
    <w:qFormat/>
    <w:pPr>
      <w:widowControl w:val="false"/>
      <w:suppressLineNumbers/>
    </w:pPr>
    <w:rPr/>
  </w:style>
  <w:style w:type="paragraph" w:styleId="Style43">
    <w:name w:val="Заголовок таблицы"/>
    <w:basedOn w:val="Style42"/>
    <w:qFormat/>
    <w:pPr>
      <w:jc w:val="center"/>
    </w:pPr>
    <w:rPr>
      <w:b/>
      <w:bCs/>
    </w:rPr>
  </w:style>
  <w:style w:type="numbering" w:styleId="111">
    <w:name w:val="Стиль1"/>
    <w:qFormat/>
  </w:style>
  <w:style w:type="numbering" w:styleId="212">
    <w:name w:val="Стиль2"/>
    <w:qFormat/>
  </w:style>
  <w:style w:type="numbering" w:styleId="112">
    <w:name w:val="Нет списка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hyperlink" Target="https://www.albia.ru/laki-kraski-morilki-emali-grunty/kraska-na-vodnoy-osnove/stoykost-k-mytyu/" TargetMode="External"/><Relationship Id="rId4" Type="http://schemas.openxmlformats.org/officeDocument/2006/relationships/hyperlink" Target="https://www.albia.ru/laki-kraski-morilki-emali-grunty/kraska-na-vodnoy-osnove/bystrosohnushchee/" TargetMode="External"/><Relationship Id="rId5" Type="http://schemas.openxmlformats.org/officeDocument/2006/relationships/footer" Target="footer2.xml"/><Relationship Id="rId6" Type="http://schemas.openxmlformats.org/officeDocument/2006/relationships/footer" Target="footer3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6507</TotalTime>
  <Application>AlterOffice/3.4.0.9$Linux_X86_64 LibreOffice_project/b8daf9e823b1a5463a2f48435ddc2e8696e7d4fc</Application>
  <AppVersion>15.0000</AppVersion>
  <Pages>4</Pages>
  <Words>592</Words>
  <Characters>4143</Characters>
  <CharactersWithSpaces>4602</CharactersWithSpaces>
  <Paragraphs>151</Paragraphs>
  <Company>RusHydro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2023-05-24T06:11:00Z</dcterms:created>
  <dc:creator>Кочетов Сергей Владимирович</dc:creator>
  <dc:description/>
  <dc:language>ru-RU</dc:language>
  <cp:lastModifiedBy>savilovoa@corp.gidroogk.com</cp:lastModifiedBy>
  <dcterms:modified xsi:type="dcterms:W3CDTF">2026-08-17T17:53:02Z</dcterms:modified>
  <cp:revision>276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