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845" w:leader="none"/>
        </w:tabs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 xml:space="preserve">на оказание услуг по обеспечению работоспособности муниципальной автоматизированной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 xml:space="preserve">системы централизованного оповещения населения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Котельниковского муниципального района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uppressAutoHyphens w:val="true"/>
        <w:spacing w:lineRule="auto" w:line="240" w:before="0" w:after="0"/>
        <w:ind w:start="386"/>
        <w:contextualSpacing/>
        <w:textAlignment w:val="baseline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Общие сведения</w:t>
      </w:r>
      <w:bookmarkStart w:id="0" w:name="_Toc424660900"/>
      <w:bookmarkStart w:id="1" w:name="_Toc424660847"/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bookmarkStart w:id="2" w:name="_Toc88745898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1.1. Наименование </w:t>
      </w:r>
      <w:bookmarkEnd w:id="0"/>
      <w:bookmarkEnd w:id="1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услуг</w:t>
      </w:r>
      <w:bookmarkEnd w:id="2"/>
    </w:p>
    <w:p>
      <w:pPr>
        <w:pStyle w:val="Normal"/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bookmarkStart w:id="3" w:name="_Toc424660901"/>
      <w:bookmarkStart w:id="4" w:name="_Toc424660848"/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Услуги </w:t>
      </w:r>
      <w:bookmarkStart w:id="5" w:name="_Toc88745900"/>
      <w:bookmarkStart w:id="6" w:name="_Toc424660902"/>
      <w:bookmarkStart w:id="7" w:name="_Toc424660849"/>
      <w:bookmarkEnd w:id="3"/>
      <w:bookmarkEnd w:id="4"/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по обеспечению работоспособности муниципальной автоматизированной системы централизованного оповещения населения на территории Котельниковского муниципального района Волгоградской области </w:t>
      </w:r>
    </w:p>
    <w:p>
      <w:pPr>
        <w:pStyle w:val="Normal"/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</w:r>
    </w:p>
    <w:p>
      <w:pPr>
        <w:pStyle w:val="Normal"/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1.2. Сроки и </w:t>
      </w:r>
      <w:bookmarkEnd w:id="6"/>
      <w:bookmarkEnd w:id="7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место </w:t>
      </w:r>
      <w:bookmarkEnd w:id="5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оказания услуг</w:t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Срок оказания услуг: с 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01.10.2026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 по 31.12.2026.</w:t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Место оказания услуг: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Российская Федерация, Волгоградская обл., Котельниковский муниципальный район, в соответствии с Приложение №1.</w:t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1.3. </w:t>
      </w:r>
      <w:bookmarkStart w:id="8" w:name="_Toc88745901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Термины, определения, сокращения, аббревиатуры</w:t>
      </w:r>
      <w:bookmarkEnd w:id="8"/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  <w:t>1.3.1. Перечень сокращений:</w:t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</w:r>
    </w:p>
    <w:tbl>
      <w:tblPr>
        <w:tblW w:w="9781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2832"/>
        <w:gridCol w:w="6949"/>
      </w:tblGrid>
      <w:tr>
        <w:trPr>
          <w:tblHeader w:val="true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Аббревиатура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Определение</w:t>
            </w:r>
          </w:p>
        </w:tc>
      </w:tr>
      <w:tr>
        <w:trPr>
          <w:trHeight w:val="28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IP/MPLS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val="en-US" w:eastAsia="ru-RU"/>
              </w:rPr>
              <w:t xml:space="preserve">Internet Protocol/Multi-Protocol Label Switching – </w:t>
            </w: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Интернет</w:t>
            </w: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val="en-US" w:eastAsia="ru-RU"/>
              </w:rPr>
              <w:t>-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протокол/Многопротокольная коммутация на основе меток</w:t>
            </w:r>
          </w:p>
        </w:tc>
      </w:tr>
      <w:tr>
        <w:trPr>
          <w:trHeight w:val="28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VPN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Virtual Private Network – виртуальная частная сеть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АРМ (П-166 ИТК ОС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АРМ)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Автоматизированное рабочее место</w:t>
            </w:r>
          </w:p>
        </w:tc>
      </w:tr>
      <w:tr>
        <w:trPr>
          <w:trHeight w:val="276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АРМ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Автоматизированное рабочее место</w:t>
            </w:r>
          </w:p>
        </w:tc>
      </w:tr>
      <w:tr>
        <w:trPr>
          <w:trHeight w:val="276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ЕДДС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Единая дежурная диспетчерская служба</w:t>
            </w:r>
          </w:p>
        </w:tc>
      </w:tr>
      <w:tr>
        <w:trPr>
          <w:trHeight w:val="276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ЗИП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Запасные части, инструменты и принадлежности</w:t>
            </w:r>
          </w:p>
        </w:tc>
      </w:tr>
      <w:tr>
        <w:trPr>
          <w:trHeight w:val="276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ИБ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Информационная безопасность</w:t>
            </w:r>
          </w:p>
        </w:tc>
      </w:tr>
      <w:tr>
        <w:trPr>
          <w:trHeight w:val="276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КГО (П-166 ИТК ОС КГО)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Комплекс голосового оповещения населения</w:t>
            </w:r>
          </w:p>
        </w:tc>
      </w:tr>
      <w:tr>
        <w:trPr>
          <w:trHeight w:val="591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МАСЦО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Муниципальная автоматизированная система централизованного оповещения населения</w:t>
            </w:r>
          </w:p>
        </w:tc>
      </w:tr>
      <w:tr>
        <w:trPr>
          <w:trHeight w:val="644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ПОИБ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Подсистема обеспечения информационной безопасности</w:t>
            </w:r>
          </w:p>
        </w:tc>
      </w:tr>
      <w:tr>
        <w:trPr>
          <w:trHeight w:val="28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ПУ МАСЦО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Пункт управления МАСЦО</w:t>
            </w:r>
          </w:p>
        </w:tc>
      </w:tr>
      <w:tr>
        <w:trPr>
          <w:trHeight w:val="69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П-166 ИТК ОС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Информационно-телекоммуникационный комплекс оповещения                  и связи</w:t>
            </w:r>
          </w:p>
        </w:tc>
      </w:tr>
      <w:tr>
        <w:trPr>
          <w:trHeight w:val="28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РАСЦО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Региональная автоматизированная система централизованного оповещения населения Волгоградской области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РФ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Российская Федерация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Специальное программное обеспечение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ССОП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Сеть связи общего пользования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ТО-1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Ежемесячное техническое обслуживание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ТО-2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Ежегодное техническое обслуживание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Программное обеспечение и оборудование системы оповещения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ТСО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Технические средства оповещения осуществляют прием, обработку и (или) передачу сигналов оповещения и (или) экстренной информации (КГО, УЭС, АРМ)</w:t>
            </w:r>
          </w:p>
        </w:tc>
      </w:tr>
      <w:tr>
        <w:trPr>
          <w:trHeight w:val="283" w:hRule="atLeast"/>
        </w:trPr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УЭС (П-166 ИТК ОС УЭС)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Комплекс технических средств электросиренного оповещения. Предназначен для обеспечения удаленного управления и контроля запуска электросирен различных типов.</w:t>
            </w:r>
          </w:p>
        </w:tc>
      </w:tr>
      <w:tr>
        <w:trPr/>
        <w:tc>
          <w:tcPr>
            <w:tcW w:w="2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ЭТО</w:t>
            </w:r>
          </w:p>
        </w:tc>
        <w:tc>
          <w:tcPr>
            <w:tcW w:w="6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Эксплуатационно-техническое обслуживание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  <w:lang w:eastAsia="ru-RU"/>
        </w:rPr>
        <w:t>1.3.2. Термины и определения:</w:t>
      </w:r>
    </w:p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</w:r>
    </w:p>
    <w:tbl>
      <w:tblPr>
        <w:tblW w:w="9781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2606"/>
        <w:gridCol w:w="7175"/>
      </w:tblGrid>
      <w:tr>
        <w:trPr>
          <w:tblHeader w:val="true"/>
          <w:trHeight w:val="437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Термин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Определение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Система 112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677" w:leader="none"/>
                <w:tab w:val="left" w:pos="935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Система обеспечения вызова экстренных оперативных служб по единому номеру "112" на территории Волгоградской области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Дефект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Событие в работе системы, связанное с несоответствием функций системы положениям документации и (или) требованиям федерального законодательства, и (или) возложенным на систему задачам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Документация системы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Эксплуатационная документация, содержащая описание функционала системы и его назначения, способы применения функционала системы для реализации документооборота участников системы, а также, инструкции по установке и эксплуатации системы (в том числе системные требования, руководство администратора системы и руководство пользователя Системы)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Администрация Котельниковского муниципального района Волгоградской области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Заявка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Заявка ответственного представителя заказчика или уполномоченного пользователя, зарегистрированное в автоматизированной системе управления обращениями с присвоением уникального идентификационного номера обращения, генерируемый автоматически системой управления обращениями при его регистрации по вопросу, связанному с работой в Системе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Инцидент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Проблема, приводящая к нарушению или прекращению штатного функционирования работы Системы, включая технические средства оповещения</w:t>
            </w:r>
          </w:p>
        </w:tc>
      </w:tr>
      <w:tr>
        <w:trPr>
          <w:trHeight w:val="324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Обработка Заявок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Комплекс мероприятий, направленных на предоставление решения по Заявке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Патч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Автоматизированное отдельно поставляемое программное средство, используемое для устранения проблем в Системе или изменения ее функционала способом переработки (модификации) программ(ы) для ЭВМ, на базе которой (-ых) реализована Система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Релиз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Форма обновления функциональности Системы (скрипт, патч, модернизированная версия и т.п.)</w:t>
            </w:r>
          </w:p>
        </w:tc>
      </w:tr>
      <w:tr>
        <w:trPr>
          <w:trHeight w:val="540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677" w:leader="none"/>
                <w:tab w:val="left" w:pos="935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Сбой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Ненормальный режим работы Системы, который может вызвать снижение или потерю способности Системы выполнять требуемую функцию</w:t>
            </w:r>
          </w:p>
        </w:tc>
      </w:tr>
      <w:tr>
        <w:trPr>
          <w:trHeight w:val="634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Системное программное обеспечение</w:t>
            </w:r>
          </w:p>
          <w:p>
            <w:pPr>
              <w:pStyle w:val="Normal"/>
              <w:tabs>
                <w:tab w:val="clear" w:pos="708"/>
                <w:tab w:val="left" w:pos="1868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Комплекс программ, которые обеспечивают управление аппаратными ресурсами компьютерной системы и работу прикладного программного обеспечения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634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Разработчик системы оповещения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Группа компаний ИНКОМ</w:t>
            </w:r>
          </w:p>
        </w:tc>
      </w:tr>
      <w:tr>
        <w:trPr>
          <w:trHeight w:val="634" w:hRule="atLeast"/>
        </w:trPr>
        <w:tc>
          <w:tcPr>
            <w:tcW w:w="2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Центральный сегмент МАСЦО</w:t>
            </w:r>
          </w:p>
        </w:tc>
        <w:tc>
          <w:tcPr>
            <w:tcW w:w="71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АРМ, расположенное по адресу: Волгоградская г. Котельниково, улица Ленина, дом 9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386"/>
        <w:contextualSpacing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</w:r>
      <w:r>
        <w:br w:type="page"/>
      </w:r>
    </w:p>
    <w:p>
      <w:pPr>
        <w:pStyle w:val="ListParagraph"/>
        <w:keepNext w:val="true"/>
        <w:keepLines/>
        <w:numPr>
          <w:ilvl w:val="0"/>
          <w:numId w:val="2"/>
        </w:numPr>
        <w:suppressAutoHyphens w:val="true"/>
        <w:spacing w:lineRule="auto" w:line="240" w:before="0" w:after="0"/>
        <w:contextualSpacing/>
        <w:textAlignment w:val="baseline"/>
        <w:outlineLvl w:val="0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bookmarkStart w:id="9" w:name="_Toc88745902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Цели оказания услуг</w:t>
      </w:r>
      <w:bookmarkEnd w:id="9"/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bookmarkStart w:id="10" w:name="_Toc88745903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2.1. </w:t>
      </w:r>
      <w:bookmarkEnd w:id="10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Цели оказания услуги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Услуги предназначены для обеспечения возможности доведения сигналов оповещения и экстренной информации до населения, органов управления и сил ГО и РСЧС Котельниковского муниципального района Волгоградской области в автоматизированном режиме функционирования.</w:t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bookmarkStart w:id="11" w:name="_Toc88745905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2.2. Основные задачи</w:t>
      </w:r>
      <w:bookmarkEnd w:id="11"/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В рамках оказания услуги Исполнитель должен обеспечить выполнение следующих задач:</w:t>
      </w:r>
    </w:p>
    <w:p>
      <w:pPr>
        <w:pStyle w:val="Normal"/>
        <w:keepNext w:val="true"/>
        <w:keepLines/>
        <w:numPr>
          <w:ilvl w:val="0"/>
          <w:numId w:val="3"/>
        </w:numPr>
        <w:suppressAutoHyphens w:val="true"/>
        <w:spacing w:lineRule="auto" w:line="240" w:before="0" w:after="0"/>
        <w:ind w:firstLine="357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обеспечение технической поддержки;</w:t>
      </w:r>
    </w:p>
    <w:p>
      <w:pPr>
        <w:pStyle w:val="Normal"/>
        <w:keepNext w:val="true"/>
        <w:keepLines/>
        <w:numPr>
          <w:ilvl w:val="0"/>
          <w:numId w:val="3"/>
        </w:numPr>
        <w:suppressAutoHyphens w:val="true"/>
        <w:spacing w:lineRule="auto" w:line="240" w:before="0" w:after="0"/>
        <w:ind w:firstLine="357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обеспечения бесперебойного функционирования программного обеспечения в течение срока оказания Услуг;</w:t>
      </w:r>
    </w:p>
    <w:p>
      <w:pPr>
        <w:pStyle w:val="Normal"/>
        <w:keepNext w:val="true"/>
        <w:keepLines/>
        <w:numPr>
          <w:ilvl w:val="0"/>
          <w:numId w:val="3"/>
        </w:numPr>
        <w:suppressAutoHyphens w:val="true"/>
        <w:spacing w:lineRule="auto" w:line="240" w:before="0" w:after="0"/>
        <w:ind w:firstLine="357"/>
        <w:outlineLvl w:val="1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проведение ремонтно-восстановительных работ элементов МАСЦО.</w:t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bookmarkStart w:id="12" w:name="_Toc88745906"/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2.3. Перечень документов, на основании которых осуществляется оказание услуг</w:t>
      </w:r>
      <w:bookmarkEnd w:id="12"/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При оказании Услуг учитываются положения действующего законодательства Российской Федерации со всеми изменениями и дополнениями, в том числе следующих нормативных правовых актов: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Федеральный закон от 21.12.1994 № 68-ФЗ "О защите населения и территорий от чрезвычайных ситуаций природного и техногенного характера";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Федеральный закон от 12.02.1998 № 28-ФЗ "О гражданской обороне";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Постановление Правительства Российской Федерации от 30.12.2003 № 794 "О единой государственной системе предупреждения и ликвидации чрезвычайных ситуаций";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Постановление Правительства РФ от 17.05.2023 № 769 "О порядке создания, реконструкции и поддержания в состоянии постоянной готовности к использованию систем оповещения населения" (вместе с "Правилами создания, реконструкции и поддержания в состоянии постоянной готовности к использованию систем оповещения населения");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"Об утверждении Положения о системах оповещения населения";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579/366 "Об утверждении Положения по организации эксплуатационно-технического обслуживания систем оповещения населения";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Методические рекомендации по поддержанию в состоянии постоянной готовности к использованию систем оповещения населения, утвержденных протоколом заседания рабочей группы Правительственной комиссии  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№ 2;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Постановление Губернатора Волгоградской области от 11.10.2021 № 705 "О региональной автоматизированной системе централизованного оповещения населения Волгоградской области";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• 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Федеральный закон от 27.07.2006 № 152-ФЗ "О персональных данных";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Федеральный закон от 27.07.2006 № 149-ФЗ "Об информации, информационных технологиях и о защите информации";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Постановление Правительства Российской Федерации от 01.11.2012 № 1119 "Об утверждении требований к защите персональных данных при их обработке в информационных системах персональных данных";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Приказ ФСТЭК России от 11.04.2025 № 117 "Об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Приказ ФСБ России от 10.07.2014 №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Приказ ФСТЭК России от 14.03.2014 № 31 "Об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среды";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Требования к системам обнаружения вторжений, утвержденные приказом ФСТЭК России от 06.12.2011 г. № 638;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Требования к межсетевым экранам, утвержденные приказом ФСТЭК России от 09.02.2016 г. № 9;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Требования к средствам контроля съемных машинных носителей информации, утвержденные приказом ФСТЭК России от 28.07.2014 г. № 87;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РД ФСТЭК России (Гостехкомиссии России). "Защита от несанкционированного доступа к информации. Часть 1. Программное обеспечение средств защиты информации. Классификация по уровню контроля отсутствия не декларированных возможностей" от 04.06.1999 г.;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• РД ФСТЭК России (Гостехкомиссии России). "Специальные требования и рекомендации по технической защите конфиденциальной информации (СТР-К)", 2001;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• 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ГОСТ Р ГОСТ Р 56939-2024 "Защита информации. Разработка безопасного программного обеспечения. Общие требования".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>Сведения о МАСЦО</w:t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firstLine="386" w:start="0"/>
        <w:outlineLvl w:val="1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ru-RU"/>
        </w:rPr>
        <w:t xml:space="preserve">3.1. Общие сведения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МАСЦО состоит из Центрального сегмента МАСЦО и ТСО.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МАСЦО создана на базе СПО П-166 ИТК ОС АРМ ОД номер в реестре ПО № 4005 от 11.12.2017 г.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ТСО построены на оборудовании П-166 ИТК ОС КГО (далее – КГО) и П-166 ИТК ОС УЭС (далее – УЭС).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МАСЦО аттестована по ИБ, класс защищенности К2. Информационный обмен осуществляется по защищенным каналам передачи данных с использованием средств криптографической защиты информации семейства ViPNet Client 4U for Linux.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РАСЦО Волгоградской области функционирует на базе оборудования П-166 ИТК ОС. В состав РАСЦО входит: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–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Центральный сервер системы, расположенный по адресу г. Волгоград, шоссе Авиаторов, дом 2;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–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Пункт управления 1. АРМ ОД ОПУ дежурно-диспетчерской службы Волгоградской области, расположенное по адресу г. Волгоград, шоссе Авиаторов, дом 2;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–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Пункт управления 2. АРМ ОД ЗПУ, расположенное в запасном пункте управления (адрес предоставляется по запросу);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u w:val="single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–</w:t>
      </w: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ab/>
        <w:t>Пункт управления 3. АРМ ОД ОПУ ЕДДС расположенное по адресу: Волгоградская область, г. Котельниково, улица Ленина, дом 9.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Действующие пункты управления РАСЦО Волгоградской области имеют сопряжение с телефонной сетью общего пользования через телекоммуникационную подсистему Системы-112 Волгоградской области.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Действующая РАСЦО построена с использованием средств защиты информации и соответствует требованиям, предъявляемым к государственным информационным системам класса защищенности К2 в соответствии с приказом ФСТЭК России от 11.02.2013 №17.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3.2. Структура системы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В состав МАСЦО входят следующие функциональные подсистемы: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подсистема управления и звукового 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подсистема оповещения должностных лиц на стационарные и мобильные телефоны;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подсистема передачи данных;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подсистема обеспечения информационной безопасности.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3.3. Адресные сведения об объектах автоматизации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u w:val="single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Адресный перечень приведен в Приложении №1. Центральный сегмент МАСЦО расположен по адресу: Волгоградская область, г. Котельниково, улица Ленина, дом 9.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3.4. Целевые показатели и порядок функционирования системы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МАСЦО функционирует круглосуточно в режиме 24/7/365 (24 часа в сутки, 7 дней в неделю, круглый год) и находится в постоянной готовности к доведению сигналов оповещения и экстренной информации до населения, органов управления и сил ГО и РСЧС Котельниковского муниципального района.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3.5. Состав оборудования «МАСЦО»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Составы оборудования и ПО «МАСЦО» приведены в Таблице № 1 настоящего пункта.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rPr>
          <w:rFonts w:ascii="Times New Roman" w:hAnsi="Times New Roman" w:eastAsia="Times New Roman" w:cs="Times New Roman"/>
          <w:i/>
          <w:iCs/>
          <w:color w:val="000000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/>
          <w:iCs/>
          <w:color w:val="000000"/>
          <w:lang w:eastAsia="ru-RU"/>
        </w:rPr>
        <w:t>Таблица 1</w:t>
      </w:r>
    </w:p>
    <w:tbl>
      <w:tblPr>
        <w:tblW w:w="93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487"/>
        <w:gridCol w:w="7374"/>
        <w:gridCol w:w="1494"/>
      </w:tblGrid>
      <w:tr>
        <w:trPr>
          <w:trHeight w:val="211" w:hRule="atLeast"/>
        </w:trPr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3" w:name="_bookmark0"/>
            <w:bookmarkEnd w:id="13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Количество комплектов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КГО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11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УЭС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Электросирена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АРМ пункта управления МАСЦО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Неисключительное право на использование модуля обнаружения                         и предотвращения вторжений Средства защиты информации Secret N et Studio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Неисключительное право на использование средств анализа защищенности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Установочный комплект права на использование средств анализа защищенности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Права на использование средств антивирусной защиты информации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Установочный комплект права на использование средств антивирусной защиты информации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ViPNet Client 4U for Linux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</w:tr>
      <w:tr>
        <w:trPr>
          <w:trHeight w:val="110" w:hRule="atLeast"/>
        </w:trPr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3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СЗИ. Установочный комплект ПО ViPNet Client 4U for Linux</w:t>
            </w:r>
          </w:p>
        </w:tc>
        <w:tc>
          <w:tcPr>
            <w:tcW w:w="1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4 Требования к оказанию услуг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4.1. При оказании услуги Исполнитель выполняет следующие основные мероприятия (работы):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диагностика неисправностей;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обновления СПО (при публикации новых версий);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ремонтно-восстановительные работы оборудования П-166 ИТК ОС;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консультирование.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  <w:t>4.2.</w:t>
      </w: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Требования, предъявляемые заказчиком к оказываемым услугам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4.2.1. Перед началом работ, в случае необходимости, Исполнитель направляет информацию об ответственных лицах, осуществляющих эксплуатационно-техническое обслуживание на проведение работ по местам размещения, согласно Приложению № 1.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4.2.2. Исполнитель на срок действия договора обеспечивает наличие ЗИП в установленные сроки, необходимые для бесперебойного исполнения обязательств по настоящему договору. Хранение следующего ЗИП обеспечивает Исполнитель на площадке Исполнителя.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4.2.3. Исполнитель принимает на себя выполнение следующих обязательств: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ab/>
        <w:t>• проводит удаленное техническое обслуживание, включающее мониторинг состояния оборудования и отработки сигналов оповещения, анализ работоспособности ТС;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ab/>
        <w:t>• проводит диагностику и ремонт вышедшего из строя оборудования;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ab/>
        <w:t>• проводит сервисное сопровождение ТС;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4.2.4. Обеспечение постоянной готовности «МАСЦО» включает в себя следующий комплекс мероприятий: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ab/>
        <w:t>• при отказах ТСО обеспечивает проведение диагностики вышедшего из строя оборудования и его восстановление силами и за счет Исполнителя.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4.2.5. Ремонт и восстановление неработоспособных функциональных блоков, узлов и элементов ТСО осуществляется на заводах – изготовителях оборудования или в аккредитованных организациях.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Текущий ремонт проводится специалистами Исполнителя, ответственными за своевременное и качественное выполнение технического обслуживания и текущего ремонта ТСО.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4.2.6.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Исполнитель не позднее 2 – х календарных дней с даты заключения договора информирует Заказчика о телефонном номере, по которому будет осуществляться консультирование</w:t>
      </w:r>
      <w:r>
        <w:rPr>
          <w:rFonts w:eastAsia="Times New Roman" w:cs="Times New Roman" w:ascii="Times New Roman" w:hAnsi="Times New Roman"/>
          <w:lang w:eastAsia="ru-RU"/>
        </w:rPr>
        <w:t xml:space="preserve"> Под консультацией понимаются ответы на вопросы, связанные с технологией работы, либо иные, даваемые очно и в устном режиме по телефону или электронной почте (количество обращений неограниченно).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4.2.7. Установка и обновление общего системного и специального программного обеспечения осуществляется в соответствии с требованиями нормативно-правовых актов в области авторских прав.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5. Порядок оказания услуг по техническому и сервисному обслуживанию и поддержанию работоспособности.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5.1. Критериями работоспособности «МАСЦО» являются: бесперебойное функционирование «МАСЦО» (всех ее конструктивных элементов) 24 часа в сутки, 7 дней в неделю, круглогодично, за исключением времени проведения ремонта и регламентированного технического обслуживания.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ja-JP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>Приложения.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386"/>
        <w:jc w:val="both"/>
        <w:rPr>
          <w:rFonts w:ascii="Times New Roman" w:hAnsi="Times New Roman" w:eastAsia="Times New Roman" w:cs="Times New Roman"/>
          <w:sz w:val="21"/>
          <w:szCs w:val="21"/>
          <w:lang w:eastAsia="ja-JP"/>
        </w:rPr>
        <w:sectPr>
          <w:type w:val="nextPage"/>
          <w:pgSz w:w="11906" w:h="16838"/>
          <w:pgMar w:left="1134" w:right="709" w:gutter="0" w:header="0" w:top="567" w:footer="0" w:bottom="624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eastAsia="Times New Roman" w:cs="Times New Roman" w:ascii="Times New Roman" w:hAnsi="Times New Roman"/>
          <w:sz w:val="21"/>
          <w:szCs w:val="21"/>
          <w:lang w:eastAsia="ja-JP"/>
        </w:rPr>
        <w:t xml:space="preserve">Приложение №1 Адресный перечень </w:t>
      </w:r>
      <w:r>
        <w:br w:type="page"/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contextualSpacing/>
        <w:jc w:val="end"/>
        <w:outlineLvl w:val="0"/>
        <w:rPr>
          <w:rFonts w:ascii="Times New Roman" w:hAnsi="Times New Roman" w:eastAsia="Times New Roman" w:cs="Times New Roman"/>
          <w:b/>
          <w:bCs/>
          <w:lang w:eastAsia="ru-RU"/>
        </w:rPr>
      </w:pPr>
      <w:bookmarkStart w:id="14" w:name="_Toc88745930"/>
      <w:r>
        <w:rPr>
          <w:rFonts w:eastAsia="Times New Roman" w:cs="Times New Roman" w:ascii="Times New Roman" w:hAnsi="Times New Roman"/>
          <w:b/>
          <w:bCs/>
          <w:lang w:eastAsia="ru-RU"/>
        </w:rPr>
        <w:t>Приложение №1</w:t>
      </w:r>
      <w:bookmarkEnd w:id="14"/>
    </w:p>
    <w:p>
      <w:pPr>
        <w:pStyle w:val="Normal"/>
        <w:widowControl w:val="false"/>
        <w:suppressAutoHyphens w:val="true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bCs/>
          <w:kern w:val="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Адресный перечень</w:t>
      </w:r>
    </w:p>
    <w:tbl>
      <w:tblPr>
        <w:tblW w:w="9720" w:type="dxa"/>
        <w:jc w:val="start"/>
        <w:tblInd w:w="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555"/>
        <w:gridCol w:w="3402"/>
        <w:gridCol w:w="5763"/>
      </w:tblGrid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 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Оборудование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Адрес установки</w:t>
            </w:r>
          </w:p>
        </w:tc>
      </w:tr>
      <w:tr>
        <w:trPr>
          <w:trHeight w:val="259" w:hRule="atLeast"/>
        </w:trPr>
        <w:tc>
          <w:tcPr>
            <w:tcW w:w="97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Пункты управления «МАСЦО»</w:t>
            </w:r>
          </w:p>
        </w:tc>
      </w:tr>
      <w:tr>
        <w:trPr>
          <w:trHeight w:val="243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АРМ ОД ЕДДС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Ленина, 9</w:t>
            </w:r>
          </w:p>
        </w:tc>
      </w:tr>
      <w:tr>
        <w:trPr>
          <w:trHeight w:val="25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АРМ администратора ИБ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Ленина, 9</w:t>
            </w:r>
          </w:p>
        </w:tc>
      </w:tr>
      <w:tr>
        <w:trPr>
          <w:trHeight w:val="243" w:hRule="atLeast"/>
        </w:trPr>
        <w:tc>
          <w:tcPr>
            <w:tcW w:w="97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Места размещения устройств запуска электросирен П-166 ИТК УЭС</w:t>
            </w:r>
          </w:p>
        </w:tc>
      </w:tr>
      <w:tr>
        <w:trPr>
          <w:trHeight w:val="517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Гагарина, 48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Беловицкого, 51</w:t>
            </w:r>
          </w:p>
        </w:tc>
      </w:tr>
      <w:tr>
        <w:trPr>
          <w:trHeight w:val="517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 Котельниковский район, х. Похлебин, ул. Зеленая, 7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Ротмистрова, 8а</w:t>
            </w:r>
          </w:p>
        </w:tc>
      </w:tr>
      <w:tr>
        <w:trPr>
          <w:trHeight w:val="243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Ленина, 6</w:t>
            </w:r>
          </w:p>
        </w:tc>
      </w:tr>
      <w:tr>
        <w:trPr>
          <w:trHeight w:val="25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Кирова, 151</w:t>
            </w:r>
          </w:p>
        </w:tc>
      </w:tr>
      <w:tr>
        <w:trPr>
          <w:trHeight w:val="25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УЭС/С-40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Орлова, 52</w:t>
            </w:r>
          </w:p>
        </w:tc>
      </w:tr>
      <w:tr>
        <w:trPr>
          <w:trHeight w:val="246" w:hRule="atLeast"/>
        </w:trPr>
        <w:tc>
          <w:tcPr>
            <w:tcW w:w="97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Места размещения комплексов голосового оповещения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Гагарина, 48</w:t>
            </w:r>
          </w:p>
        </w:tc>
      </w:tr>
      <w:tr>
        <w:trPr>
          <w:trHeight w:val="28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Кивгила, 30</w:t>
            </w:r>
          </w:p>
        </w:tc>
      </w:tr>
      <w:tr>
        <w:trPr>
          <w:trHeight w:val="517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Калийщиков, 1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Котельниковский район, х. Пимено-Черни, Центральная, 2</w:t>
            </w:r>
          </w:p>
        </w:tc>
      </w:tr>
      <w:tr>
        <w:trPr>
          <w:trHeight w:val="517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Колгоградская область, Котельниковский район, х. Красноярский, ул. Садовая, 17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Котельниковский район, х. Генераловский, ул. Пугачева, 56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Котельниковский район, п. Выпасной, ул. Школьная, 2 а</w:t>
            </w:r>
          </w:p>
        </w:tc>
      </w:tr>
      <w:tr>
        <w:trPr>
          <w:trHeight w:val="304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Липова, 17</w:t>
            </w:r>
          </w:p>
        </w:tc>
      </w:tr>
      <w:tr>
        <w:trPr>
          <w:trHeight w:val="50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Горького, 32</w:t>
            </w:r>
          </w:p>
        </w:tc>
      </w:tr>
      <w:tr>
        <w:trPr>
          <w:trHeight w:val="28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Ленина, 30</w:t>
            </w:r>
          </w:p>
        </w:tc>
      </w:tr>
      <w:tr>
        <w:trPr>
          <w:trHeight w:val="289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П-166 ИТК КГО/100ГР-38Н</w:t>
            </w:r>
          </w:p>
        </w:tc>
        <w:tc>
          <w:tcPr>
            <w:tcW w:w="5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Волгоградская область, г. Котельниково, ул. Ленина, 9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269"/>
        </w:tabs>
        <w:ind w:start="2269" w:hanging="0"/>
      </w:pPr>
      <w:rPr>
        <w:i w:val="false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1277" w:hanging="0"/>
      </w:pPr>
      <w:rPr>
        <w:i w:val="false"/>
        <w:color w:val="auto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60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4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06" w:hanging="180"/>
      </w:pPr>
      <w:rPr/>
    </w:lvl>
  </w:abstractNum>
  <w:abstractNum w:abstractNumId="3">
    <w:lvl w:ilvl="0">
      <w:start w:val="1"/>
      <w:numFmt w:val="bullet"/>
      <w:lvlText w:val="−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753a"/>
    <w:pPr>
      <w:widowControl/>
      <w:suppressAutoHyphens w:val="fals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yle16" w:customStyle="1">
    <w:name w:val="р"/>
    <w:basedOn w:val="Normal"/>
    <w:qFormat/>
    <w:rsid w:val="00ed61c5"/>
    <w:pPr>
      <w:numPr>
        <w:ilvl w:val="0"/>
        <w:numId w:val="1"/>
      </w:numPr>
      <w:jc w:val="center"/>
    </w:pPr>
    <w:rPr>
      <w:rFonts w:ascii="Times New Roman" w:hAnsi="Times New Roman" w:eastAsia="Calibri" w:cs="Times New Roman"/>
      <w:b/>
      <w:sz w:val="26"/>
    </w:rPr>
  </w:style>
  <w:style w:type="paragraph" w:styleId="Style17" w:customStyle="1">
    <w:name w:val="п"/>
    <w:basedOn w:val="Style16"/>
    <w:qFormat/>
    <w:rsid w:val="00ed61c5"/>
    <w:pPr>
      <w:tabs>
        <w:tab w:val="clear" w:pos="708"/>
        <w:tab w:val="left" w:pos="142" w:leader="none"/>
      </w:tabs>
      <w:ind w:start="142"/>
      <w:jc w:val="both"/>
    </w:pPr>
    <w:rPr>
      <w:b w:val="false"/>
    </w:rPr>
  </w:style>
  <w:style w:type="paragraph" w:styleId="Style18" w:customStyle="1">
    <w:name w:val="пп"/>
    <w:basedOn w:val="Style17"/>
    <w:qFormat/>
    <w:rsid w:val="00ed61c5"/>
    <w:pPr>
      <w:tabs>
        <w:tab w:val="left" w:pos="0" w:leader="none"/>
        <w:tab w:val="left" w:pos="142" w:leader="none"/>
      </w:tabs>
      <w:ind w:start="0"/>
    </w:pPr>
    <w:rPr/>
  </w:style>
  <w:style w:type="paragraph" w:styleId="ListParagraph">
    <w:name w:val="List Paragraph"/>
    <w:basedOn w:val="Normal"/>
    <w:uiPriority w:val="34"/>
    <w:qFormat/>
    <w:rsid w:val="00777e39"/>
    <w:pPr>
      <w:spacing w:before="0" w:after="200"/>
      <w:ind w:start="72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D3D9-0FB3-4F27-BDCA-561B2021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LibreOffice/25.8.7.3$Linux_X86_64 LibreOffice_project/30742500f2d3eb4366ac312fa33d3dcabdb3eba5</Application>
  <AppVersion>15.0000</AppVersion>
  <Pages>6</Pages>
  <Words>2095</Words>
  <Characters>15107</Characters>
  <CharactersWithSpaces>17144</CharactersWithSpaces>
  <Paragraphs>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2026-08-06T12:51:00Z</dcterms:created>
  <dc:creator>Вотинцева</dc:creator>
  <dc:description/>
  <dc:language>ru-RU</dc:language>
  <cp:lastModifiedBy/>
  <dcterms:modified xsi:type="dcterms:W3CDTF">2026-08-17T16:05:30Z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