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Директор Камчатского филиала </w:t>
      </w:r>
    </w:p>
    <w:p>
      <w:pPr>
        <w:pStyle w:val="Normal"/>
        <w:keepNext w:val="true"/>
        <w:keepLine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АО «ТК РусГидро»</w:t>
      </w:r>
    </w:p>
    <w:p>
      <w:pPr>
        <w:pStyle w:val="Normal"/>
        <w:keepNext w:val="true"/>
        <w:keepLine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 </w:t>
      </w:r>
    </w:p>
    <w:p>
      <w:pPr>
        <w:pStyle w:val="Normal"/>
        <w:keepNext w:val="true"/>
        <w:keepLine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 </w:t>
      </w:r>
      <w:r>
        <w:rPr>
          <w:rFonts w:cs="Times New Roman" w:ascii="Times New Roman" w:hAnsi="Times New Roman"/>
          <w:sz w:val="28"/>
          <w:szCs w:val="28"/>
        </w:rPr>
        <w:t>_____________ М.В. Нешев</w:t>
      </w:r>
    </w:p>
    <w:p>
      <w:pPr>
        <w:pStyle w:val="Normal"/>
        <w:keepNext w:val="true"/>
        <w:keepLine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«____» ________________202</w:t>
      </w:r>
      <w:r>
        <w:rPr>
          <w:rFonts w:cs="Times New Roman" w:ascii="Times New Roman" w:hAnsi="Times New Roman"/>
          <w:sz w:val="28"/>
          <w:szCs w:val="28"/>
        </w:rPr>
        <w:t>6 г.</w:t>
      </w:r>
    </w:p>
    <w:p>
      <w:pPr>
        <w:pStyle w:val="Normal"/>
        <w:keepNext w:val="true"/>
        <w:keepLines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ОКПД 2: 49.41.15.000 Услуги перевозки топочного мазута автомобильным транспортом для нужд Камчатского филиала АО "ТК РусГидро"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Лот №2047-АХР ДОР-2026-ТК-КФ 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i/>
          <w:i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i/>
          <w:sz w:val="28"/>
          <w:szCs w:val="28"/>
          <w:lang w:eastAsia="ru-RU"/>
        </w:rPr>
      </w:r>
    </w:p>
    <w:p>
      <w:pPr>
        <w:pStyle w:val="Normal"/>
        <w:keepNext w:val="true"/>
        <w:keepLines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tbl>
      <w:tblPr>
        <w:tblStyle w:val="a8"/>
        <w:tblW w:w="99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2"/>
        <w:gridCol w:w="8495"/>
        <w:gridCol w:w="714"/>
      </w:tblGrid>
      <w:tr>
        <w:trPr/>
        <w:tc>
          <w:tcPr>
            <w:tcW w:w="7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495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ind w:left="35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Общие сведения</w:t>
            </w:r>
          </w:p>
        </w:tc>
        <w:tc>
          <w:tcPr>
            <w:tcW w:w="7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1.1.</w:t>
            </w:r>
          </w:p>
        </w:tc>
        <w:tc>
          <w:tcPr>
            <w:tcW w:w="84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Обозначения и сокращения</w:t>
            </w:r>
          </w:p>
        </w:tc>
        <w:tc>
          <w:tcPr>
            <w:tcW w:w="7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1.2.</w:t>
            </w:r>
          </w:p>
        </w:tc>
        <w:tc>
          <w:tcPr>
            <w:tcW w:w="84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Наименование закупаемой продукции</w:t>
            </w:r>
          </w:p>
        </w:tc>
        <w:tc>
          <w:tcPr>
            <w:tcW w:w="7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1.3.</w:t>
            </w:r>
          </w:p>
        </w:tc>
        <w:tc>
          <w:tcPr>
            <w:tcW w:w="84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Цель оказания услуг</w:t>
            </w:r>
          </w:p>
        </w:tc>
        <w:tc>
          <w:tcPr>
            <w:tcW w:w="7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1.4.</w:t>
            </w:r>
          </w:p>
        </w:tc>
        <w:tc>
          <w:tcPr>
            <w:tcW w:w="84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Существующее положение</w:t>
            </w:r>
          </w:p>
        </w:tc>
        <w:tc>
          <w:tcPr>
            <w:tcW w:w="7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4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Таблица 1. Перечень объектов заказчика</w:t>
            </w:r>
          </w:p>
        </w:tc>
        <w:tc>
          <w:tcPr>
            <w:tcW w:w="7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1.5.</w:t>
            </w:r>
          </w:p>
        </w:tc>
        <w:tc>
          <w:tcPr>
            <w:tcW w:w="84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Иные требования и сведения общего характера</w:t>
            </w:r>
          </w:p>
        </w:tc>
        <w:tc>
          <w:tcPr>
            <w:tcW w:w="7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1.6.</w:t>
            </w:r>
          </w:p>
        </w:tc>
        <w:tc>
          <w:tcPr>
            <w:tcW w:w="84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Требования к объемам и срокам оказания услуг</w:t>
            </w:r>
          </w:p>
        </w:tc>
        <w:tc>
          <w:tcPr>
            <w:tcW w:w="7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4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Таблица 2. Перечень и объем оказываемых услуг</w:t>
            </w:r>
          </w:p>
        </w:tc>
        <w:tc>
          <w:tcPr>
            <w:tcW w:w="7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1.7.</w:t>
            </w:r>
          </w:p>
        </w:tc>
        <w:tc>
          <w:tcPr>
            <w:tcW w:w="84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Требования к срокам оказания услуг</w:t>
            </w:r>
          </w:p>
        </w:tc>
        <w:tc>
          <w:tcPr>
            <w:tcW w:w="7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4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Таблица 3. Требования к срокам оказания услуг</w:t>
            </w:r>
          </w:p>
        </w:tc>
        <w:tc>
          <w:tcPr>
            <w:tcW w:w="7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1.8.</w:t>
            </w:r>
          </w:p>
        </w:tc>
        <w:tc>
          <w:tcPr>
            <w:tcW w:w="84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Требования к качеству услуг</w:t>
            </w:r>
          </w:p>
        </w:tc>
        <w:tc>
          <w:tcPr>
            <w:tcW w:w="7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4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Таблица 4. Требования к качеству услуг</w:t>
            </w:r>
          </w:p>
        </w:tc>
        <w:tc>
          <w:tcPr>
            <w:tcW w:w="7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</w:tr>
      <w:tr>
        <w:trPr/>
        <w:tc>
          <w:tcPr>
            <w:tcW w:w="7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4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2. Требования к документации по ценообразованию на этапе заключения (исполнения) договора.</w:t>
            </w:r>
          </w:p>
        </w:tc>
        <w:tc>
          <w:tcPr>
            <w:tcW w:w="71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23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caps/>
          <w:sz w:val="24"/>
          <w:szCs w:val="24"/>
          <w:lang w:eastAsia="x-none"/>
        </w:rPr>
      </w:pPr>
      <w:bookmarkStart w:id="0" w:name="_Toc54643694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x-none"/>
        </w:rPr>
        <w:t>бщие сведения</w:t>
      </w:r>
      <w:bookmarkEnd w:id="0"/>
    </w:p>
    <w:p>
      <w:pPr>
        <w:pStyle w:val="Normal"/>
        <w:keepNext w:val="true"/>
        <w:numPr>
          <w:ilvl w:val="1"/>
          <w:numId w:val="1"/>
        </w:numPr>
        <w:spacing w:lineRule="auto" w:line="240" w:before="120" w:after="60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bookmarkStart w:id="1" w:name="_Toc54643695"/>
      <w:bookmarkStart w:id="2" w:name="_Toc46743505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Обозначения и сокращения</w:t>
      </w:r>
      <w:bookmarkEnd w:id="1"/>
      <w:bookmarkEnd w:id="2"/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/>
          <w:i/>
          <w:iCs/>
          <w:sz w:val="24"/>
          <w:szCs w:val="24"/>
          <w:shd w:fill="FFFF99" w:val="clear"/>
          <w:lang w:eastAsia="ru-RU"/>
        </w:rPr>
      </w:pPr>
      <w:r>
        <w:rPr>
          <w:rFonts w:eastAsia="Times New Roman" w:cs="Times New Roman" w:ascii="Times New Roman" w:hAnsi="Times New Roman"/>
          <w:bCs/>
          <w:i/>
          <w:iCs/>
          <w:sz w:val="24"/>
          <w:szCs w:val="24"/>
          <w:shd w:fill="FFFF99" w:val="clear"/>
          <w:lang w:eastAsia="ru-RU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689"/>
        <w:gridCol w:w="7093"/>
      </w:tblGrid>
      <w:tr>
        <w:trPr>
          <w:cantSplit w:val="true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rPr>
                <w:rFonts w:ascii="Times New Roman" w:hAnsi="Times New Roman" w:eastAsia="Times New Roman" w:cs="Times New Roman"/>
                <w:bCs/>
                <w:sz w:val="24"/>
                <w:szCs w:val="24"/>
                <w:shd w:fill="FFFF99" w:val="clear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4"/>
                <w:szCs w:val="24"/>
              </w:rPr>
              <w:t>АО «ТК РусГидро»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uto" w:line="240" w:before="120" w:after="12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shd w:fill="FFFF99" w:val="clear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iCs/>
                <w:color w:val="000000"/>
                <w:sz w:val="24"/>
                <w:szCs w:val="24"/>
              </w:rPr>
              <w:t>Акционерное Общество «Транспортная компания РусГидро»</w:t>
            </w:r>
          </w:p>
        </w:tc>
      </w:tr>
    </w:tbl>
    <w:p>
      <w:pPr>
        <w:pStyle w:val="Normal"/>
        <w:keepNext w:val="true"/>
        <w:widowControl w:val="false"/>
        <w:numPr>
          <w:ilvl w:val="1"/>
          <w:numId w:val="1"/>
        </w:numPr>
        <w:spacing w:lineRule="auto" w:line="240" w:before="120" w:after="120"/>
        <w:outlineLvl w:val="3"/>
        <w:rPr>
          <w:rFonts w:ascii="Times New Roman" w:hAnsi="Times New Roman" w:eastAsia="Times New Roman" w:cs="Times New Roman"/>
          <w:bCs/>
          <w:i/>
          <w:i/>
          <w:sz w:val="24"/>
          <w:szCs w:val="24"/>
          <w:shd w:fill="FFFF99" w:val="clear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Наименование закупаемой продукции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9"/>
          <w:rFonts w:ascii="Times New Roman" w:hAnsi="Times New Roman" w:eastAsia="Calibri" w:cs="Times New Roman"/>
          <w:b w:val="false"/>
          <w:i w:val="false"/>
          <w:i w:val="false"/>
          <w:sz w:val="24"/>
          <w:szCs w:val="24"/>
          <w:lang w:eastAsia="x-none"/>
        </w:rPr>
      </w:pPr>
      <w:r>
        <w:rPr>
          <w:rFonts w:cs="Times New Roman" w:ascii="Times New Roman" w:hAnsi="Times New Roman"/>
          <w:sz w:val="24"/>
          <w:szCs w:val="24"/>
        </w:rPr>
        <w:t>ОКПД 2: 49.41.15.000 Услуги перевозки топочного мазута автомобильным транспортом для нужд Камчатского филиала АО "ТК РусГидро"</w:t>
      </w:r>
      <w:r>
        <w:rPr>
          <w:rFonts w:eastAsia="Calibri" w:cs="Times New Roman" w:ascii="Times New Roman" w:hAnsi="Times New Roman"/>
          <w:sz w:val="24"/>
          <w:szCs w:val="24"/>
          <w:lang w:eastAsia="x-none"/>
        </w:rPr>
        <w:t>.</w:t>
      </w:r>
    </w:p>
    <w:p>
      <w:pPr>
        <w:pStyle w:val="Normal"/>
        <w:keepNext w:val="true"/>
        <w:widowControl w:val="false"/>
        <w:numPr>
          <w:ilvl w:val="1"/>
          <w:numId w:val="1"/>
        </w:numPr>
        <w:spacing w:lineRule="auto" w:line="240" w:before="120" w:after="120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bookmarkStart w:id="3" w:name="_Toc54643697"/>
      <w:bookmarkStart w:id="4" w:name="_Toc46743507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Цель </w:t>
      </w:r>
      <w:bookmarkEnd w:id="4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оказания услуг</w:t>
      </w:r>
      <w:bookmarkEnd w:id="3"/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cs="Times New Roman" w:ascii="Times New Roman" w:hAnsi="Times New Roman"/>
          <w:sz w:val="24"/>
          <w:szCs w:val="24"/>
          <w:lang w:eastAsia="x-none"/>
        </w:rPr>
        <w:t>Исполнение обязательств Камчатского филиала АО «ТК РусГидро» перед ПАО «Камчатскэнерго», в рамках договора №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  <w:lang w:eastAsia="x-none"/>
        </w:rPr>
        <w:t>73600-ОСН ТОПЛИВО-2024-КамчЭн от 04.10.2024 г., по перевозке топочного мазута автомобильным транспортом с целью обеспечение котельных г. Петропавловска-Камчатского и Елизовского района мазутом</w:t>
      </w:r>
      <w:bookmarkStart w:id="5" w:name="_GoBack"/>
      <w:bookmarkEnd w:id="5"/>
      <w:r>
        <w:rPr>
          <w:rFonts w:cs="Times New Roman" w:ascii="Times New Roman" w:hAnsi="Times New Roman"/>
          <w:sz w:val="24"/>
          <w:szCs w:val="24"/>
          <w:lang w:eastAsia="x-none"/>
        </w:rPr>
        <w:t xml:space="preserve"> в отопительный период года.</w:t>
      </w:r>
    </w:p>
    <w:p>
      <w:pPr>
        <w:pStyle w:val="Normal"/>
        <w:keepNext w:val="true"/>
        <w:widowControl w:val="false"/>
        <w:numPr>
          <w:ilvl w:val="1"/>
          <w:numId w:val="1"/>
        </w:numPr>
        <w:spacing w:lineRule="auto" w:line="240" w:before="120" w:after="120"/>
        <w:outlineLvl w:val="3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bookmarkStart w:id="6" w:name="_Toc46743508"/>
      <w:bookmarkStart w:id="7" w:name="_Toc54643698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Существующее положение</w:t>
      </w:r>
      <w:bookmarkStart w:id="8" w:name="_Toc54643699"/>
      <w:bookmarkEnd w:id="6"/>
      <w:bookmarkEnd w:id="7"/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cs="Times New Roman" w:ascii="Times New Roman" w:hAnsi="Times New Roman"/>
          <w:sz w:val="24"/>
          <w:szCs w:val="24"/>
          <w:lang w:val="x-none" w:eastAsia="x-none"/>
        </w:rPr>
        <w:t xml:space="preserve">Необходимость предоставления услуг обусловлена </w:t>
      </w:r>
      <w:r>
        <w:rPr>
          <w:rFonts w:cs="Times New Roman" w:ascii="Times New Roman" w:hAnsi="Times New Roman"/>
          <w:sz w:val="24"/>
          <w:szCs w:val="24"/>
          <w:lang w:eastAsia="x-none"/>
        </w:rPr>
        <w:t>недостаточным количеством собственных транспортных средств для обеспечения суточной перевозки каменного угля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lang w:val="x-none" w:eastAsia="x-none"/>
        </w:rPr>
      </w:pPr>
      <w:r>
        <w:rPr>
          <w:rFonts w:cs="Times New Roman" w:ascii="Times New Roman" w:hAnsi="Times New Roman"/>
          <w:sz w:val="24"/>
          <w:szCs w:val="24"/>
          <w:lang w:val="x-none" w:eastAsia="x-none"/>
        </w:rPr>
      </w:r>
    </w:p>
    <w:p>
      <w:pPr>
        <w:pStyle w:val="Heading4"/>
        <w:numPr>
          <w:ilvl w:val="1"/>
        </w:numPr>
        <w:rPr/>
      </w:pPr>
      <w:r>
        <w:rPr/>
        <w:t>Таблица 1. Перечень объектов заказчика</w:t>
      </w:r>
    </w:p>
    <w:tbl>
      <w:tblPr>
        <w:tblW w:w="104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0"/>
        <w:gridCol w:w="2694"/>
        <w:gridCol w:w="3234"/>
        <w:gridCol w:w="8"/>
        <w:gridCol w:w="2118"/>
        <w:gridCol w:w="8"/>
        <w:gridCol w:w="1863"/>
      </w:tblGrid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b/>
                <w:sz w:val="20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4"/>
                <w:lang w:eastAsia="x-none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b/>
                <w:sz w:val="20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4"/>
                <w:lang w:eastAsia="x-none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4"/>
                <w:lang w:eastAsia="x-none"/>
              </w:rPr>
              <w:t>Наименование объекта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4"/>
                <w:lang w:eastAsia="x-none"/>
              </w:rPr>
            </w:r>
          </w:p>
        </w:tc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4"/>
                <w:lang w:eastAsia="x-none"/>
              </w:rPr>
              <w:t xml:space="preserve">Расположение объекта </w:t>
              <w:br/>
              <w:t xml:space="preserve">(место оказания услуг)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4"/>
                <w:lang w:eastAsia="x-none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eastAsia="x-none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4"/>
                <w:lang w:eastAsia="x-none"/>
              </w:rPr>
              <w:t>Примечания</w:t>
            </w:r>
          </w:p>
        </w:tc>
      </w:tr>
      <w:tr>
        <w:trPr>
          <w:trHeight w:val="1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4"/>
              </w:rPr>
              <w:t>2</w:t>
            </w:r>
          </w:p>
        </w:tc>
        <w:tc>
          <w:tcPr>
            <w:tcW w:w="3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4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4"/>
              </w:rPr>
              <w:t>4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4"/>
              </w:rPr>
              <w:t>5</w:t>
            </w:r>
          </w:p>
        </w:tc>
      </w:tr>
      <w:tr>
        <w:trPr>
          <w:trHeight w:val="262" w:hRule="atLeast"/>
        </w:trPr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iCs/>
                <w:sz w:val="20"/>
                <w:szCs w:val="24"/>
              </w:rPr>
              <w:t>г. Петропавловск-Камчатский</w:t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ind w:firstLine="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56 «Петропавловский с/х»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 xml:space="preserve">8,3 км от наливной станции ТЭЦ-2 до котельной Петропавловск-Камчатский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4"/>
              </w:rPr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ind w:firstLine="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7 «Энергопоезд»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9,1 км от наливной станции ТЭЦ-2 до котельной Петропавловск-Камчатский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4"/>
              </w:rPr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ind w:firstLine="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Котельная№ 32 «Ленинградская»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10,0 км от наливной станции ТЭЦ-2 до котельной Петропавловск-Камчатский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4"/>
              </w:rPr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ind w:firstLine="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40 «КМП»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11,4 км от наливной станции ТЭЦ-2 до котельной Петропавловск-Камчатский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4"/>
              </w:rPr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ind w:firstLine="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62 «103 квартал»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11,5 км от наливной станции ТЭЦ-2 до котельной Петропавловск-Камчатский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ind w:firstLine="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50 «101 квартал»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11,8  км от наливной станции ТЭЦ-2 до котельной Петропавловск-Камчатский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ind w:firstLine="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44 «Ватутина»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11,9 км от наливной станции ТЭЦ-2 до котельной Петропавловск-Камчатский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ind w:firstLine="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37 «Псих. диспансер»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12,3 км от наливной станции ТЭЦ-2 до котельной Петропавловск-Камчатский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160"/>
              <w:ind w:firstLine="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52 «108 квартал»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12,5 км от наливной станции ТЭЦ-2 до котельной Петропавловск-Камчатский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160"/>
              <w:ind w:firstLine="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43 «Чубарова»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12,7 км от наливной станции ТЭЦ-2 до котельной Петропавловск-Камчатский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160"/>
              <w:ind w:firstLine="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45 «Владивостокская»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13,1 км от наливной станции ТЭЦ-2 до котельной Петропавловск-Камчатский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160"/>
              <w:ind w:firstLine="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42 «Заозерная»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14 км от наливной станции ТЭЦ-2 до котельной Петропавловск-Камчатский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160"/>
              <w:ind w:firstLine="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46 «Школа № 18»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14 км от наливной станции ТЭЦ-2 до котельной Петропавловск-Камчатский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160"/>
              <w:ind w:firstLine="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12 «Сероглазка»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15 км от наливной станции ТЭЦ-2 до котельной Петропавловск-Камчатский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160"/>
              <w:ind w:firstLine="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1 «11 км.»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15,5 км от наливной станции ТЭЦ-2 до котельной Петропавловск-Камчатский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160"/>
              <w:ind w:firstLine="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2 «КГТУ»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15,7 км от наливной станции ТЭЦ-2 до котельной Петропавловск-Камчатский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160"/>
              <w:ind w:firstLine="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2 «Моховая»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17,1 км от наливной станции ТЭЦ-2 до котельной Петропавловск-Камчатский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160"/>
              <w:ind w:firstLine="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2 «Чавыча»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17,4 км от наливной станции ТЭЦ-2 до котельной Петропавловск-Камчатский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160"/>
              <w:ind w:firstLine="5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18 «Зайково»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25 км от наливной станции ТЭЦ-2 до котельной Петропавловск-Камчатский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4"/>
              </w:rPr>
              <w:t>г. Елизово</w:t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1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40,4 км от наливной станции ТЭЦ-2 до котельной Елизово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4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41,0 км от наливной станции ТЭЦ-2 до котельной Елизово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6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39,3 км от наливной станции ТЭЦ-2 до котельной Елизово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509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№7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41,6 км от наливной станции ТЭЦ-2 до котельной Елизово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Котельная № 9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42,2 км от наливной станции ТЭЦ-2 до котельной Елизово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6804" w:leader="none"/>
        </w:tabs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pacing w:before="120" w:after="60"/>
        <w:ind w:left="0" w:hanging="0"/>
        <w:outlineLvl w:val="3"/>
        <w:rPr>
          <w:rFonts w:ascii="Times New Roman" w:hAnsi="Times New Roman" w:cs="Times New Roman"/>
          <w:bCs/>
          <w:i/>
          <w:i/>
          <w:sz w:val="24"/>
          <w:szCs w:val="24"/>
          <w:shd w:fill="FFFF99" w:val="clear"/>
          <w:lang w:eastAsia="x-none"/>
        </w:rPr>
      </w:pPr>
      <w:bookmarkStart w:id="9" w:name="_Toc54643701"/>
      <w:bookmarkStart w:id="10" w:name="_Toc50125126"/>
      <w:bookmarkEnd w:id="8"/>
      <w:bookmarkEnd w:id="10"/>
      <w:r>
        <w:rPr>
          <w:rFonts w:cs="Times New Roman" w:ascii="Times New Roman" w:hAnsi="Times New Roman"/>
          <w:b/>
          <w:bCs/>
          <w:sz w:val="24"/>
          <w:szCs w:val="24"/>
        </w:rPr>
        <w:t>1.5. Иные требования и сведения общего характера</w:t>
      </w:r>
      <w:r>
        <w:rPr>
          <w:rFonts w:cs="Times New Roman" w:ascii="Times New Roman" w:hAnsi="Times New Roman"/>
          <w:b/>
          <w:bCs/>
          <w:sz w:val="24"/>
          <w:szCs w:val="24"/>
          <w:lang w:eastAsia="x-none"/>
        </w:rPr>
        <w:t xml:space="preserve"> </w:t>
      </w:r>
      <w:bookmarkEnd w:id="9"/>
    </w:p>
    <w:p>
      <w:pPr>
        <w:pStyle w:val="Heading3"/>
        <w:numPr>
          <w:ilvl w:val="2"/>
          <w:numId w:val="6"/>
        </w:numPr>
        <w:rPr/>
      </w:pPr>
      <w:r>
        <w:rPr/>
        <w:t>Заказчик обязан предоставить груз к перевозке и осуществлять погрузку груза в транспортные средства Исполнителя.</w:t>
      </w:r>
    </w:p>
    <w:p>
      <w:pPr>
        <w:pStyle w:val="Heading3"/>
        <w:rPr/>
      </w:pPr>
      <w:r>
        <w:rPr/>
        <w:t>1.5.2.</w:t>
      </w:r>
      <w:r>
        <w:rPr>
          <w:color w:val="FF0000"/>
        </w:rPr>
        <w:t xml:space="preserve"> </w:t>
      </w:r>
      <w:bookmarkStart w:id="11" w:name="_Toc51339693"/>
      <w:bookmarkStart w:id="12" w:name="_Toc54643702"/>
      <w:r>
        <w:rPr/>
        <w:t>Обеспечить приемку в пункте назначения.</w:t>
      </w:r>
    </w:p>
    <w:p>
      <w:pPr>
        <w:pStyle w:val="ListParagraph"/>
        <w:keepNext w:val="true"/>
        <w:numPr>
          <w:ilvl w:val="1"/>
          <w:numId w:val="7"/>
        </w:numPr>
        <w:spacing w:before="120" w:after="60"/>
        <w:contextualSpacing/>
        <w:outlineLvl w:val="3"/>
        <w:rPr>
          <w:b/>
          <w:bCs/>
        </w:rPr>
      </w:pPr>
      <w:bookmarkStart w:id="13" w:name="_Toc54643703"/>
      <w:bookmarkEnd w:id="11"/>
      <w:bookmarkEnd w:id="12"/>
      <w:r>
        <w:rPr>
          <w:b/>
          <w:bCs/>
        </w:rPr>
        <w:t xml:space="preserve"> </w:t>
      </w:r>
      <w:r>
        <w:rPr>
          <w:b/>
          <w:bCs/>
        </w:rPr>
        <w:t xml:space="preserve">Требования к объемам и срокам </w:t>
      </w:r>
      <w:r>
        <w:rPr>
          <w:b/>
          <w:bCs/>
          <w:lang w:eastAsia="x-none"/>
        </w:rPr>
        <w:t>оказания услуг</w:t>
      </w:r>
      <w:bookmarkEnd w:id="13"/>
    </w:p>
    <w:p>
      <w:pPr>
        <w:pStyle w:val="ListParagraph"/>
        <w:keepNext w:val="true"/>
        <w:numPr>
          <w:ilvl w:val="2"/>
          <w:numId w:val="7"/>
        </w:numPr>
        <w:spacing w:before="120" w:after="60"/>
        <w:ind w:left="0" w:firstLine="567"/>
        <w:contextualSpacing/>
        <w:jc w:val="both"/>
        <w:outlineLvl w:val="2"/>
        <w:rPr/>
      </w:pPr>
      <w:r>
        <w:rPr/>
        <w:t xml:space="preserve">Все работы проводятся силами, средствами Исполнителя на территории Заказчика. </w:t>
      </w:r>
    </w:p>
    <w:p>
      <w:pPr>
        <w:pStyle w:val="ListParagraph"/>
        <w:keepNext w:val="true"/>
        <w:numPr>
          <w:ilvl w:val="2"/>
          <w:numId w:val="7"/>
        </w:numPr>
        <w:spacing w:before="120" w:after="60"/>
        <w:ind w:left="0" w:firstLine="567"/>
        <w:contextualSpacing/>
        <w:jc w:val="both"/>
        <w:outlineLvl w:val="2"/>
        <w:rPr/>
      </w:pPr>
      <w:r>
        <w:rPr/>
        <w:t>Перечень оказываемых услуг осуществляется в соответствии с Таблицей № 2 «Перечень и объём оказанных услуг».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rFonts w:ascii="Times New Roman" w:hAnsi="Times New Roman" w:eastAsia="Times New Roman" w:cs="Times New Roman"/>
          <w:b/>
          <w:sz w:val="24"/>
          <w:szCs w:val="24"/>
          <w:lang w:eastAsia="x-none"/>
        </w:rPr>
      </w:pPr>
      <w:bookmarkStart w:id="14" w:name="_Toc54643705"/>
      <w:bookmarkStart w:id="15" w:name="_Toc51339695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Таблица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x-none"/>
        </w:rPr>
        <w:t>2.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x-none"/>
        </w:rPr>
        <w:t xml:space="preserve">Перечень </w:t>
      </w:r>
      <w:bookmarkEnd w:id="15"/>
      <w:r>
        <w:rPr>
          <w:rFonts w:eastAsia="Times New Roman" w:cs="Times New Roman" w:ascii="Times New Roman" w:hAnsi="Times New Roman"/>
          <w:b/>
          <w:sz w:val="24"/>
          <w:szCs w:val="24"/>
          <w:lang w:eastAsia="x-none"/>
        </w:rPr>
        <w:t>и объем оказываемых услуг</w:t>
      </w:r>
      <w:bookmarkEnd w:id="14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3574"/>
        <w:gridCol w:w="2976"/>
        <w:gridCol w:w="2410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  <w:t>п/п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  <w:t>Наименование услуг / этапа услуг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  <w:t>Количество*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3574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  <w:t>ОКПД 2: 49.41.15.000 Услуги перевозки топочного мазута автомобильным транспортом на условиях субподряда для нужд Камчатского филиала АО "ТК РусГидро" (по маршруту: Петропавловск-Камчатский ТЭЦ-2 – по  г. Петропавловск-Камчатский)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Тн/км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65 000,00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</w:r>
          </w:p>
        </w:tc>
        <w:tc>
          <w:tcPr>
            <w:tcW w:w="3574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Times New Roman" w:cs="Times New Roman"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4"/>
                <w:lang w:eastAsia="ru-RU"/>
              </w:rPr>
              <w:t>ОКПД 2: 49.41.15.000 Услуги перевозки топочного мазута автомобильным транспортом на условиях субподряда для нужд Камчатского филиала АО "ТК РусГидро" (по маршруту: Петропавловск-Камчатский ТЭЦ-2 - Елизовский район)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Тн/км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65 000,00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* Количество плановое, возможна корректировка по фактической потребности Заказчика в пределах общей стоимости договора, при этом цена единицы услуг остаётся неизменной.</w:t>
      </w:r>
    </w:p>
    <w:p>
      <w:pPr>
        <w:pStyle w:val="ListParagraph"/>
        <w:keepNext w:val="true"/>
        <w:numPr>
          <w:ilvl w:val="1"/>
          <w:numId w:val="7"/>
        </w:numPr>
        <w:spacing w:before="120" w:after="60"/>
        <w:contextualSpacing/>
        <w:outlineLvl w:val="2"/>
        <w:rPr>
          <w:b/>
          <w:lang w:eastAsia="x-none"/>
        </w:rPr>
      </w:pPr>
      <w:bookmarkStart w:id="16" w:name="_Toc54643706"/>
      <w:bookmarkStart w:id="17" w:name="_Toc51339696"/>
      <w:r>
        <w:rPr>
          <w:b/>
          <w:lang w:eastAsia="x-none"/>
        </w:rPr>
        <w:t xml:space="preserve"> </w:t>
      </w:r>
      <w:r>
        <w:rPr>
          <w:b/>
          <w:lang w:eastAsia="x-none"/>
        </w:rPr>
        <w:t xml:space="preserve">Требования </w:t>
      </w:r>
      <w:bookmarkEnd w:id="17"/>
      <w:r>
        <w:rPr>
          <w:b/>
          <w:lang w:eastAsia="x-none"/>
        </w:rPr>
        <w:t>к срокам оказания услуг</w:t>
      </w:r>
      <w:bookmarkEnd w:id="16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rFonts w:ascii="Times New Roman" w:hAnsi="Times New Roman" w:eastAsia="Times New Roman" w:cs="Times New Roman"/>
          <w:b/>
          <w:sz w:val="24"/>
          <w:szCs w:val="24"/>
          <w:lang w:eastAsia="x-none"/>
        </w:rPr>
      </w:pPr>
      <w:bookmarkStart w:id="18" w:name="_Toc54643707"/>
      <w:bookmarkStart w:id="19" w:name="_Toc50125127"/>
      <w:bookmarkStart w:id="20" w:name="_Toc51339697"/>
      <w:bookmarkStart w:id="21" w:name="_Toc50125126_Копия_1"/>
      <w:bookmarkEnd w:id="21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Таблица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x-none"/>
        </w:rPr>
        <w:t>3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. </w:t>
      </w:r>
      <w:bookmarkStart w:id="22" w:name="_Hlk50465284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Требования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x-none"/>
        </w:rPr>
        <w:t>к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срокам </w:t>
      </w:r>
      <w:bookmarkEnd w:id="19"/>
      <w:bookmarkEnd w:id="20"/>
      <w:bookmarkEnd w:id="22"/>
      <w:r>
        <w:rPr>
          <w:rFonts w:eastAsia="Times New Roman" w:cs="Times New Roman" w:ascii="Times New Roman" w:hAnsi="Times New Roman"/>
          <w:b/>
          <w:sz w:val="24"/>
          <w:szCs w:val="24"/>
          <w:lang w:eastAsia="x-none"/>
        </w:rPr>
        <w:t>оказания услуг</w:t>
      </w:r>
      <w:bookmarkEnd w:id="18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2551"/>
        <w:gridCol w:w="2978"/>
        <w:gridCol w:w="3117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услуг/ этапа услуг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40" w:after="40"/>
              <w:ind w:left="57" w:right="57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40" w:after="40"/>
              <w:ind w:left="57" w:right="57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ОКПД 2: 49.41.15.000 Услуги перевозки топочного мазута автомобильным транспортом на условиях субподряда для нужд Камчатского филиала АО "ТК РусГидро"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01.01.2027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bookmarkStart w:id="23" w:name="_Toc46743510"/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31.12.202</w:t>
            </w:r>
            <w:bookmarkEnd w:id="23"/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3"/>
          <w:pgNumType w:fmt="decimal"/>
          <w:formProt w:val="false"/>
          <w:titlePg/>
          <w:textDirection w:val="lrTb"/>
          <w:docGrid w:type="default" w:linePitch="360" w:charSpace="4096"/>
        </w:sectPr>
        <w:pStyle w:val="Normal"/>
        <w:keepNext w:val="true"/>
        <w:keepLines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rFonts w:ascii="Times New Roman" w:hAnsi="Times New Roman" w:eastAsia="Times New Roman" w:cs="Times New Roman"/>
          <w:b/>
          <w:sz w:val="24"/>
          <w:szCs w:val="24"/>
          <w:lang w:eastAsia="x-none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x-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ListParagraph"/>
        <w:keepNext w:val="true"/>
        <w:numPr>
          <w:ilvl w:val="1"/>
          <w:numId w:val="7"/>
        </w:numPr>
        <w:spacing w:before="120" w:after="60"/>
        <w:contextualSpacing/>
        <w:outlineLvl w:val="3"/>
        <w:rPr>
          <w:b/>
          <w:bCs/>
        </w:rPr>
      </w:pPr>
      <w:bookmarkStart w:id="24" w:name="_Toc54643709"/>
      <w:bookmarkStart w:id="25" w:name="_Toc51339698"/>
      <w:bookmarkStart w:id="26" w:name="_Toc54643708"/>
      <w:bookmarkStart w:id="27" w:name="_Toc46743511"/>
      <w:r>
        <w:rPr>
          <w:b/>
          <w:bCs/>
        </w:rPr>
        <w:t xml:space="preserve"> </w:t>
      </w:r>
      <w:r>
        <w:rPr>
          <w:b/>
          <w:bCs/>
        </w:rPr>
        <w:t xml:space="preserve">Требования к </w:t>
      </w:r>
      <w:bookmarkEnd w:id="27"/>
      <w:r>
        <w:rPr>
          <w:b/>
          <w:bCs/>
          <w:lang w:eastAsia="x-none"/>
        </w:rPr>
        <w:t>качеству услуг</w:t>
      </w:r>
      <w:bookmarkEnd w:id="26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240" w:after="60"/>
        <w:ind w:left="0" w:hanging="0"/>
        <w:outlineLvl w:val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Таблица 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x-none"/>
        </w:rPr>
        <w:t>4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. Требования к </w:t>
      </w:r>
      <w:bookmarkEnd w:id="25"/>
      <w:r>
        <w:rPr>
          <w:rFonts w:eastAsia="Times New Roman" w:cs="Times New Roman" w:ascii="Times New Roman" w:hAnsi="Times New Roman"/>
          <w:b/>
          <w:sz w:val="24"/>
          <w:szCs w:val="24"/>
          <w:lang w:eastAsia="x-none"/>
        </w:rPr>
        <w:t>качеству услуг</w:t>
      </w:r>
      <w:bookmarkEnd w:id="24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ascii="Times New Roman" w:hAnsi="Times New Roman" w:eastAsia="Times New Roman" w:cs="Times New Roman"/>
          <w:i/>
          <w:i/>
          <w:iCs/>
          <w:sz w:val="28"/>
          <w:szCs w:val="28"/>
          <w:shd w:fill="FFFF99" w:val="clear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Наименование услуг/этапа услуг: </w:t>
      </w:r>
      <w:r>
        <w:rPr>
          <w:rFonts w:cs="Times New Roman" w:ascii="Times New Roman" w:hAnsi="Times New Roman"/>
          <w:sz w:val="24"/>
          <w:szCs w:val="24"/>
        </w:rPr>
        <w:t>ОКПД 2: 49.41.15.000 Услуги перевозки топочного мазута автомобильным транспортом на условиях субподряда для нужд Камчатского филиала АО "ТК РусГидро"</w:t>
      </w:r>
    </w:p>
    <w:tbl>
      <w:tblPr>
        <w:tblStyle w:val="a8"/>
        <w:tblW w:w="1516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9"/>
        <w:gridCol w:w="3687"/>
        <w:gridCol w:w="3968"/>
        <w:gridCol w:w="3401"/>
        <w:gridCol w:w="3263"/>
      </w:tblGrid>
      <w:tr>
        <w:trPr/>
        <w:tc>
          <w:tcPr>
            <w:tcW w:w="84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96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66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4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96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4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2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8" w:name="_Toc53499667"/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28"/>
          </w:p>
        </w:tc>
        <w:tc>
          <w:tcPr>
            <w:tcW w:w="36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9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4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2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5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340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60" w:after="60"/>
              <w:ind w:left="-117" w:firstLine="142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765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340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3" w:type="dxa"/>
            <w:vMerge w:val="restart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3076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8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Объём оказания услуг</w:t>
            </w:r>
          </w:p>
        </w:tc>
        <w:tc>
          <w:tcPr>
            <w:tcW w:w="39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Плановый объем перевозки топочного мазута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436 800 тн/км</w:t>
            </w:r>
          </w:p>
        </w:tc>
        <w:tc>
          <w:tcPr>
            <w:tcW w:w="34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заявке согласие оказать услуги, полностью соответствующие настоящим техническим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требованиям, по форме Технического предложения, установленной в Документации 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закупке</w:t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2290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1.1.1.</w:t>
            </w:r>
          </w:p>
        </w:tc>
        <w:tc>
          <w:tcPr>
            <w:tcW w:w="368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340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55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340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left="121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Способы оказания услуг</w:t>
            </w:r>
          </w:p>
        </w:tc>
        <w:tc>
          <w:tcPr>
            <w:tcW w:w="396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Услуги оказываются Исполнителем способом перевозки груза специализированным грузовым автомобильным транспортом по дорогам общего пользования Камчатского края.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заявке согласие оказать услуги, полностью соответствующие настоящим техническим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требованиям, по форме Технического предложения, установленной в Документации 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закупке</w:t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5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left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340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3566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left="121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  <w:spacing w:val="-1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"/>
                <w:kern w:val="0"/>
                <w:sz w:val="24"/>
                <w:szCs w:val="20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39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Перевозка осуществляется по письменным заявкам Заказчика в рабочие дни, однако при возникновении критической ситуации с запасами топлива на котельных ПАО «Камчатскэнерго», Заявка может быть подана и на выходной либо праздничный день. Доставка осуществляется на следующий рабочий день после получения Исполнителем соответствующей заявки.</w:t>
            </w:r>
          </w:p>
        </w:tc>
        <w:tc>
          <w:tcPr>
            <w:tcW w:w="34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заявке согласие оказать услуги, полностью соответствующие настоящим техническим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требованиям, по форме Технического предложения, установленной в Документации 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закупке</w:t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2290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left="121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9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Погрузка транспортных средств Исполнителя осуществляется на наливной станции ТЭЦ-2 силами ПАО «Камчатскэнерго».</w:t>
            </w:r>
          </w:p>
        </w:tc>
        <w:tc>
          <w:tcPr>
            <w:tcW w:w="340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2715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left="121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9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Оформление товаросопроводительных документов производится представителем Грузоотправителя (ПАО «Камчатскэнерго).</w:t>
            </w:r>
          </w:p>
        </w:tc>
        <w:tc>
          <w:tcPr>
            <w:tcW w:w="340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440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left="121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9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Перевозка осуществляется по автомобильным дорогам общего пользования по территории Камчатского края, по маршрутам указанным Грузоотправителем в транспортных накладных.</w:t>
            </w:r>
          </w:p>
        </w:tc>
        <w:tc>
          <w:tcPr>
            <w:tcW w:w="340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582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left="121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9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Разгрузка транспортных средств Исполнителя в пунктах назначения.</w:t>
            </w:r>
          </w:p>
        </w:tc>
        <w:tc>
          <w:tcPr>
            <w:tcW w:w="340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1850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left="121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9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Приёмка груза Грузополучателем осуществляется в момент разгрузки транспортного средства Исполнителем, с последующим проставлением отметок о принятии груза в транспортных накладных.</w:t>
            </w:r>
          </w:p>
        </w:tc>
        <w:tc>
          <w:tcPr>
            <w:tcW w:w="340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5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340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574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left="121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39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Все транспортные средства Исполнителя, привлекаемые для оказания услуг по перевозке топочного мазута для нужд Заказчика должны быть в исправном состоянии, оборудованы, оборудованы системой спутникового мониторинга с возможность доступа Заказчика к данной системе.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0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заявке согласие оказать услуги, полностью соответствующие настоящим техническим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требованиям, по форме Технического предложения, установленной в Документации 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закупке</w:t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2796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left="121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иметь парк автомобилей на территории Камчатского края, исправных, пригодных и оборудованных для топочного мазута в количестве не менее 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единиц  и обеспечивающем единовременную перевозку в объёме  не менее 20 куб.м.</w:t>
            </w:r>
          </w:p>
        </w:tc>
        <w:tc>
          <w:tcPr>
            <w:tcW w:w="340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0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2"/>
              </w:numPr>
              <w:suppressAutoHyphens w:val="true"/>
              <w:spacing w:lineRule="auto" w:line="240" w:before="60" w:after="60"/>
              <w:ind w:left="1214" w:hanging="119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Автотранспорт должен находиться в собственности Исполнителя (подтверждается ПТС), либо в аренде (подтверждается договорами аренды, либо гарантийными письмами о намерениях заключения договоров аренды с собственниками автотранспорта).</w:t>
            </w:r>
          </w:p>
        </w:tc>
        <w:tc>
          <w:tcPr>
            <w:tcW w:w="340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5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340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731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1.5.1.</w:t>
            </w:r>
          </w:p>
        </w:tc>
        <w:tc>
          <w:tcPr>
            <w:tcW w:w="3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396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Водительский состав исполнителя в обязательном порядке должен: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 Иметь действующее водительское удостоверение с открытыми категориями водительских прав необходимым для оказания заявленных услуг, а также удостоверение ДОПОГ;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 При оказании услуг соблюдать требования правил дорожного движения и иных нормативно правовых актов Российской Федерации регламентирующих перевозку грузов автомобильным транспортом;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 Иметь на руках действующий паспорт гражданина РФ или иной документ подтверждающий легитимность осуществления трудовой деятельности на территории РФ.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заявке согласие оказать услуги, полностью соответствующие настоящим техническим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требованиям, по форме Технического предложения, установленной в Документации 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закупке</w:t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5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340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5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340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102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2.1.1.</w:t>
            </w:r>
          </w:p>
        </w:tc>
        <w:tc>
          <w:tcPr>
            <w:tcW w:w="3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Требования к результатам услуг</w:t>
            </w:r>
          </w:p>
        </w:tc>
        <w:tc>
          <w:tcPr>
            <w:tcW w:w="39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Результатом оказания услуг является транспортные накладные подписанные со стороны Грузополучателя  (ПАО «Камчатскэнерго») в объёме груза заявленного к перевозке.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заявке согласие оказать услуги, полностью соответствующие настоящим техническим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требованиям, по форме Технического предложения, установленной в Документации 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закупке</w:t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5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340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3424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2.2.1.</w:t>
            </w:r>
          </w:p>
        </w:tc>
        <w:tc>
          <w:tcPr>
            <w:tcW w:w="3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39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"/>
                <w:kern w:val="0"/>
                <w:sz w:val="24"/>
                <w:szCs w:val="24"/>
                <w:lang w:val="ru-RU" w:eastAsia="ru-RU" w:bidi="ar-SA"/>
              </w:rPr>
              <w:t xml:space="preserve">Оказание услуг должно осуществляться с соблюдением требований технической документации по эксплуатации транспортных средств, с соблюдением требований Правил дорожного движения,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действующего законодательства Российской Федерации, в том числе с учетом Правил перевозки опасных грузов автомобильным транспортом (ГОСТ 1510-84, ГОСТ 10585-2013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заявке согласие оказать услуги, полностью соответствующие настоящим техническим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требованиям, по форме Технического предложения, установленной в Документации 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закупке</w:t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5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kern w:val="0"/>
                <w:sz w:val="24"/>
                <w:szCs w:val="24"/>
                <w:shd w:fill="FFFF99" w:val="clear"/>
                <w:lang w:val="ru-RU" w:eastAsia="ru-RU" w:bidi="ar-SA"/>
              </w:rPr>
              <w:t xml:space="preserve"> </w:t>
            </w:r>
          </w:p>
        </w:tc>
        <w:tc>
          <w:tcPr>
            <w:tcW w:w="340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066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2.3.1.</w:t>
            </w:r>
          </w:p>
        </w:tc>
        <w:tc>
          <w:tcPr>
            <w:tcW w:w="3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услуг</w:t>
            </w:r>
          </w:p>
        </w:tc>
        <w:tc>
          <w:tcPr>
            <w:tcW w:w="396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Приёмка результатов оказания услуг осуществляется Заказчиком по результатам каждого отчётного календарного месяца на основании отчётных документов Исполнителя в соответствии с договором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заявке согласие оказать услуги, полностью соответствующие настоящим техническим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требованиям, по форме Технического предложения, установленной в Документации 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закупке</w:t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5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340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426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2.4.1.</w:t>
            </w:r>
          </w:p>
        </w:tc>
        <w:tc>
          <w:tcPr>
            <w:tcW w:w="3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39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По результатам оказания услуг Исполнитель передаёт Заказчику: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0" w:firstLine="184"/>
              <w:contextualSpacing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lang w:val="ru-RU" w:bidi="ar-SA"/>
              </w:rPr>
              <w:t>Транспортные накладные с отметкой Грузополучателя о получении груза (по два экземпляра),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0" w:firstLine="184"/>
              <w:contextualSpacing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lang w:val="ru-RU" w:bidi="ar-SA"/>
              </w:rPr>
              <w:t xml:space="preserve"> </w:t>
            </w:r>
            <w:r>
              <w:rPr>
                <w:color w:val="000000" w:themeColor="text1"/>
                <w:kern w:val="0"/>
                <w:lang w:val="ru-RU" w:bidi="ar-SA"/>
              </w:rPr>
              <w:t xml:space="preserve">Счёт,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0" w:firstLine="184"/>
              <w:contextualSpacing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lang w:val="ru-RU" w:bidi="ar-SA"/>
              </w:rPr>
              <w:t xml:space="preserve">Счёт-фактуру (если Исполнитель является плательщиком НДС), 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0" w:firstLine="184"/>
              <w:contextualSpacing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kern w:val="0"/>
                <w:lang w:val="ru-RU" w:bidi="ar-SA"/>
              </w:rPr>
              <w:t>Акт сдачи-приемки оказанных услуг в двух экземплярах с реестром транспортных накладных по пунктам назначения.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заявке согласие оказать услуги, полностью соответствующие настоящим техническим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требованиям, по форме Технического предложения, установленной в Документации 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закупке</w:t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5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4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340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4476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3.1.</w:t>
            </w:r>
          </w:p>
        </w:tc>
        <w:tc>
          <w:tcPr>
            <w:tcW w:w="3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396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lineRule="auto" w:line="240" w:before="60" w:after="0"/>
              <w:jc w:val="left"/>
              <w:rPr>
                <w:color w:val="000000"/>
                <w:sz w:val="24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2"/>
                <w:lang w:val="ru-RU" w:eastAsia="ru-RU" w:bidi="ar-SA"/>
              </w:rPr>
              <w:t>При оказании Услуг Исполнитель должен руководствоваться: 1. Правилами перевозок грузов автомобильным транспортом (утверждены постановлением Правительства Российской Федерации от 21 декабря 2020 г. № 2200);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ind w:left="0" w:hanging="0"/>
              <w:contextualSpacing/>
              <w:jc w:val="left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Правилами дорожного движения для соответствующей категории транспортных средств;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ind w:left="0" w:hanging="0"/>
              <w:contextualSpacing/>
              <w:jc w:val="left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Иными правилами и нормами регламентирующими перевозку грузов автомобильным транспортом.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заявке согласие оказать услуги, полностью соответствующие настоящим техническим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требованиям, по форме Технического предложения, установленной в Документации 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закупке</w:t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5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340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jc w:val="center"/>
              <w:rPr>
                <w:b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3141" w:hRule="atLeast"/>
        </w:trPr>
        <w:tc>
          <w:tcPr>
            <w:tcW w:w="8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60" w:after="6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4.1.</w:t>
            </w:r>
          </w:p>
        </w:tc>
        <w:tc>
          <w:tcPr>
            <w:tcW w:w="36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396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В случае нарушения исполнителем обязательств по оказанию услуг на срок свыше 60 (шестидесяти) календарных дней, Заказчик имеет право расторгнуть Договор в одностороннем внесудебном порядке, а также потребовать возмещения убытков</w:t>
            </w:r>
          </w:p>
        </w:tc>
        <w:tc>
          <w:tcPr>
            <w:tcW w:w="34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заявке согласие оказать услуги, полностью соответствующие настоящим техническим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требованиям, по форме Технического предложения, установленной в Документации 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закупке</w:t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138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4096"/>
        </w:sectPr>
      </w:pPr>
    </w:p>
    <w:p>
      <w:pPr>
        <w:pStyle w:val="Normal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bookmarkStart w:id="29" w:name="_Toc51339699"/>
      <w:bookmarkStart w:id="30" w:name="_Toc46743519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3. Требования к документации по ценообразованию на этапе заключения (исполнения) договора.</w:t>
      </w:r>
      <w:bookmarkEnd w:id="29"/>
      <w:bookmarkEnd w:id="30"/>
    </w:p>
    <w:p>
      <w:pPr>
        <w:pStyle w:val="Normal"/>
        <w:tabs>
          <w:tab w:val="clear" w:pos="708"/>
          <w:tab w:val="left" w:pos="626" w:leader="none"/>
        </w:tabs>
        <w:suppressAutoHyphens w:val="true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tabs>
          <w:tab w:val="clear" w:pos="708"/>
          <w:tab w:val="left" w:pos="626" w:leader="none"/>
        </w:tabs>
        <w:suppressAutoHyphens w:val="true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3.2. 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 (Приложение №2 к Документации о закупке)».</w:t>
      </w:r>
    </w:p>
    <w:p>
      <w:pPr>
        <w:pStyle w:val="Normal"/>
        <w:tabs>
          <w:tab w:val="clear" w:pos="708"/>
          <w:tab w:val="left" w:pos="626" w:leader="none"/>
        </w:tabs>
        <w:suppressAutoHyphens w:val="true"/>
        <w:ind w:firstLine="709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keepNext w:val="true"/>
        <w:keepLines/>
        <w:numPr>
          <w:ilvl w:val="0"/>
          <w:numId w:val="0"/>
        </w:numPr>
        <w:suppressAutoHyphens w:val="true"/>
        <w:spacing w:lineRule="auto" w:line="240" w:before="0" w:after="0"/>
        <w:ind w:left="3478" w:hanging="3336"/>
        <w:outlineLvl w:val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4. Требования к документации по ценообразованию на этапе заключения </w:t>
      </w:r>
      <w:bookmarkStart w:id="31" w:name="_Toc54281228"/>
      <w:bookmarkStart w:id="32" w:name="_Toc54643711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(исполнения) договора</w:t>
      </w:r>
      <w:bookmarkEnd w:id="31"/>
      <w:bookmarkEnd w:id="32"/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.</w:t>
      </w:r>
    </w:p>
    <w:p>
      <w:pPr>
        <w:pStyle w:val="Normal"/>
        <w:suppressAutoHyphens w:val="true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ind w:firstLine="426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4.1. По результатам настоящей закупки заключается договор с предельной ценой, а также с единичными расценками (ценой за единицу продукции по каждому наименованию работ), предложенными в заявке Победителем.</w:t>
      </w:r>
    </w:p>
    <w:p>
      <w:pPr>
        <w:pStyle w:val="Normal"/>
        <w:suppressAutoHyphens w:val="true"/>
        <w:ind w:firstLine="426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4.2. Порядок формирования на этапе исполнения договора стоимости выполняемых услуг по заявке заказчика установлен в Проекте договора (Приложение № 2 к Документации о закупке).</w:t>
      </w:r>
    </w:p>
    <w:p>
      <w:pPr>
        <w:pStyle w:val="Normal"/>
        <w:spacing w:lineRule="auto" w:line="240" w:before="0" w:after="0"/>
        <w:ind w:firstLine="567"/>
        <w:rPr>
          <w:rFonts w:ascii="Times New Roman" w:hAnsi="Times New Roman" w:eastAsia="Times New Roman" w:cs="Times New Roman"/>
          <w:iCs/>
          <w:cap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cap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67"/>
        <w:rPr>
          <w:rFonts w:ascii="Times New Roman" w:hAnsi="Times New Roman" w:eastAsia="Times New Roman" w:cs="Times New Roman"/>
          <w:iCs/>
          <w:cap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cap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67"/>
        <w:rPr>
          <w:rFonts w:ascii="Times New Roman" w:hAnsi="Times New Roman" w:eastAsia="Times New Roman" w:cs="Times New Roman"/>
          <w:iCs/>
          <w:cap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Cs/>
          <w:cap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67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Руководитель ГКЭО и РТС</w:t>
      </w:r>
    </w:p>
    <w:p>
      <w:pPr>
        <w:pStyle w:val="Normal"/>
        <w:spacing w:lineRule="auto" w:line="240" w:before="0" w:after="0"/>
        <w:ind w:firstLine="567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Камчатского филиала АО «ТК РусГидро»</w:t>
        <w:tab/>
        <w:tab/>
        <w:tab/>
        <w:tab/>
        <w:tab/>
        <w:t>Е.В. Савченко</w:t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16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sz w:val="24"/>
        <w:b/>
        <w:szCs w:val="24"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5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17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21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25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29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3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37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3" w:hanging="1440"/>
      </w:pPr>
      <w:rPr>
        <w:rFonts w:cs="Times New Roman"/>
      </w:rPr>
    </w:lvl>
  </w:abstractNum>
  <w:abstractNum w:abstractNumId="6">
    <w:lvl w:ilvl="0">
      <w:start w:val="1"/>
      <w:numFmt w:val="decimal"/>
      <w:lvlText w:val="%1"/>
      <w:lvlJc w:val="left"/>
      <w:pPr>
        <w:tabs>
          <w:tab w:val="num" w:pos="0"/>
        </w:tabs>
        <w:ind w:left="600" w:hanging="600"/>
      </w:pPr>
      <w:rPr>
        <w:sz w:val="28"/>
      </w:rPr>
    </w:lvl>
    <w:lvl w:ilvl="1">
      <w:start w:val="5"/>
      <w:numFmt w:val="decimal"/>
      <w:lvlText w:val="%1.%2"/>
      <w:lvlJc w:val="left"/>
      <w:pPr>
        <w:tabs>
          <w:tab w:val="num" w:pos="0"/>
        </w:tabs>
        <w:ind w:left="600" w:hanging="600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sz w:val="28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6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rsid w:val="004f670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uiPriority w:val="9"/>
    <w:qFormat/>
    <w:rsid w:val="004f6707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342bdd"/>
    <w:pPr>
      <w:keepNext w:val="true"/>
      <w:spacing w:lineRule="auto" w:line="240" w:before="120" w:after="60"/>
      <w:jc w:val="both"/>
      <w:outlineLvl w:val="2"/>
    </w:pPr>
    <w:rPr>
      <w:rFonts w:ascii="Times New Roman" w:hAnsi="Times New Roman" w:eastAsia="Times New Roman" w:cs="Times New Roman"/>
      <w:bCs/>
      <w:sz w:val="24"/>
      <w:szCs w:val="24"/>
      <w:lang w:eastAsia="ru-RU"/>
    </w:rPr>
  </w:style>
  <w:style w:type="paragraph" w:styleId="Heading4">
    <w:name w:val="Heading 4"/>
    <w:basedOn w:val="Heading3"/>
    <w:next w:val="Normal"/>
    <w:link w:val="4"/>
    <w:qFormat/>
    <w:rsid w:val="004f6707"/>
    <w:pPr>
      <w:numPr>
        <w:ilvl w:val="1"/>
      </w:numPr>
      <w:outlineLvl w:val="3"/>
    </w:pPr>
    <w:rPr>
      <w:bCs w:val="fals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4f6707"/>
    <w:rPr>
      <w:rFonts w:ascii="Times New Roman" w:hAnsi="Times New Roman" w:eastAsia="Times New Roman" w:cs="Times New Roman"/>
      <w:b/>
      <w:sz w:val="28"/>
      <w:szCs w:val="28"/>
      <w:lang w:eastAsia="ru-RU"/>
    </w:rPr>
  </w:style>
  <w:style w:type="character" w:styleId="2" w:customStyle="1">
    <w:name w:val="Заголовок 2 Знак"/>
    <w:basedOn w:val="DefaultParagraphFont"/>
    <w:uiPriority w:val="9"/>
    <w:qFormat/>
    <w:rsid w:val="004f6707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3" w:customStyle="1">
    <w:name w:val="Заголовок 3 Знак"/>
    <w:basedOn w:val="DefaultParagraphFont"/>
    <w:qFormat/>
    <w:rsid w:val="00342bdd"/>
    <w:rPr>
      <w:rFonts w:ascii="Times New Roman" w:hAnsi="Times New Roman" w:eastAsia="Times New Roman" w:cs="Times New Roman"/>
      <w:bCs/>
      <w:sz w:val="24"/>
      <w:szCs w:val="24"/>
      <w:lang w:eastAsia="ru-RU"/>
    </w:rPr>
  </w:style>
  <w:style w:type="character" w:styleId="4" w:customStyle="1">
    <w:name w:val="Заголовок 4 Знак"/>
    <w:basedOn w:val="DefaultParagraphFont"/>
    <w:uiPriority w:val="9"/>
    <w:qFormat/>
    <w:rsid w:val="004f6707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5" w:customStyle="1">
    <w:name w:val="Текст сноски Знак"/>
    <w:basedOn w:val="DefaultParagraphFont"/>
    <w:uiPriority w:val="99"/>
    <w:qFormat/>
    <w:rsid w:val="004f670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6">
    <w:name w:val="Символ сноски"/>
    <w:uiPriority w:val="99"/>
    <w:qFormat/>
    <w:rsid w:val="004f6707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Верхний колонтитул Знак"/>
    <w:basedOn w:val="DefaultParagraphFont"/>
    <w:uiPriority w:val="99"/>
    <w:qFormat/>
    <w:rsid w:val="004f670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qFormat/>
    <w:rsid w:val="004f6707"/>
    <w:rPr>
      <w:rFonts w:cs="Times New Roman"/>
    </w:rPr>
  </w:style>
  <w:style w:type="character" w:styleId="Hyperlink">
    <w:name w:val="Hyperlink"/>
    <w:basedOn w:val="DefaultParagraphFont"/>
    <w:uiPriority w:val="99"/>
    <w:rsid w:val="004f6707"/>
    <w:rPr>
      <w:color w:val="0000FF"/>
      <w:u w:val="single"/>
    </w:rPr>
  </w:style>
  <w:style w:type="character" w:styleId="Style8" w:customStyle="1">
    <w:name w:val="Абзац списка Знак"/>
    <w:link w:val="ListParagraph"/>
    <w:uiPriority w:val="34"/>
    <w:qFormat/>
    <w:locked/>
    <w:rsid w:val="004f6707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9" w:customStyle="1">
    <w:name w:val="комментарий"/>
    <w:qFormat/>
    <w:rsid w:val="004f6707"/>
    <w:rPr>
      <w:b/>
      <w:i/>
      <w:shd w:fill="FFFF99" w:val="clear"/>
    </w:rPr>
  </w:style>
  <w:style w:type="character" w:styleId="Style10" w:customStyle="1">
    <w:name w:val="Нижний колонтитул Знак"/>
    <w:basedOn w:val="DefaultParagraphFont"/>
    <w:uiPriority w:val="99"/>
    <w:qFormat/>
    <w:rsid w:val="00637b90"/>
    <w:rPr/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2255fe"/>
    <w:rPr>
      <w:rFonts w:ascii="Segoe UI" w:hAnsi="Segoe UI" w:cs="Segoe UI"/>
      <w:sz w:val="18"/>
      <w:szCs w:val="18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 Unicode MS"/>
    </w:rPr>
  </w:style>
  <w:style w:type="paragraph" w:styleId="FootnoteText">
    <w:name w:val="Footnote Text"/>
    <w:basedOn w:val="Normal"/>
    <w:link w:val="Style5"/>
    <w:uiPriority w:val="99"/>
    <w:rsid w:val="004f6707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4">
    <w:name w:val="Колонтитул"/>
    <w:basedOn w:val="Normal"/>
    <w:qFormat/>
    <w:pPr/>
    <w:rPr/>
  </w:style>
  <w:style w:type="paragraph" w:styleId="Header">
    <w:name w:val="Header"/>
    <w:basedOn w:val="Normal"/>
    <w:link w:val="Style7"/>
    <w:uiPriority w:val="99"/>
    <w:rsid w:val="004f670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OC1">
    <w:name w:val="TOC 1"/>
    <w:basedOn w:val="Normal"/>
    <w:next w:val="Normal"/>
    <w:autoRedefine/>
    <w:uiPriority w:val="39"/>
    <w:rsid w:val="004f6707"/>
    <w:pPr>
      <w:spacing w:lineRule="auto" w:line="240" w:before="120" w:after="0"/>
    </w:pPr>
    <w:rPr>
      <w:rFonts w:ascii="Times New Roman" w:hAnsi="Times New Roman" w:eastAsia="Times New Roman" w:cs="Calibri Light (?????????)"/>
      <w:b/>
      <w:bCs/>
      <w:sz w:val="24"/>
      <w:szCs w:val="24"/>
      <w:lang w:eastAsia="ru-RU"/>
    </w:rPr>
  </w:style>
  <w:style w:type="paragraph" w:styleId="TOC3">
    <w:name w:val="TOC 3"/>
    <w:basedOn w:val="Normal"/>
    <w:next w:val="Normal"/>
    <w:autoRedefine/>
    <w:uiPriority w:val="39"/>
    <w:rsid w:val="004f6707"/>
    <w:pPr>
      <w:spacing w:lineRule="auto" w:line="240" w:before="0" w:after="0"/>
      <w:ind w:left="280" w:hanging="0"/>
    </w:pPr>
    <w:rPr>
      <w:rFonts w:ascii="Times New Roman" w:hAnsi="Times New Roman" w:eastAsia="Times New Roman" w:cs="Calibr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uiPriority w:val="39"/>
    <w:rsid w:val="004f6707"/>
    <w:pPr>
      <w:tabs>
        <w:tab w:val="clear" w:pos="708"/>
        <w:tab w:val="left" w:pos="1120" w:leader="none"/>
        <w:tab w:val="right" w:pos="9911" w:leader="none"/>
      </w:tabs>
      <w:spacing w:lineRule="auto" w:line="240" w:before="0" w:after="0"/>
      <w:ind w:left="560" w:hanging="0"/>
    </w:pPr>
    <w:rPr>
      <w:rFonts w:ascii="Times New Roman" w:hAnsi="Times New Roman" w:eastAsia="Times New Roman" w:cs="Calibri"/>
      <w:sz w:val="20"/>
      <w:szCs w:val="20"/>
      <w:lang w:eastAsia="ru-RU"/>
    </w:rPr>
  </w:style>
  <w:style w:type="paragraph" w:styleId="ListParagraph">
    <w:name w:val="List Paragraph"/>
    <w:basedOn w:val="Normal"/>
    <w:link w:val="Style8"/>
    <w:uiPriority w:val="34"/>
    <w:qFormat/>
    <w:rsid w:val="004f6707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5" w:customStyle="1">
    <w:name w:val="Таблица"/>
    <w:basedOn w:val="Normal"/>
    <w:qFormat/>
    <w:rsid w:val="004f6707"/>
    <w:pPr>
      <w:keepNext w:val="true"/>
      <w:spacing w:lineRule="auto" w:line="240" w:before="60" w:after="60"/>
      <w:jc w:val="center"/>
    </w:pPr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paragraph" w:styleId="Style16" w:customStyle="1">
    <w:name w:val="Таблица шапка"/>
    <w:basedOn w:val="Normal"/>
    <w:qFormat/>
    <w:rsid w:val="004f6707"/>
    <w:pPr>
      <w:keepNext w:val="true"/>
      <w:spacing w:lineRule="auto" w:line="240" w:before="40" w:after="40"/>
      <w:ind w:left="57" w:right="57" w:hanging="0"/>
    </w:pPr>
    <w:rPr>
      <w:rFonts w:ascii="Times New Roman" w:hAnsi="Times New Roman" w:eastAsia="Times New Roman" w:cs="Times New Roman"/>
      <w:szCs w:val="26"/>
      <w:lang w:eastAsia="ru-RU"/>
    </w:rPr>
  </w:style>
  <w:style w:type="paragraph" w:styleId="Footer">
    <w:name w:val="Footer"/>
    <w:basedOn w:val="Normal"/>
    <w:link w:val="Style10"/>
    <w:uiPriority w:val="99"/>
    <w:unhideWhenUsed/>
    <w:rsid w:val="00637b9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2255f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4f6707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0B90C-B378-42D4-BE20-E0EE54C72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AlterOffice/3.4.0.9$Linux_X86_64 LibreOffice_project/b8daf9e823b1a5463a2f48435ddc2e8696e7d4fc</Application>
  <AppVersion>15.0000</AppVersion>
  <Pages>15</Pages>
  <Words>1990</Words>
  <Characters>13720</Characters>
  <CharactersWithSpaces>17746</CharactersWithSpaces>
  <Paragraphs>351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2025-01-15T03:15:00Z</dcterms:created>
  <dc:creator>Подшивалова Олеся Динаровна</dc:creator>
  <dc:description/>
  <dc:language>ru-RU</dc:language>
  <cp:lastModifiedBy>fedorovsa@corp.gidroogk.com</cp:lastModifiedBy>
  <cp:lastPrinted>2025-02-12T22:37:00Z</cp:lastPrinted>
  <dcterms:modified xsi:type="dcterms:W3CDTF">2026-08-18T16:34:08Z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