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jc w:val="right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keepLines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keepNext w:val="true"/>
        <w:numPr>
          <w:ilvl w:val="0"/>
          <w:numId w:val="0"/>
        </w:numPr>
        <w:ind w:left="0" w:right="0" w:hanging="0"/>
        <w:jc w:val="center"/>
        <w:outlineLvl w:val="0"/>
        <w:rPr>
          <w:b/>
          <w:szCs w:val="24"/>
        </w:rPr>
      </w:pPr>
      <w:r>
        <w:rPr>
          <w:b/>
          <w:szCs w:val="24"/>
        </w:rPr>
        <w:t>ТЕХНИЧЕСКИЕ ТРЕБОВАНИЯ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Cs w:val="24"/>
        </w:rPr>
      </w:pPr>
      <w:r>
        <w:rPr>
          <w:szCs w:val="24"/>
        </w:rPr>
        <w:t xml:space="preserve">ОКПД2 </w:t>
      </w:r>
      <w:r>
        <w:rPr>
          <w:rFonts w:cs="Times New Roman" w:ascii="Times New Roman;Times;serif" w:hAnsi="Times New Roman;Times;serif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val="en-US"/>
        </w:rPr>
        <w:t>27.12.22.000 Поставка автоматических выключателей для выполнения работ на Новосибирской ГЭС</w:t>
      </w:r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center"/>
        <w:outlineLvl w:val="0"/>
        <w:rPr>
          <w:szCs w:val="24"/>
        </w:rPr>
      </w:pPr>
      <w:r>
        <w:rPr>
          <w:szCs w:val="24"/>
        </w:rPr>
        <w:t>(Лот № _____-РЕМ ДОХ-2026-ГРВКК-СШФ)</w:t>
      </w:r>
    </w:p>
    <w:p>
      <w:pPr>
        <w:pStyle w:val="Normal"/>
        <w:rPr>
          <w:szCs w:val="24"/>
        </w:rPr>
      </w:pPr>
      <w:r>
        <w:rPr>
          <w:szCs w:val="24"/>
        </w:rPr>
      </w:r>
    </w:p>
    <w:p>
      <w:pPr>
        <w:pStyle w:val="Normal"/>
        <w:keepNext w:val="true"/>
        <w:keepLines/>
        <w:jc w:val="center"/>
        <w:rPr>
          <w:b/>
          <w:i/>
          <w:i/>
          <w:szCs w:val="24"/>
        </w:rPr>
      </w:pPr>
      <w:r>
        <w:rPr>
          <w:b/>
          <w:i/>
          <w:szCs w:val="24"/>
        </w:rPr>
      </w:r>
    </w:p>
    <w:p>
      <w:pPr>
        <w:pStyle w:val="Normal"/>
        <w:keepNext w:val="true"/>
        <w:keepLines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Heading4"/>
        <w:numPr>
          <w:ilvl w:val="0"/>
        </w:numPr>
        <w:tabs>
          <w:tab w:val="clear" w:pos="0"/>
          <w:tab w:val="left" w:pos="709" w:leader="none"/>
        </w:tabs>
        <w:ind w:left="432" w:right="0" w:hanging="0"/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    </w:t>
      </w:r>
      <w:r>
        <w:rPr>
          <w:sz w:val="24"/>
          <w:szCs w:val="24"/>
        </w:rPr>
        <w:t>1.</w:t>
        <w:tab/>
        <w:t>Общие сведения</w:t>
      </w:r>
    </w:p>
    <w:p>
      <w:pPr>
        <w:pStyle w:val="Heading4"/>
        <w:numPr>
          <w:ilvl w:val="1"/>
          <w:numId w:val="1"/>
        </w:numPr>
        <w:ind w:left="0" w:right="0" w:firstLine="709"/>
        <w:rPr>
          <w:sz w:val="24"/>
          <w:szCs w:val="24"/>
        </w:rPr>
      </w:pPr>
      <w:bookmarkStart w:id="0" w:name="_Toc75446568"/>
      <w:bookmarkStart w:id="1" w:name="_Toc46743506"/>
      <w:r>
        <w:rPr>
          <w:sz w:val="24"/>
          <w:szCs w:val="24"/>
        </w:rPr>
        <w:t>Наименование закупаемой продукции</w:t>
      </w:r>
      <w:bookmarkEnd w:id="0"/>
      <w:bookmarkEnd w:id="1"/>
    </w:p>
    <w:p>
      <w:pPr>
        <w:pStyle w:val="Normal"/>
        <w:keepNext w:val="true"/>
        <w:numPr>
          <w:ilvl w:val="0"/>
          <w:numId w:val="0"/>
        </w:numPr>
        <w:tabs>
          <w:tab w:val="clear" w:pos="708"/>
          <w:tab w:val="left" w:pos="900" w:leader="none"/>
        </w:tabs>
        <w:spacing w:lineRule="auto" w:line="276"/>
        <w:ind w:left="0" w:right="0" w:hanging="0"/>
        <w:jc w:val="both"/>
        <w:outlineLvl w:val="0"/>
        <w:rPr>
          <w:sz w:val="24"/>
          <w:szCs w:val="24"/>
        </w:rPr>
      </w:pPr>
      <w:r>
        <w:rPr>
          <w:sz w:val="24"/>
          <w:szCs w:val="24"/>
        </w:rPr>
        <w:tab/>
        <w:t xml:space="preserve">ОКПД2 </w:t>
      </w:r>
      <w:r>
        <w:rPr>
          <w:rFonts w:cs="Times New Roman" w:ascii="Times New Roman;Times;serif" w:hAnsi="Times New Roman;Times;serif"/>
          <w:b w:val="false"/>
          <w:i w:val="false"/>
          <w:iCs w:val="false"/>
          <w:strike w:val="false"/>
          <w:dstrike w:val="false"/>
          <w:outline w:val="false"/>
          <w:shadow w:val="false"/>
          <w:color w:val="000000"/>
          <w:sz w:val="24"/>
          <w:szCs w:val="24"/>
          <w:u w:val="none"/>
          <w:shd w:fill="auto" w:val="clear"/>
          <w:em w:val="none"/>
          <w:lang w:val="en-US"/>
        </w:rPr>
        <w:t>27.12.22.000 Поставка автоматических выключателей для выполнения работ на Новосибирской ГЭС</w:t>
      </w:r>
      <w:r>
        <w:rPr>
          <w:sz w:val="24"/>
          <w:szCs w:val="24"/>
        </w:rPr>
        <w:t xml:space="preserve"> (далее продукция).</w:t>
      </w:r>
      <w:bookmarkStart w:id="2" w:name="_Toc75446569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4"/>
        <w:numPr>
          <w:ilvl w:val="1"/>
          <w:numId w:val="1"/>
        </w:numPr>
        <w:ind w:left="0" w:right="0" w:firstLine="709"/>
        <w:rPr>
          <w:sz w:val="24"/>
          <w:szCs w:val="24"/>
        </w:rPr>
      </w:pPr>
      <w:bookmarkStart w:id="3" w:name="_Toc46743507"/>
      <w:r>
        <w:rPr>
          <w:sz w:val="24"/>
          <w:szCs w:val="24"/>
        </w:rPr>
        <w:t xml:space="preserve">Цель </w:t>
      </w:r>
      <w:bookmarkEnd w:id="3"/>
      <w:r>
        <w:rPr>
          <w:sz w:val="24"/>
          <w:szCs w:val="24"/>
        </w:rPr>
        <w:t xml:space="preserve">использования закупаемой продукции </w:t>
      </w:r>
      <w:bookmarkEnd w:id="2"/>
      <w:r>
        <w:rPr>
          <w:sz w:val="24"/>
          <w:szCs w:val="24"/>
        </w:rPr>
        <w:t xml:space="preserve"> </w:t>
      </w:r>
    </w:p>
    <w:p>
      <w:pPr>
        <w:pStyle w:val="Normal"/>
        <w:ind w:left="0" w:right="0" w:firstLine="432"/>
        <w:jc w:val="both"/>
        <w:rPr>
          <w:sz w:val="24"/>
          <w:szCs w:val="24"/>
        </w:rPr>
      </w:pPr>
      <w:r>
        <w:rPr>
          <w:rFonts w:eastAsia="Times New Roman" w:cs="Times New Roman"/>
          <w:bCs/>
          <w:sz w:val="24"/>
          <w:szCs w:val="24"/>
          <w:shd w:fill="FFFFFF" w:val="clear"/>
          <w:lang w:eastAsia="ru-RU"/>
        </w:rPr>
        <w:tab/>
        <w:t>Исполнение доходного договора:</w:t>
      </w:r>
    </w:p>
    <w:p>
      <w:pPr>
        <w:pStyle w:val="BodyText"/>
        <w:spacing w:before="0" w:after="0"/>
        <w:jc w:val="both"/>
        <w:rPr/>
      </w:pPr>
      <w:r>
        <w:rPr>
          <w:rFonts w:ascii="Times New Roman;serif" w:hAnsi="Times New Roman;serif"/>
          <w:color w:val="000000"/>
          <w:sz w:val="24"/>
          <w:szCs w:val="24"/>
        </w:rPr>
        <w:t xml:space="preserve">    </w:t>
      </w:r>
      <w:r>
        <w:rPr>
          <w:rFonts w:ascii="Times New Roman;serif" w:hAnsi="Times New Roman;serif"/>
          <w:color w:val="000000"/>
          <w:sz w:val="24"/>
          <w:szCs w:val="24"/>
        </w:rPr>
        <w:t xml:space="preserve">- </w:t>
      </w:r>
      <w:r>
        <w:rPr>
          <w:rStyle w:val="Style"/>
          <w:rFonts w:eastAsia="Calibri" w:ascii="Times New Roman;serif" w:hAnsi="Times New Roman;serif"/>
          <w:b w:val="false"/>
          <w:i w:val="false"/>
          <w:color w:val="000000"/>
          <w:sz w:val="24"/>
          <w:szCs w:val="24"/>
          <w:shd w:fill="auto" w:val="clear"/>
          <w:lang w:eastAsia="en-US"/>
        </w:rPr>
        <w:t>№4-РЕМ-2023 от 11.10.2023 «Капитальные и текущие ремонты основного и вспомогательного оборудования» (заключенный между ПАО «РусГидро» и АО «Гидроремонт-ВКК»).</w:t>
      </w:r>
    </w:p>
    <w:p>
      <w:pPr>
        <w:pStyle w:val="Heading1"/>
        <w:numPr>
          <w:ilvl w:val="0"/>
          <w:numId w:val="1"/>
        </w:numPr>
        <w:ind w:left="0" w:right="0" w:firstLine="709"/>
        <w:rPr>
          <w:sz w:val="24"/>
          <w:szCs w:val="24"/>
        </w:rPr>
      </w:pPr>
      <w:bookmarkStart w:id="4" w:name="_Toc51339693"/>
      <w:bookmarkStart w:id="5" w:name="_Toc75446573"/>
      <w:r>
        <w:rPr>
          <w:sz w:val="24"/>
          <w:szCs w:val="24"/>
        </w:rPr>
        <w:t>Требования к продукции</w:t>
      </w:r>
      <w:bookmarkEnd w:id="4"/>
      <w:bookmarkEnd w:id="5"/>
    </w:p>
    <w:p>
      <w:pPr>
        <w:pStyle w:val="Heading4"/>
        <w:numPr>
          <w:ilvl w:val="1"/>
          <w:numId w:val="1"/>
        </w:numPr>
        <w:ind w:left="0" w:right="0" w:firstLine="709"/>
        <w:rPr>
          <w:sz w:val="24"/>
          <w:szCs w:val="24"/>
        </w:rPr>
      </w:pPr>
      <w:bookmarkStart w:id="6" w:name="_Toc75446574"/>
      <w:r>
        <w:rPr>
          <w:sz w:val="24"/>
          <w:szCs w:val="24"/>
        </w:rPr>
        <w:t xml:space="preserve">Требования к объемам и срокам </w:t>
      </w:r>
      <w:r>
        <w:rPr>
          <w:sz w:val="24"/>
          <w:szCs w:val="24"/>
          <w:lang w:val="ru-RU"/>
        </w:rPr>
        <w:t>поставки</w:t>
      </w:r>
      <w:bookmarkEnd w:id="6"/>
    </w:p>
    <w:p>
      <w:pPr>
        <w:pStyle w:val="Heading3"/>
        <w:numPr>
          <w:ilvl w:val="2"/>
          <w:numId w:val="1"/>
        </w:numPr>
        <w:ind w:left="0" w:right="0" w:firstLine="709"/>
        <w:rPr>
          <w:sz w:val="24"/>
          <w:szCs w:val="24"/>
        </w:rPr>
      </w:pPr>
      <w:bookmarkStart w:id="7" w:name="_Toc75446575"/>
      <w:r>
        <w:rPr>
          <w:sz w:val="24"/>
          <w:szCs w:val="24"/>
        </w:rPr>
        <w:t>Перечень и объем закупаемой продукции</w:t>
      </w:r>
      <w:bookmarkEnd w:id="7"/>
    </w:p>
    <w:p>
      <w:pPr>
        <w:pStyle w:val="Normal"/>
        <w:ind w:left="0" w:right="0" w:firstLine="70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bookmarkStart w:id="8" w:name="_Toc75446576"/>
      <w:bookmarkStart w:id="9" w:name="_Toc51339695"/>
      <w:r>
        <w:rPr>
          <w:sz w:val="24"/>
          <w:szCs w:val="24"/>
        </w:rPr>
        <w:t xml:space="preserve">Таблица 2.1 Перечень </w:t>
      </w:r>
      <w:bookmarkEnd w:id="9"/>
      <w:r>
        <w:rPr>
          <w:sz w:val="24"/>
          <w:szCs w:val="24"/>
        </w:rPr>
        <w:t>и объем закупаемой продукци</w:t>
      </w:r>
      <w:bookmarkEnd w:id="8"/>
      <w:r>
        <w:rPr>
          <w:sz w:val="24"/>
          <w:szCs w:val="24"/>
        </w:rPr>
        <w:t>и</w:t>
      </w:r>
    </w:p>
    <w:p>
      <w:pPr>
        <w:pStyle w:val="Normal"/>
        <w:rPr>
          <w:sz w:val="24"/>
          <w:szCs w:val="24"/>
          <w:lang w:val="x-none" w:eastAsia="x-none"/>
        </w:rPr>
      </w:pPr>
      <w:r>
        <w:rPr>
          <w:sz w:val="24"/>
          <w:szCs w:val="24"/>
          <w:lang w:val="x-none" w:eastAsia="x-none"/>
        </w:rPr>
      </w:r>
    </w:p>
    <w:tbl>
      <w:tblPr>
        <w:tblW w:w="971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5966"/>
        <w:gridCol w:w="1407"/>
        <w:gridCol w:w="1456"/>
      </w:tblGrid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п/п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Наименование продукции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Единица измерения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Количество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color w:val="000000"/>
                <w:szCs w:val="24"/>
                <w:lang w:eastAsia="x-none"/>
              </w:rPr>
            </w:pPr>
            <w:r>
              <w:rPr>
                <w:rFonts w:cs="Times New Roman"/>
                <w:color w:val="000000"/>
                <w:szCs w:val="24"/>
                <w:lang w:eastAsia="x-none"/>
              </w:rPr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1</w:t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2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3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4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overflowPunct w:val="true"/>
              <w:bidi w:val="0"/>
              <w:spacing w:before="0" w:after="0"/>
              <w:ind w:left="737" w:right="0" w:hanging="510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 CHINT NM8N-250S EN 3Р 100А 50кА с электронным расцепителем (R) 271333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overflowPunct w:val="true"/>
              <w:bidi w:val="0"/>
              <w:spacing w:before="0" w:after="0"/>
              <w:ind w:left="737" w:right="0" w:hanging="510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 CHINT NM8N-250C EN 3P 160А 36кА с электронным расцепителем (R) 271324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overflowPunct w:val="true"/>
              <w:bidi w:val="0"/>
              <w:spacing w:before="0" w:after="0"/>
              <w:ind w:left="737" w:right="0" w:hanging="510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5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втоматический выключатель CHINT NM8N-250C EN 3P 250А 36кА с электронным расцепителем (R) 271325</w:t>
            </w:r>
          </w:p>
        </w:tc>
        <w:tc>
          <w:tcPr>
            <w:tcW w:w="14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  <w:tr>
        <w:trPr/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overflowPunct w:val="true"/>
              <w:bidi w:val="0"/>
              <w:spacing w:before="0" w:after="0"/>
              <w:ind w:left="737" w:right="0" w:hanging="510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 CHINT NM8N-250S EN 3P 250А 50кА с электронным расцепителем (R) 271335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2</w:t>
            </w:r>
          </w:p>
        </w:tc>
      </w:tr>
      <w:tr>
        <w:trPr/>
        <w:tc>
          <w:tcPr>
            <w:tcW w:w="8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7"/>
              </w:numPr>
              <w:suppressAutoHyphens w:val="true"/>
              <w:overflowPunct w:val="true"/>
              <w:bidi w:val="0"/>
              <w:spacing w:before="0" w:after="0"/>
              <w:ind w:left="737" w:right="0" w:hanging="510"/>
              <w:contextualSpacing/>
              <w:jc w:val="center"/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</w:r>
          </w:p>
        </w:tc>
        <w:tc>
          <w:tcPr>
            <w:tcW w:w="59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А</w:t>
            </w:r>
            <w:r>
              <w:rPr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 CHINT NM8N-400S EN 3P 400А 50кА с электронным расцепителем (R) 269403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шт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46"/>
              <w:widowControl w:val="false"/>
              <w:jc w:val="center"/>
              <w:rPr>
                <w:rFonts w:ascii="Times New Roman" w:hAnsi="Times New Roman"/>
              </w:rPr>
            </w:pPr>
            <w:r>
              <w:rPr/>
              <w:t>1</w:t>
            </w:r>
          </w:p>
        </w:tc>
      </w:tr>
    </w:tbl>
    <w:p>
      <w:pPr>
        <w:pStyle w:val="Heading3"/>
        <w:numPr>
          <w:ilvl w:val="0"/>
        </w:numPr>
        <w:ind w:left="0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Heading3"/>
        <w:numPr>
          <w:ilvl w:val="2"/>
          <w:numId w:val="1"/>
        </w:numPr>
        <w:ind w:left="0" w:right="0" w:firstLine="709"/>
        <w:rPr>
          <w:sz w:val="24"/>
          <w:szCs w:val="24"/>
        </w:rPr>
      </w:pPr>
      <w:r>
        <w:rPr>
          <w:sz w:val="24"/>
          <w:szCs w:val="24"/>
        </w:rPr>
        <w:t xml:space="preserve">Требования к срокам поставки продукции </w:t>
      </w:r>
    </w:p>
    <w:p>
      <w:pPr>
        <w:pStyle w:val="Normal"/>
        <w:rPr>
          <w:sz w:val="24"/>
          <w:szCs w:val="24"/>
        </w:rPr>
      </w:pPr>
      <w:bookmarkStart w:id="10" w:name="_Toc75446579"/>
      <w:bookmarkStart w:id="11" w:name="_Toc51339697"/>
      <w:bookmarkStart w:id="12" w:name="_Toc50125127"/>
      <w:r>
        <w:rPr>
          <w:sz w:val="24"/>
          <w:szCs w:val="24"/>
          <w:lang w:eastAsia="x-none"/>
        </w:rPr>
        <w:t xml:space="preserve">Таблица 2.2 </w:t>
      </w:r>
      <w:bookmarkStart w:id="13" w:name="_Hlk50465284"/>
      <w:r>
        <w:rPr>
          <w:sz w:val="24"/>
          <w:szCs w:val="24"/>
          <w:lang w:eastAsia="x-none"/>
        </w:rPr>
        <w:t xml:space="preserve">Требования по срокам </w:t>
      </w:r>
      <w:bookmarkEnd w:id="11"/>
      <w:bookmarkEnd w:id="12"/>
      <w:bookmarkEnd w:id="13"/>
      <w:r>
        <w:rPr>
          <w:sz w:val="24"/>
          <w:szCs w:val="24"/>
          <w:lang w:eastAsia="x-none"/>
        </w:rPr>
        <w:t>поставки продукции</w:t>
      </w:r>
      <w:bookmarkEnd w:id="10"/>
      <w:r>
        <w:rPr>
          <w:sz w:val="24"/>
          <w:szCs w:val="24"/>
          <w:lang w:eastAsia="x-none"/>
        </w:rPr>
        <w:t xml:space="preserve">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9634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77"/>
        <w:gridCol w:w="3718"/>
        <w:gridCol w:w="2396"/>
        <w:gridCol w:w="2842"/>
      </w:tblGrid>
      <w:tr>
        <w:trPr/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7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6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7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numPr>
                <w:ilvl w:val="0"/>
                <w:numId w:val="0"/>
              </w:numPr>
              <w:tabs>
                <w:tab w:val="clear" w:pos="708"/>
                <w:tab w:val="left" w:pos="900" w:leader="none"/>
              </w:tabs>
              <w:spacing w:lineRule="auto" w:line="276"/>
              <w:ind w:left="0" w:right="0" w:hanging="0"/>
              <w:jc w:val="both"/>
              <w:outlineLvl w:val="0"/>
              <w:rPr>
                <w:rFonts w:ascii="Times New Roman" w:hAnsi="Times New Roman"/>
              </w:rPr>
            </w:pPr>
            <w:r>
              <w:rPr>
                <w:rFonts w:cs="Times New Roman"/>
                <w:color w:val="000000"/>
                <w:sz w:val="24"/>
                <w:szCs w:val="24"/>
                <w:shd w:fill="auto" w:val="clear"/>
                <w:lang w:val="en-US" w:eastAsia="x-none"/>
              </w:rPr>
              <w:t xml:space="preserve">ОКПД2 </w:t>
            </w:r>
            <w:r>
              <w:rPr>
                <w:rFonts w:cs="Times New Roman"/>
                <w:b w:val="false"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val="en-US" w:eastAsia="x-none"/>
              </w:rPr>
              <w:t>27.12.22.000 Поставка автоматических выключателей для выполнения работ на Новосибирской ГЭС</w:t>
            </w:r>
          </w:p>
        </w:tc>
        <w:tc>
          <w:tcPr>
            <w:tcW w:w="23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28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  <w:lang w:eastAsia="ru-RU"/>
              </w:rPr>
              <w:t>В течение 30</w:t>
            </w:r>
            <w:r>
              <w:rPr>
                <w:rFonts w:cs="Times New Roman"/>
                <w:color w:val="C9211E"/>
                <w:sz w:val="24"/>
                <w:szCs w:val="24"/>
                <w:lang w:eastAsia="ru-RU"/>
              </w:rPr>
              <w:t xml:space="preserve"> </w:t>
            </w:r>
            <w:r>
              <w:rPr>
                <w:rFonts w:cs="Times New Roman"/>
                <w:sz w:val="24"/>
                <w:szCs w:val="24"/>
                <w:lang w:eastAsia="ru-RU"/>
              </w:rPr>
              <w:t>календарных дней с даты подписания договора</w:t>
            </w:r>
          </w:p>
        </w:tc>
      </w:tr>
    </w:tbl>
    <w:p>
      <w:pPr>
        <w:sectPr>
          <w:footerReference w:type="default" r:id="rId2"/>
          <w:type w:val="nextPage"/>
          <w:pgSz w:w="11906" w:h="16838"/>
          <w:pgMar w:left="1701" w:right="851" w:gutter="0" w:header="0" w:top="1134" w:footer="709" w:bottom="1134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Normal"/>
        <w:rPr>
          <w:sz w:val="24"/>
          <w:szCs w:val="24"/>
        </w:rPr>
      </w:pPr>
      <w:bookmarkStart w:id="14" w:name="_Toc75446582"/>
      <w:r>
        <w:rPr>
          <w:sz w:val="24"/>
          <w:szCs w:val="24"/>
          <w:lang w:eastAsia="x-none"/>
        </w:rPr>
        <w:t xml:space="preserve">          </w:t>
      </w:r>
      <w:r>
        <w:rPr>
          <w:sz w:val="24"/>
          <w:szCs w:val="24"/>
          <w:lang w:eastAsia="x-none"/>
        </w:rPr>
        <w:t>Таблица 2.3. Требования к продукции</w:t>
      </w:r>
      <w:bookmarkEnd w:id="14"/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509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910"/>
        <w:gridCol w:w="4038"/>
        <w:gridCol w:w="3342"/>
        <w:gridCol w:w="3029"/>
      </w:tblGrid>
      <w:tr>
        <w:trPr>
          <w:trHeight w:val="20" w:hRule="atLeast"/>
        </w:trPr>
        <w:tc>
          <w:tcPr>
            <w:tcW w:w="15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Наименование продукции (позиции №1-5. Таблицы 2.1):</w:t>
            </w:r>
          </w:p>
          <w:p>
            <w:pPr>
              <w:pStyle w:val="Normal"/>
              <w:keepNext w:val="true"/>
              <w:widowControl w:val="false"/>
              <w:jc w:val="center"/>
              <w:rPr/>
            </w:pPr>
            <w:r>
              <w:rPr>
                <w:rFonts w:ascii="Times New Roman;serif" w:hAnsi="Times New Roman;serif"/>
                <w:b/>
                <w:bCs/>
                <w:color w:val="000000"/>
                <w:sz w:val="24"/>
                <w:szCs w:val="24"/>
              </w:rPr>
              <w:t xml:space="preserve">Материалы предназначенные для выполнения работ по </w:t>
            </w: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 w:val="24"/>
                <w:szCs w:val="24"/>
              </w:rPr>
              <w:t>к</w:t>
            </w:r>
            <w:r>
              <w:rPr>
                <w:rStyle w:val="Style"/>
                <w:rFonts w:eastAsia="Calibri" w:cs="Times New Roman" w:ascii="Times New Roman;serif" w:hAnsi="Times New Roman;serif"/>
                <w:b/>
                <w:bCs/>
                <w:i w:val="false"/>
                <w:color w:val="000000"/>
                <w:sz w:val="24"/>
                <w:szCs w:val="24"/>
                <w:shd w:fill="auto" w:val="clear"/>
                <w:lang w:eastAsia="en-US"/>
              </w:rPr>
              <w:t xml:space="preserve">апитальному и текущему ремонту основного и вспомогательного оборудования </w:t>
            </w:r>
            <w:r>
              <w:rPr>
                <w:rFonts w:cs="Times New Roman" w:ascii="Times New Roman;Times;serif" w:hAnsi="Times New Roman;Times;serif"/>
                <w:b/>
                <w:bCs/>
                <w:color w:val="000000"/>
                <w:sz w:val="24"/>
                <w:szCs w:val="24"/>
              </w:rPr>
              <w:t>Новосибирской ГЭС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№ </w:t>
            </w:r>
            <w:r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Наименование продукции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параметра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Требование заказчика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Соответствие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стандартам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sz w:val="24"/>
                <w:szCs w:val="24"/>
              </w:rPr>
              <w:t>4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eastAsia="DotumChe"/>
                <w:b/>
                <w:sz w:val="24"/>
                <w:szCs w:val="24"/>
              </w:rPr>
              <w:t>5</w:t>
            </w:r>
          </w:p>
        </w:tc>
      </w:tr>
      <w:tr>
        <w:trPr>
          <w:trHeight w:val="20" w:hRule="atLeast"/>
        </w:trPr>
        <w:tc>
          <w:tcPr>
            <w:tcW w:w="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143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CHINT</w:t>
            </w:r>
          </w:p>
        </w:tc>
        <w:tc>
          <w:tcPr>
            <w:tcW w:w="30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3">
              <w:r>
                <w:rPr>
                  <w:rStyle w:val="Hyperlink"/>
                  <w:rFonts w:eastAsia="Calibri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ГОСТ IEC 60947-2</w:t>
              </w:r>
            </w:hyperlink>
          </w:p>
        </w:tc>
      </w:tr>
      <w:tr>
        <w:trPr>
          <w:trHeight w:val="347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NM8N-250S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271333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690В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15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100А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Отключающая способность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50кА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Тип расцепителя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EN-Микропроцессорный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Количество полюсов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sz w:val="24"/>
                <w:szCs w:val="24"/>
                <w:u w:val="none"/>
                <w:em w:val="none"/>
              </w:rPr>
              <w:t>втоматический выключатель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CHINT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4">
              <w:r>
                <w:rPr>
                  <w:rStyle w:val="Hyperlink"/>
                  <w:rFonts w:eastAsia="Calibri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ГОСТ IEC 60947-2</w:t>
              </w:r>
            </w:hyperlink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NM8N-250С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271324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690В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160А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Отключающая способность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36кА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Тип расцепителя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EN-Микропроцессорный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Количество полюсов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auto"/>
                <w:sz w:val="24"/>
                <w:szCs w:val="24"/>
                <w:u w:val="none"/>
                <w:em w:val="none"/>
              </w:rPr>
              <w:t>втоматический выключатель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CHINT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5">
              <w:r>
                <w:rPr>
                  <w:rStyle w:val="Hyperlink"/>
                  <w:rFonts w:eastAsia="Calibri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ГОСТ IEC 60947-2</w:t>
              </w:r>
            </w:hyperlink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NM8N-250С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271325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690В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Отключающая способность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36кА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Тип расцепителя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EN-Микропроцессорный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Количество полюсов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  <w:lang w:eastAsia="ru-RU"/>
              </w:rPr>
              <w:t>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втоматический выключатель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CHINT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6">
              <w:r>
                <w:rPr>
                  <w:rStyle w:val="Hyperlink"/>
                  <w:rFonts w:eastAsia="Calibri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ГОСТ IEC 60947-2</w:t>
              </w:r>
            </w:hyperlink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NM8N-250S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271335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690В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250А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Отключающая способность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50кА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Тип расцепителя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EN-Микропроцессорный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Количество полюсов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391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bidi w:val="0"/>
              <w:jc w:val="left"/>
              <w:rPr>
                <w:sz w:val="24"/>
                <w:szCs w:val="24"/>
              </w:rPr>
            </w:pPr>
            <w:r>
              <w:rPr>
                <w:rFonts w:eastAsia="Calibri"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shd w:fill="auto" w:val="clear"/>
                <w:em w:val="none"/>
                <w:lang w:eastAsia="ru-RU"/>
              </w:rPr>
              <w:t>А</w:t>
            </w:r>
            <w:r>
              <w:rPr>
                <w:rFonts w:cs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4"/>
                <w:szCs w:val="24"/>
                <w:u w:val="none"/>
                <w:em w:val="none"/>
              </w:rPr>
              <w:t>втоматический выключатель</w:t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Производитель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CHINT</w:t>
            </w:r>
          </w:p>
        </w:tc>
        <w:tc>
          <w:tcPr>
            <w:tcW w:w="302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hyperlink r:id="rId7">
              <w:r>
                <w:rPr>
                  <w:rStyle w:val="Hyperlink"/>
                  <w:rFonts w:eastAsia="Calibri"/>
                  <w:b w:val="false"/>
                  <w:i w:val="false"/>
                  <w:caps w:val="false"/>
                  <w:smallCaps w:val="false"/>
                  <w:strike w:val="false"/>
                  <w:dstrike w:val="false"/>
                  <w:color w:val="auto"/>
                  <w:spacing w:val="0"/>
                  <w:sz w:val="24"/>
                  <w:szCs w:val="24"/>
                  <w:u w:val="none"/>
                  <w:effect w:val="none"/>
                </w:rPr>
                <w:t>ГОСТ IEC 60947-2</w:t>
              </w:r>
            </w:hyperlink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Серия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NM8N-400S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Артикул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</w:rPr>
              <w:t>269403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Напряжение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690В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Номинальный ток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400А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Отключающая способность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50кА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Тип расцепителя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b w:val="false"/>
                <w:i w:val="false"/>
                <w:caps w:val="false"/>
                <w:smallCaps w:val="false"/>
                <w:strike w:val="false"/>
                <w:dstrike w:val="false"/>
                <w:outline w:val="false"/>
                <w:shadow w:val="false"/>
                <w:color w:val="000000"/>
                <w:spacing w:val="0"/>
                <w:sz w:val="24"/>
                <w:szCs w:val="24"/>
                <w:u w:val="none"/>
                <w:em w:val="none"/>
                <w:lang w:val="en-US"/>
              </w:rPr>
              <w:t>EN-Микропроцессорный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391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  <w:tc>
          <w:tcPr>
            <w:tcW w:w="40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val="en-US"/>
              </w:rPr>
              <w:t>Количество полюсов</w:t>
            </w:r>
          </w:p>
        </w:tc>
        <w:tc>
          <w:tcPr>
            <w:tcW w:w="334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029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Требования к доставке, 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Место поставки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lang w:val="en-US"/>
              </w:rPr>
            </w:pPr>
            <w:r>
              <w:rPr>
                <w:color w:val="000000"/>
                <w:sz w:val="24"/>
                <w:szCs w:val="24"/>
              </w:rPr>
              <w:t>г. Новосибирск, ул. Новоморская, д. 4/1</w:t>
            </w:r>
            <w:r>
              <w:rPr>
                <w:color w:val="000000"/>
                <w:sz w:val="24"/>
                <w:szCs w:val="24"/>
                <w:lang w:val="en-US"/>
              </w:rPr>
              <w:t>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Приемка продукции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Приемка продукции осуществляется только в рабочие дни с 9-00 до 11-00 и с 13-00 до 16-00.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Информация о транспорте, на котором осуществляется доставка, для оформления допуска на территорию предоставляется не позднее предыдущего рабочего дня до прибытия транспорта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 тел. </w:t>
            </w:r>
            <w:r>
              <w:rPr>
                <w:rFonts w:eastAsia="Times New Roman" w:cs="Times New Roman"/>
                <w:sz w:val="24"/>
                <w:szCs w:val="24"/>
                <w:lang w:eastAsia="x-none"/>
              </w:rPr>
              <w:t>8 (383) 379-07-74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-57" w:right="0" w:hanging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Продукция, поставляемая согласно техническим требованиям, должна быть доставлена одной партией и отгружаться Поставщиком в таре и упаковке, обеспечивающих полную сохранность Продукции от всякого рода повреждений и порчи при ее перевозке и хранении с учетом возможных перегрузок и длительного хранения, в том числе в местностях с неблагоприятными климатическими условиями.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numPr>
                <w:ilvl w:val="0"/>
                <w:numId w:val="6"/>
              </w:numPr>
              <w:jc w:val="center"/>
              <w:rPr>
                <w:b/>
                <w:bCs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3.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гарантиям, гарантийному и послегарантийному обслуживанию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3.1.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Сроки гарантии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hd w:val="clear" w:fill="FFFFFF"/>
              <w:tabs>
                <w:tab w:val="clear" w:pos="708"/>
                <w:tab w:val="left" w:pos="1134" w:leader="none"/>
                <w:tab w:val="left" w:pos="1276" w:leader="none"/>
              </w:tabs>
              <w:spacing w:before="0" w:after="120"/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На Продукцию устанавливается гарантийный срок, равный 12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x-none"/>
              </w:rPr>
              <w:t xml:space="preserve"> (двенадцати) </w:t>
            </w:r>
            <w:r>
              <w:rPr>
                <w:color w:val="000000"/>
                <w:sz w:val="24"/>
                <w:szCs w:val="24"/>
              </w:rPr>
              <w:t>месяцам, исчисляемый с даты подписания Сторонами соответствующей товарной накладной по форме ТОРГ-12 или Универсального передаточного документа (УПД), но не менее гарантийного срока изготовителя (производителя) Продукции.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4.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4.1.</w:t>
            </w:r>
          </w:p>
        </w:tc>
        <w:tc>
          <w:tcPr>
            <w:tcW w:w="39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>Документы, передаваемые вместе с продукцией</w:t>
            </w:r>
          </w:p>
        </w:tc>
        <w:tc>
          <w:tcPr>
            <w:tcW w:w="1040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eastAsia="x-none"/>
              </w:rPr>
              <w:t xml:space="preserve">Поставщик обязан одновременно с передачей продукции передать Покупателю относящиеся к нему документы, оформленные надлежащим образом: </w:t>
            </w:r>
            <w:r>
              <w:rPr>
                <w:rFonts w:eastAsia="Times New Roman" w:cs="Times New Roman"/>
                <w:i w:val="false"/>
                <w:iCs w:val="false"/>
                <w:sz w:val="24"/>
                <w:szCs w:val="24"/>
                <w:lang w:eastAsia="x-none"/>
              </w:rPr>
              <w:t>сертификаты качества; технические паспорта на русском языке; инструкции по эксплуатации (монтажу и т.п.) на русском языке; упаковочный лист на продукцию; сертификаты о происхождении продукции; 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лицензии и т.п.) в зависимости от номенклатуры поставляемой продукции; товарную накладную унифицированной формы ТОРГ-12 (УПД) в 2 экз., транспортную накладную</w:t>
            </w:r>
            <w:r>
              <w:rPr>
                <w:sz w:val="24"/>
                <w:szCs w:val="24"/>
                <w:lang w:eastAsia="x-none"/>
              </w:rPr>
              <w:t>.</w:t>
            </w:r>
          </w:p>
        </w:tc>
      </w:tr>
      <w:tr>
        <w:trPr>
          <w:trHeight w:val="1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  <w:lang w:val="en-US"/>
              </w:rPr>
              <w:t>5.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Прочие (дополнительные) требования к продукции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ind w:left="113" w:right="0" w:hanging="0"/>
              <w:jc w:val="center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lang w:val="en-US"/>
              </w:rPr>
              <w:t>5.1.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Продукция должна быть новой, ранее не использовавшейся.</w:t>
            </w:r>
          </w:p>
          <w:p>
            <w:pPr>
              <w:pStyle w:val="ListParagraph"/>
              <w:widowControl w:val="false"/>
              <w:ind w:left="0" w:right="0" w:hanging="0"/>
              <w:rPr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  <w:lang w:eastAsia="en-US"/>
              </w:rPr>
              <w:t>Способ укладки и транспортировки продукции должен предотвратить его повреждение или порчу во время перевозки и погрузке/разгрузке, а также воздействие осадков во время перевозки и при открытом хранении.</w:t>
            </w:r>
          </w:p>
        </w:tc>
      </w:tr>
      <w:tr>
        <w:trPr>
          <w:trHeight w:val="249" w:hRule="atLeast"/>
        </w:trPr>
        <w:tc>
          <w:tcPr>
            <w:tcW w:w="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5.2</w:t>
            </w:r>
          </w:p>
        </w:tc>
        <w:tc>
          <w:tcPr>
            <w:tcW w:w="14319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  <w:lang w:eastAsia="x-none"/>
              </w:rPr>
              <w:t>Продукция должна соответствовать обязательным требованиям, установленными нормативными документами, действующими в РФ. Продукция обязательно должна быть укомплектована документами, удостоверяющими качество продукции и гарантийные обязательства производителя, выданными производителем продукции, а также документами, выполнение требований которых является условием выполнения гарантийных обязательств производителя.</w:t>
            </w:r>
          </w:p>
        </w:tc>
      </w:tr>
    </w:tbl>
    <w:p>
      <w:pPr>
        <w:sectPr>
          <w:footerReference w:type="default" r:id="rId8"/>
          <w:footerReference w:type="first" r:id="rId9"/>
          <w:type w:val="nextPage"/>
          <w:pgSz w:orient="landscape" w:w="16838" w:h="11906"/>
          <w:pgMar w:left="1134" w:right="1134" w:gutter="0" w:header="0" w:top="426" w:footer="708" w:bottom="850"/>
          <w:pgNumType w:fmt="decimal"/>
          <w:formProt w:val="false"/>
          <w:textDirection w:val="lrTb"/>
          <w:docGrid w:type="default" w:linePitch="360" w:charSpace="0"/>
        </w:sectPr>
      </w:pPr>
    </w:p>
    <w:p>
      <w:pPr>
        <w:pStyle w:val="Heading1"/>
        <w:keepLines/>
        <w:numPr>
          <w:ilvl w:val="0"/>
        </w:numPr>
        <w:tabs>
          <w:tab w:val="clear" w:pos="709"/>
          <w:tab w:val="left" w:pos="0" w:leader="none"/>
        </w:tabs>
        <w:spacing w:before="120" w:after="60"/>
        <w:ind w:left="357" w:right="0" w:hanging="0"/>
        <w:jc w:val="center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</w:r>
    </w:p>
    <w:p>
      <w:pPr>
        <w:pStyle w:val="Normal"/>
        <w:widowControl w:val="false"/>
        <w:tabs>
          <w:tab w:val="clear" w:pos="708"/>
          <w:tab w:val="left" w:pos="7380" w:leader="none"/>
        </w:tabs>
        <w:jc w:val="both"/>
        <w:rPr>
          <w:rFonts w:eastAsia="Times New Roman" w:cs="Times New Roman"/>
          <w:szCs w:val="24"/>
          <w:lang w:eastAsia="ru-RU"/>
        </w:rPr>
      </w:pPr>
      <w:r>
        <w:rPr>
          <w:rFonts w:eastAsia="Times New Roman" w:cs="Times New Roman"/>
          <w:szCs w:val="24"/>
          <w:lang w:eastAsia="ru-RU"/>
        </w:rPr>
      </w:r>
    </w:p>
    <w:p>
      <w:pPr>
        <w:pStyle w:val="Normal"/>
        <w:spacing w:lineRule="auto" w:line="360"/>
        <w:jc w:val="both"/>
        <w:rPr/>
      </w:pPr>
      <w:r>
        <w:rPr/>
      </w:r>
    </w:p>
    <w:sectPr>
      <w:footerReference w:type="default" r:id="rId10"/>
      <w:footerReference w:type="first" r:id="rId11"/>
      <w:type w:val="nextPage"/>
      <w:pgSz w:w="11906" w:h="16838"/>
      <w:pgMar w:left="1701" w:right="850" w:gutter="0" w:header="0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Times New Roman">
    <w:altName w:val="Times"/>
    <w:charset w:val="01"/>
    <w:family w:val="roman"/>
    <w:pitch w:val="variable"/>
  </w:font>
  <w:font w:name="Times New Roman">
    <w:altName w:val="serif"/>
    <w:charset w:val="01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default"/>
  </w:font>
  <w:font w:name="Symbol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2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5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>
        <w:sz w:val="24"/>
        <w:szCs w:val="24"/>
      </w:rPr>
    </w:pPr>
    <w:r>
      <w:rPr>
        <w:sz w:val="24"/>
        <w:szCs w:val="24"/>
      </w:rPr>
      <w:t xml:space="preserve">Страница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PAGE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  <w:r>
      <w:rPr>
        <w:sz w:val="24"/>
        <w:szCs w:val="24"/>
      </w:rPr>
      <w:t xml:space="preserve"> из </w:t>
    </w:r>
    <w:r>
      <w:rPr>
        <w:b/>
        <w:bCs/>
        <w:sz w:val="24"/>
        <w:szCs w:val="24"/>
      </w:rPr>
      <w:fldChar w:fldCharType="begin"/>
    </w:r>
    <w:r>
      <w:rPr>
        <w:sz w:val="24"/>
        <w:b/>
        <w:szCs w:val="24"/>
        <w:bCs/>
      </w:rPr>
      <w:instrText xml:space="preserve"> NUMPAGES </w:instrText>
    </w:r>
    <w:r>
      <w:rPr>
        <w:sz w:val="24"/>
        <w:b/>
        <w:szCs w:val="24"/>
        <w:bCs/>
      </w:rPr>
      <w:fldChar w:fldCharType="separate"/>
    </w:r>
    <w:r>
      <w:rPr>
        <w:sz w:val="24"/>
        <w:b/>
        <w:szCs w:val="24"/>
        <w:bCs/>
      </w:rPr>
      <w:t>6</w:t>
    </w:r>
    <w:r>
      <w:rPr>
        <w:sz w:val="24"/>
        <w:b/>
        <w:szCs w:val="24"/>
        <w:bCs/>
      </w:rPr>
      <w:fldChar w:fldCharType="end"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196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kern w:val="0"/>
        <w:effect w:val="none"/>
        <w:szCs w:val="28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32" w:hanging="432"/>
      </w:pPr>
      <w:rPr>
        <w:sz w:val="24"/>
        <w:i w:val="false"/>
        <w:b/>
        <w:szCs w:val="24"/>
        <w:iCs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hanging="0"/>
      </w:pPr>
      <w:rPr/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0" w:hanging="0"/>
      </w:pPr>
      <w:rPr/>
    </w:lvl>
    <w:lvl w:ilvl="3">
      <w:start w:val="1"/>
      <w:numFmt w:val="decimal"/>
      <w:lvlText w:val="%1.%2.%3.%4."/>
      <w:lvlJc w:val="left"/>
      <w:pPr>
        <w:tabs>
          <w:tab w:val="num" w:pos="357"/>
        </w:tabs>
        <w:ind w:left="0" w:hanging="0"/>
      </w:pPr>
      <w:rPr/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0" w:hanging="0"/>
      </w:pPr>
      <w:rPr/>
    </w:lvl>
    <w:lvl w:ilvl="5">
      <w:start w:val="1"/>
      <w:numFmt w:val="decimal"/>
      <w:lvlText w:val="%1.%2.%3.%4.%5.%6."/>
      <w:lvlJc w:val="left"/>
      <w:pPr>
        <w:tabs>
          <w:tab w:val="num" w:pos="357"/>
        </w:tabs>
        <w:ind w:left="0" w:hanging="0"/>
      </w:pPr>
      <w:rPr/>
    </w:lvl>
    <w:lvl w:ilvl="6">
      <w:start w:val="1"/>
      <w:numFmt w:val="decimal"/>
      <w:lvlText w:val="%1.%2.%3.%4.%5.%6.%7."/>
      <w:lvlJc w:val="left"/>
      <w:pPr>
        <w:tabs>
          <w:tab w:val="num" w:pos="357"/>
        </w:tabs>
        <w:ind w:left="0" w:hanging="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357"/>
        </w:tabs>
        <w:ind w:left="0" w:hanging="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57"/>
        </w:tabs>
        <w:ind w:left="0" w:hanging="0"/>
      </w:pPr>
      <w:rPr/>
    </w:lvl>
  </w:abstractNum>
  <w:abstractNum w:abstractNumId="3">
    <w:lvl w:ilvl="0">
      <w:start w:val="1"/>
      <w:numFmt w:val="bullet"/>
      <w:lvlText w:val="-"/>
      <w:lvlJc w:val="left"/>
      <w:pPr>
        <w:tabs>
          <w:tab w:val="num" w:pos="0"/>
        </w:tabs>
        <w:ind w:left="-207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513"/>
        </w:tabs>
        <w:ind w:left="51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233"/>
        </w:tabs>
        <w:ind w:left="123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953"/>
        </w:tabs>
        <w:ind w:left="195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673"/>
        </w:tabs>
        <w:ind w:left="267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393"/>
        </w:tabs>
        <w:ind w:left="339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113"/>
        </w:tabs>
        <w:ind w:left="411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833"/>
        </w:tabs>
        <w:ind w:left="483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553"/>
        </w:tabs>
        <w:ind w:left="5553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134" w:hanging="1134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1134" w:hanging="1134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34" w:hanging="1134"/>
      </w:pPr>
      <w:rPr/>
    </w:lvl>
    <w:lvl w:ilvl="3">
      <w:start w:val="1"/>
      <w:numFmt w:val="russianLower"/>
      <w:lvlText w:val="(%4)"/>
      <w:lvlJc w:val="left"/>
      <w:pPr>
        <w:tabs>
          <w:tab w:val="num" w:pos="0"/>
        </w:tabs>
        <w:ind w:left="1985" w:hanging="567"/>
      </w:pPr>
      <w:rPr/>
    </w:lvl>
    <w:lvl w:ilvl="4">
      <w:start w:val="1"/>
      <w:numFmt w:val="bullet"/>
      <w:lvlText w:val="–"/>
      <w:lvlJc w:val="left"/>
      <w:pPr>
        <w:tabs>
          <w:tab w:val="num" w:pos="0"/>
        </w:tabs>
        <w:ind w:left="2268" w:hanging="567"/>
      </w:pPr>
      <w:rPr>
        <w:rFonts w:ascii="Times New Roman" w:hAnsi="Times New Roman" w:cs="Times New Roman" w:hint="default"/>
      </w:r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1134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1701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1134" w:hanging="0"/>
      </w:pPr>
      <w:rPr/>
    </w:lvl>
  </w:abstractNum>
  <w:abstractNum w:abstractNumId="5">
    <w:lvl w:ilvl="0">
      <w:start w:val="1"/>
      <w:numFmt w:val="decimal"/>
      <w:lvlText w:val="1.%1"/>
      <w:lvlJc w:val="left"/>
      <w:pPr>
        <w:tabs>
          <w:tab w:val="num" w:pos="0"/>
        </w:tabs>
        <w:ind w:left="1429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  <w:rPr/>
    </w:lvl>
  </w:abstractNum>
  <w:abstractNum w:abstractNumId="6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i w:val="false"/>
        <w:b w:val="fals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center"/>
      <w:pPr>
        <w:tabs>
          <w:tab w:val="num" w:pos="567"/>
        </w:tabs>
        <w:ind w:left="567" w:hanging="279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1134"/>
        </w:tabs>
        <w:ind w:left="1134" w:hanging="567"/>
      </w:pPr>
      <w:rPr>
        <w:u w:val="none"/>
        <w:b w:val="false"/>
        <w:rFonts w:ascii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993"/>
        </w:tabs>
        <w:ind w:left="993" w:hanging="851"/>
      </w:pPr>
      <w:rPr>
        <w:dstrike w:val="false"/>
        <w:strike w:val="false"/>
        <w:b w:val="false"/>
      </w:rPr>
    </w:lvl>
    <w:lvl w:ilvl="3">
      <w:start w:val="1"/>
      <w:numFmt w:val="decimal"/>
      <w:lvlText w:val="%1.%2.%3.%4."/>
      <w:lvlJc w:val="left"/>
      <w:pPr>
        <w:tabs>
          <w:tab w:val="num" w:pos="2269"/>
        </w:tabs>
        <w:ind w:left="2269" w:hanging="567"/>
      </w:pPr>
      <w:rPr>
        <w:b w:val="false"/>
      </w:rPr>
    </w:lvl>
    <w:lvl w:ilvl="4">
      <w:start w:val="1"/>
      <w:numFmt w:val="russianLower"/>
      <w:lvlText w:val="%5)"/>
      <w:lvlJc w:val="left"/>
      <w:pPr>
        <w:tabs>
          <w:tab w:val="num" w:pos="1576"/>
        </w:tabs>
        <w:ind w:left="1576" w:hanging="1008"/>
      </w:pPr>
      <w:rPr/>
    </w:lvl>
    <w:lvl w:ilvl="5">
      <w:start w:val="1"/>
      <w:numFmt w:val="decimal"/>
      <w:lvlText w:val="%1.%2.%3.%4.%5.%6."/>
      <w:lvlJc w:val="left"/>
      <w:pPr>
        <w:tabs>
          <w:tab w:val="num" w:pos="2592"/>
        </w:tabs>
        <w:ind w:left="2592" w:hanging="1152"/>
      </w:pPr>
      <w:rPr/>
    </w:lvl>
    <w:lvl w:ilvl="6">
      <w:start w:val="1"/>
      <w:numFmt w:val="decimal"/>
      <w:lvlText w:val="%1.%2.%3.%4.%5.%6.%7."/>
      <w:lvlJc w:val="left"/>
      <w:pPr>
        <w:tabs>
          <w:tab w:val="num" w:pos="2736"/>
        </w:tabs>
        <w:ind w:left="2736" w:hanging="1296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3024"/>
        </w:tabs>
        <w:ind w:left="3024" w:hanging="1584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i w:val="false"/>
        <w:b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211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0"/>
        <w:sz w:val="20"/>
        <w:spacing w:val="0"/>
        <w:i w:val="false"/>
        <w:u w:val="none"/>
        <w:b w:val="false"/>
        <w:kern w:val="0"/>
        <w:effect w:val="none"/>
        <w:iCs w:val="false"/>
        <w:bCs w:val="false"/>
        <w:em w:val="none"/>
        <w:vanish w:val="false"/>
        <w:rFonts w:ascii="Times New Roman" w:hAnsi="Times New Roman" w:cs="Times New Roman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ahoma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ahoma"/>
      <w:color w:val="auto"/>
      <w:kern w:val="0"/>
      <w:sz w:val="24"/>
      <w:szCs w:val="22"/>
      <w:lang w:val="ru-RU" w:eastAsia="en-US" w:bidi="ar-SA"/>
    </w:rPr>
  </w:style>
  <w:style w:type="paragraph" w:styleId="Heading1">
    <w:name w:val="Heading 1"/>
    <w:basedOn w:val="Heading3"/>
    <w:next w:val="Normal"/>
    <w:link w:val="1"/>
    <w:qFormat/>
    <w:pPr>
      <w:numPr>
        <w:ilvl w:val="0"/>
        <w:numId w:val="0"/>
      </w:numPr>
      <w:ind w:left="0" w:right="0" w:firstLine="709"/>
      <w:outlineLvl w:val="0"/>
    </w:pPr>
    <w:rPr>
      <w:sz w:val="28"/>
      <w:szCs w:val="28"/>
    </w:rPr>
  </w:style>
  <w:style w:type="paragraph" w:styleId="Heading2">
    <w:name w:val="Heading 2"/>
    <w:basedOn w:val="Heading4"/>
    <w:next w:val="Normal"/>
    <w:link w:val="2"/>
    <w:qFormat/>
    <w:pPr>
      <w:numPr>
        <w:ilvl w:val="0"/>
        <w:numId w:val="0"/>
      </w:numPr>
      <w:tabs>
        <w:tab w:val="clear" w:pos="0"/>
        <w:tab w:val="clear" w:pos="709"/>
      </w:tabs>
      <w:ind w:left="432" w:right="0" w:hanging="432"/>
      <w:outlineLvl w:val="1"/>
    </w:pPr>
    <w:rPr/>
  </w:style>
  <w:style w:type="paragraph" w:styleId="Heading3">
    <w:name w:val="Heading 3"/>
    <w:basedOn w:val="Normal"/>
    <w:next w:val="Normal"/>
    <w:link w:val="3"/>
    <w:qFormat/>
    <w:pPr>
      <w:keepNext w:val="true"/>
      <w:numPr>
        <w:ilvl w:val="0"/>
        <w:numId w:val="0"/>
      </w:numPr>
      <w:tabs>
        <w:tab w:val="clear" w:pos="708"/>
        <w:tab w:val="left" w:pos="0" w:leader="none"/>
        <w:tab w:val="left" w:pos="709" w:leader="none"/>
      </w:tabs>
      <w:ind w:left="0" w:right="0" w:firstLine="709"/>
      <w:outlineLvl w:val="2"/>
    </w:pPr>
    <w:rPr>
      <w:rFonts w:cs="Times New Roman"/>
      <w:b/>
      <w:szCs w:val="24"/>
      <w:lang w:val="x-none" w:eastAsia="x-none"/>
    </w:rPr>
  </w:style>
  <w:style w:type="paragraph" w:styleId="Heading4">
    <w:name w:val="Heading 4"/>
    <w:basedOn w:val="Heading3"/>
    <w:next w:val="Normal"/>
    <w:link w:val="4"/>
    <w:qFormat/>
    <w:pPr>
      <w:numPr>
        <w:ilvl w:val="0"/>
        <w:numId w:val="0"/>
      </w:numPr>
      <w:ind w:left="0" w:right="0" w:firstLine="709"/>
      <w:outlineLvl w:val="3"/>
    </w:pPr>
    <w:rPr>
      <w:bCs/>
    </w:rPr>
  </w:style>
  <w:style w:type="paragraph" w:styleId="Heading5">
    <w:name w:val="Heading 5"/>
    <w:basedOn w:val="Normal"/>
    <w:next w:val="Normal"/>
    <w:link w:val="5"/>
    <w:qFormat/>
    <w:pPr>
      <w:numPr>
        <w:ilvl w:val="0"/>
        <w:numId w:val="0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  <w:lang w:val="x-none" w:eastAsia="x-none"/>
    </w:rPr>
  </w:style>
  <w:style w:type="paragraph" w:styleId="Heading6">
    <w:name w:val="Heading 6"/>
    <w:basedOn w:val="Normal"/>
    <w:next w:val="Normal"/>
    <w:link w:val="6"/>
    <w:qFormat/>
    <w:pPr>
      <w:keepNext w:val="true"/>
      <w:keepLines/>
      <w:numPr>
        <w:ilvl w:val="0"/>
        <w:numId w:val="0"/>
      </w:numPr>
      <w:spacing w:before="200" w:after="0"/>
      <w:outlineLvl w:val="5"/>
    </w:pPr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paragraph" w:styleId="Heading7">
    <w:name w:val="Heading 7"/>
    <w:basedOn w:val="Normal"/>
    <w:next w:val="Normal"/>
    <w:link w:val="7"/>
    <w:qFormat/>
    <w:pPr>
      <w:keepNext w:val="true"/>
      <w:keepLines/>
      <w:numPr>
        <w:ilvl w:val="0"/>
        <w:numId w:val="0"/>
      </w:numPr>
      <w:spacing w:before="200" w:after="0"/>
      <w:outlineLvl w:val="6"/>
    </w:pPr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paragraph" w:styleId="Heading8">
    <w:name w:val="Heading 8"/>
    <w:basedOn w:val="Normal"/>
    <w:next w:val="Normal"/>
    <w:link w:val="8"/>
    <w:qFormat/>
    <w:pPr>
      <w:keepNext w:val="true"/>
      <w:keepLines/>
      <w:numPr>
        <w:ilvl w:val="0"/>
        <w:numId w:val="0"/>
      </w:numPr>
      <w:spacing w:before="200" w:after="0"/>
      <w:outlineLvl w:val="7"/>
    </w:pPr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paragraph" w:styleId="Heading9">
    <w:name w:val="Heading 9"/>
    <w:basedOn w:val="Normal"/>
    <w:next w:val="Normal"/>
    <w:link w:val="9"/>
    <w:qFormat/>
    <w:pPr>
      <w:numPr>
        <w:ilvl w:val="0"/>
        <w:numId w:val="0"/>
      </w:numPr>
      <w:spacing w:before="240" w:after="60"/>
      <w:outlineLvl w:val="8"/>
    </w:pPr>
    <w:rPr>
      <w:rFonts w:ascii="Arial" w:hAnsi="Arial" w:eastAsia="Times New Roman" w:cs="Times New Roman"/>
      <w:sz w:val="22"/>
      <w:lang w:val="x-none" w:eastAsia="x-none"/>
    </w:rPr>
  </w:style>
  <w:style w:type="character" w:styleId="DefaultParagraphFont">
    <w:name w:val="Default Paragraph Font"/>
    <w:qFormat/>
    <w:rPr/>
  </w:style>
  <w:style w:type="character" w:styleId="1">
    <w:name w:val="Заголовок 1 Знак"/>
    <w:basedOn w:val="DefaultParagraphFont"/>
    <w:qFormat/>
    <w:rPr>
      <w:rFonts w:ascii="Times New Roman" w:hAnsi="Times New Roman" w:eastAsia="Calibri" w:cs="Times New Roman"/>
      <w:b/>
      <w:sz w:val="28"/>
      <w:szCs w:val="28"/>
      <w:lang w:val="x-none" w:eastAsia="x-none"/>
    </w:rPr>
  </w:style>
  <w:style w:type="character" w:styleId="3">
    <w:name w:val="Заголовок 3 Знак"/>
    <w:basedOn w:val="DefaultParagraphFont"/>
    <w:qFormat/>
    <w:rPr>
      <w:rFonts w:ascii="Times New Roman" w:hAnsi="Times New Roman" w:eastAsia="Calibri" w:cs="Times New Roman"/>
      <w:b/>
      <w:sz w:val="24"/>
      <w:szCs w:val="24"/>
      <w:lang w:val="x-none" w:eastAsia="x-none"/>
    </w:rPr>
  </w:style>
  <w:style w:type="character" w:styleId="4">
    <w:name w:val="Заголовок 4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Style">
    <w:name w:val="комментарий"/>
    <w:qFormat/>
    <w:rPr>
      <w:b/>
      <w:i/>
      <w:shd w:fill="FFFF99" w:val="clear"/>
    </w:rPr>
  </w:style>
  <w:style w:type="character" w:styleId="2">
    <w:name w:val="Заголовок 2 Знак"/>
    <w:basedOn w:val="DefaultParagraphFont"/>
    <w:qFormat/>
    <w:rPr>
      <w:rFonts w:ascii="Times New Roman" w:hAnsi="Times New Roman" w:eastAsia="Calibri" w:cs="Times New Roman"/>
      <w:b/>
      <w:bCs/>
      <w:sz w:val="24"/>
      <w:szCs w:val="24"/>
      <w:lang w:val="x-none" w:eastAsia="x-none"/>
    </w:rPr>
  </w:style>
  <w:style w:type="character" w:styleId="5">
    <w:name w:val="Заголовок 5 Знак"/>
    <w:basedOn w:val="DefaultParagraphFont"/>
    <w:qFormat/>
    <w:rPr>
      <w:rFonts w:ascii="Times New Roman" w:hAnsi="Times New Roman" w:eastAsia="Times New Roman" w:cs="Times New Roman"/>
      <w:b/>
      <w:bCs/>
      <w:i/>
      <w:iCs/>
      <w:sz w:val="26"/>
      <w:szCs w:val="26"/>
      <w:lang w:val="x-none" w:eastAsia="x-none"/>
    </w:rPr>
  </w:style>
  <w:style w:type="character" w:styleId="6">
    <w:name w:val="Заголовок 6 Знак"/>
    <w:basedOn w:val="DefaultParagraphFont"/>
    <w:qFormat/>
    <w:rPr>
      <w:rFonts w:ascii="Cambria" w:hAnsi="Cambria" w:eastAsia="Times New Roman" w:cs="Times New Roman"/>
      <w:i/>
      <w:iCs/>
      <w:color w:val="243F60"/>
      <w:sz w:val="20"/>
      <w:szCs w:val="20"/>
      <w:lang w:val="x-none" w:eastAsia="x-none"/>
    </w:rPr>
  </w:style>
  <w:style w:type="character" w:styleId="7">
    <w:name w:val="Заголовок 7 Знак"/>
    <w:basedOn w:val="DefaultParagraphFont"/>
    <w:qFormat/>
    <w:rPr>
      <w:rFonts w:ascii="Cambria" w:hAnsi="Cambria" w:eastAsia="Times New Roman" w:cs="Times New Roman"/>
      <w:i/>
      <w:iCs/>
      <w:color w:val="404040"/>
      <w:sz w:val="20"/>
      <w:szCs w:val="20"/>
      <w:lang w:val="x-none" w:eastAsia="x-none"/>
    </w:rPr>
  </w:style>
  <w:style w:type="character" w:styleId="8">
    <w:name w:val="Заголовок 8 Знак"/>
    <w:basedOn w:val="DefaultParagraphFont"/>
    <w:qFormat/>
    <w:rPr>
      <w:rFonts w:ascii="Cambria" w:hAnsi="Cambria" w:eastAsia="Times New Roman" w:cs="Times New Roman"/>
      <w:color w:val="4F81BD"/>
      <w:sz w:val="20"/>
      <w:szCs w:val="20"/>
      <w:lang w:val="x-none" w:eastAsia="x-none"/>
    </w:rPr>
  </w:style>
  <w:style w:type="character" w:styleId="9">
    <w:name w:val="Заголовок 9 Знак"/>
    <w:basedOn w:val="DefaultParagraphFont"/>
    <w:qFormat/>
    <w:rPr>
      <w:rFonts w:ascii="Arial" w:hAnsi="Arial" w:eastAsia="Times New Roman" w:cs="Times New Roman"/>
      <w:lang w:val="x-none" w:eastAsia="x-none"/>
    </w:rPr>
  </w:style>
  <w:style w:type="character" w:styleId="Style1">
    <w:name w:val="Текст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2">
    <w:name w:val="Символ сноски"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qFormat/>
    <w:rPr>
      <w:vertAlign w:val="superscript"/>
    </w:rPr>
  </w:style>
  <w:style w:type="character" w:styleId="Style3">
    <w:name w:val="Верхний колонтитул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4">
    <w:name w:val="Основной текст с отступом Знак"/>
    <w:basedOn w:val="DefaultParagraphFont"/>
    <w:qFormat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5">
    <w:name w:val="Нижний колонтитул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Style6">
    <w:name w:val="Основной текст Знак"/>
    <w:basedOn w:val="DefaultParagraphFont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21">
    <w:name w:val="Основной текст с отступом 2 Знак"/>
    <w:basedOn w:val="DefaultParagraphFont"/>
    <w:link w:val="BodyTextInden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31">
    <w:name w:val="Основной текст 3 Знак"/>
    <w:basedOn w:val="DefaultParagraphFont"/>
    <w:link w:val="BodyTex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32">
    <w:name w:val="Основной текст с отступом 3 Знак"/>
    <w:basedOn w:val="DefaultParagraphFont"/>
    <w:link w:val="BodyTextIndent3"/>
    <w:qFormat/>
    <w:rPr>
      <w:rFonts w:ascii="Times New Roman" w:hAnsi="Times New Roman" w:eastAsia="Times New Roman" w:cs="Times New Roman"/>
      <w:sz w:val="16"/>
      <w:szCs w:val="16"/>
      <w:lang w:eastAsia="ru-RU"/>
    </w:rPr>
  </w:style>
  <w:style w:type="character" w:styleId="22">
    <w:name w:val="Основной текст 2 Знак"/>
    <w:basedOn w:val="DefaultParagraphFont"/>
    <w:link w:val="BodyText2"/>
    <w:qFormat/>
    <w:rPr>
      <w:rFonts w:ascii="Times New Roman" w:hAnsi="Times New Roman" w:eastAsia="Times New Roman" w:cs="Times New Roman"/>
      <w:sz w:val="28"/>
      <w:szCs w:val="28"/>
      <w:lang w:eastAsia="ru-RU"/>
    </w:rPr>
  </w:style>
  <w:style w:type="character" w:styleId="Pagenumber">
    <w:name w:val="page number"/>
    <w:basedOn w:val="DefaultParagraphFont"/>
    <w:qFormat/>
    <w:rPr/>
  </w:style>
  <w:style w:type="character" w:styleId="Hyperlink">
    <w:name w:val="Hyperlink"/>
    <w:rPr>
      <w:color w:val="0000FF"/>
      <w:u w:val="single"/>
    </w:rPr>
  </w:style>
  <w:style w:type="character" w:styleId="Style7">
    <w:name w:val="Текст выноски Знак"/>
    <w:basedOn w:val="DefaultParagraphFont"/>
    <w:link w:val="BalloonText"/>
    <w:qFormat/>
    <w:rPr>
      <w:rFonts w:ascii="Tahoma" w:hAnsi="Tahoma" w:eastAsia="Times New Roman" w:cs="Tahoma"/>
      <w:sz w:val="16"/>
      <w:szCs w:val="16"/>
      <w:lang w:eastAsia="ru-RU"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Style8">
    <w:name w:val="Текст примечания Знак"/>
    <w:basedOn w:val="DefaultParagraphFont"/>
    <w:link w:val="Annotationtex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9">
    <w:name w:val="Тема примечания Знак"/>
    <w:basedOn w:val="Style8"/>
    <w:link w:val="Annotationsubject"/>
    <w:qFormat/>
    <w:rPr>
      <w:rFonts w:ascii="Times New Roman" w:hAnsi="Times New Roman" w:eastAsia="Times New Roman" w:cs="Times New Roman"/>
      <w:b/>
      <w:bCs/>
      <w:sz w:val="20"/>
      <w:szCs w:val="20"/>
      <w:lang w:eastAsia="ru-RU"/>
    </w:rPr>
  </w:style>
  <w:style w:type="character" w:styleId="Strong1">
    <w:name w:val="Strong1"/>
    <w:qFormat/>
    <w:rPr>
      <w:b/>
      <w:bCs/>
    </w:rPr>
  </w:style>
  <w:style w:type="character" w:styleId="Style10">
    <w:name w:val="Название Знак"/>
    <w:link w:val="15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Style11">
    <w:name w:val="Подзаголовок Знак"/>
    <w:basedOn w:val="DefaultParagraphFont"/>
    <w:qFormat/>
    <w:rPr>
      <w:rFonts w:ascii="Cambria" w:hAnsi="Cambria" w:eastAsia="Times New Roman" w:cs="Times New Roman"/>
      <w:i/>
      <w:iCs/>
      <w:color w:val="4F81BD"/>
      <w:spacing w:val="15"/>
      <w:sz w:val="24"/>
      <w:szCs w:val="24"/>
      <w:lang w:val="x-none" w:eastAsia="x-none"/>
    </w:rPr>
  </w:style>
  <w:style w:type="character" w:styleId="Emphasis">
    <w:name w:val="Emphasis"/>
    <w:qFormat/>
    <w:rPr>
      <w:i/>
      <w:iCs/>
    </w:rPr>
  </w:style>
  <w:style w:type="character" w:styleId="23">
    <w:name w:val="Цитата 2 Знак"/>
    <w:basedOn w:val="DefaultParagraphFont"/>
    <w:link w:val="Quote"/>
    <w:qFormat/>
    <w:rPr>
      <w:rFonts w:ascii="Calibri" w:hAnsi="Calibri" w:eastAsia="Calibri" w:cs="Times New Roman"/>
      <w:i/>
      <w:iCs/>
      <w:color w:val="000000"/>
      <w:sz w:val="20"/>
      <w:szCs w:val="20"/>
      <w:lang w:val="x-none" w:eastAsia="x-none"/>
    </w:rPr>
  </w:style>
  <w:style w:type="character" w:styleId="Style12">
    <w:name w:val="Выделенная цитата Знак"/>
    <w:basedOn w:val="DefaultParagraphFont"/>
    <w:link w:val="IntenseQuote"/>
    <w:qFormat/>
    <w:rPr>
      <w:rFonts w:ascii="Calibri" w:hAnsi="Calibri" w:eastAsia="Calibri" w:cs="Times New Roman"/>
      <w:b/>
      <w:bCs/>
      <w:i/>
      <w:iCs/>
      <w:color w:val="4F81BD"/>
      <w:sz w:val="20"/>
      <w:szCs w:val="20"/>
      <w:lang w:val="x-none" w:eastAsia="x-none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Style13">
    <w:name w:val="Электронная подпись Знак"/>
    <w:basedOn w:val="DefaultParagraphFont"/>
    <w:link w:val="E-mailSignature"/>
    <w:qFormat/>
    <w:rPr>
      <w:rFonts w:ascii="Times New Roman" w:hAnsi="Times New Roman" w:eastAsia="Calibri" w:cs="Times New Roman"/>
      <w:sz w:val="24"/>
      <w:szCs w:val="24"/>
      <w:lang w:val="x-none" w:eastAsia="x-none"/>
    </w:rPr>
  </w:style>
  <w:style w:type="character" w:styleId="11">
    <w:name w:val="Подпункт Знак1"/>
    <w:link w:val="Style31"/>
    <w:qFormat/>
    <w:rPr>
      <w:rFonts w:ascii="Times New Roman" w:hAnsi="Times New Roman" w:eastAsia="Times New Roman" w:cs="Times New Roman"/>
      <w:sz w:val="28"/>
      <w:szCs w:val="20"/>
      <w:lang w:val="x-none" w:eastAsia="x-none"/>
    </w:rPr>
  </w:style>
  <w:style w:type="character" w:styleId="Blk">
    <w:name w:val="blk"/>
    <w:qFormat/>
    <w:rPr/>
  </w:style>
  <w:style w:type="character" w:styleId="Style14">
    <w:name w:val="Абзац списка Знак"/>
    <w:link w:val="ListParagraph"/>
    <w:qFormat/>
    <w:rPr>
      <w:rFonts w:ascii="Times New Roman" w:hAnsi="Times New Roman" w:eastAsia="Calibri" w:cs="Times New Roman"/>
      <w:sz w:val="24"/>
      <w:szCs w:val="24"/>
      <w:lang w:eastAsia="ru-RU"/>
    </w:rPr>
  </w:style>
  <w:style w:type="character" w:styleId="Style15">
    <w:name w:val="Подподпункт Знак"/>
    <w:link w:val="Style38"/>
    <w:qFormat/>
    <w:rPr>
      <w:rFonts w:ascii="Times New Roman" w:hAnsi="Times New Roman" w:eastAsia="Times New Roman" w:cs="Times New Roman"/>
      <w:sz w:val="26"/>
      <w:szCs w:val="26"/>
      <w:lang w:eastAsia="ru-RU"/>
    </w:rPr>
  </w:style>
  <w:style w:type="character" w:styleId="33">
    <w:name w:val="УРОВЕНЬ_Абзац_тип3 Знак"/>
    <w:link w:val="38"/>
    <w:qFormat/>
    <w:rPr>
      <w:rFonts w:ascii="Times New Roman" w:hAnsi="Times New Roman" w:eastAsia="Calibri" w:cs="Times New Roman"/>
      <w:sz w:val="26"/>
      <w:szCs w:val="28"/>
    </w:rPr>
  </w:style>
  <w:style w:type="character" w:styleId="Style16">
    <w:name w:val="Текст концевой сноски Знак"/>
    <w:basedOn w:val="DefaultParagraphFont"/>
    <w:qFormat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>
    <w:name w:val="Символ концевой сноски"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qFormat/>
    <w:rPr>
      <w:vertAlign w:val="superscript"/>
    </w:rPr>
  </w:style>
  <w:style w:type="character" w:styleId="24">
    <w:name w:val="Пункт2 Знак"/>
    <w:link w:val="27"/>
    <w:qFormat/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12">
    <w:name w:val="УРОВЕНЬ_1. Знак"/>
    <w:link w:val="19"/>
    <w:qFormat/>
    <w:rPr>
      <w:rFonts w:ascii="Times New Roman" w:hAnsi="Times New Roman" w:eastAsia="Calibri" w:cs="Times New Roman"/>
      <w:caps/>
      <w:sz w:val="28"/>
      <w:szCs w:val="28"/>
    </w:rPr>
  </w:style>
  <w:style w:type="character" w:styleId="13">
    <w:name w:val="Неразрешенное упоминание1"/>
    <w:basedOn w:val="DefaultParagraphFont"/>
    <w:qFormat/>
    <w:rPr>
      <w:color w:val="605E5C"/>
      <w:shd w:fill="E1DFDD" w:val="clear"/>
    </w:rPr>
  </w:style>
  <w:style w:type="character" w:styleId="FontStyle16">
    <w:name w:val="Font Style16"/>
    <w:qFormat/>
    <w:rPr>
      <w:rFonts w:ascii="Times New Roman" w:hAnsi="Times New Roman" w:cs="Times New Roman"/>
      <w:sz w:val="22"/>
      <w:szCs w:val="22"/>
    </w:rPr>
  </w:style>
  <w:style w:type="character" w:styleId="Text">
    <w:name w:val="text"/>
    <w:qFormat/>
    <w:rPr/>
  </w:style>
  <w:style w:type="character" w:styleId="Value">
    <w:name w:val="value"/>
    <w:qFormat/>
    <w:rPr/>
  </w:style>
  <w:style w:type="character" w:styleId="Style18">
    <w:name w:val="Текст Знак"/>
    <w:basedOn w:val="DefaultParagraphFont"/>
    <w:link w:val="PlainText"/>
    <w:qFormat/>
    <w:rPr>
      <w:rFonts w:ascii="Calibri" w:hAnsi="Calibri" w:eastAsia="Calibri" w:cs="Times New Roman"/>
      <w:szCs w:val="21"/>
      <w:lang w:val="x-none"/>
    </w:rPr>
  </w:style>
  <w:style w:type="character" w:styleId="Name">
    <w:name w:val="name"/>
    <w:qFormat/>
    <w:rPr/>
  </w:style>
  <w:style w:type="character" w:styleId="Extended-textshort">
    <w:name w:val="extended-text__short"/>
    <w:qFormat/>
    <w:rPr/>
  </w:style>
  <w:style w:type="character" w:styleId="FollowedHyperlink">
    <w:name w:val="FollowedHyperlink"/>
    <w:rPr>
      <w:color w:val="800080"/>
      <w:u w:val="single"/>
    </w:rPr>
  </w:style>
  <w:style w:type="character" w:styleId="Productcode">
    <w:name w:val="product_code"/>
    <w:qFormat/>
    <w:rPr/>
  </w:style>
  <w:style w:type="character" w:styleId="Add-data-value">
    <w:name w:val="add-data-value"/>
    <w:basedOn w:val="DefaultParagraphFont"/>
    <w:qFormat/>
    <w:rPr/>
  </w:style>
  <w:style w:type="character" w:styleId="Extendedtext-short">
    <w:name w:val="extendedtext-short"/>
    <w:qFormat/>
    <w:rPr/>
  </w:style>
  <w:style w:type="character" w:styleId="Strong2">
    <w:name w:val="Strong2"/>
    <w:qFormat/>
    <w:rPr>
      <w:b/>
      <w:bCs/>
    </w:rPr>
  </w:style>
  <w:style w:type="character" w:styleId="UnresolvedMention">
    <w:name w:val="Unresolved Mention"/>
    <w:basedOn w:val="DefaultParagraphFont"/>
    <w:qFormat/>
    <w:rPr>
      <w:color w:val="605E5C"/>
      <w:shd w:fill="E1DFDD" w:val="clear"/>
    </w:rPr>
  </w:style>
  <w:style w:type="character" w:styleId="Style19">
    <w:name w:val="РГ_номер текста табл Знак"/>
    <w:basedOn w:val="DefaultParagraphFont"/>
    <w:qFormat/>
    <w:rPr>
      <w:rFonts w:ascii="Calibri" w:hAnsi="Calibri" w:eastAsia="Calibri" w:cs="Calibri"/>
      <w:sz w:val="24"/>
      <w:szCs w:val="22"/>
      <w:lang w:eastAsia="en-US"/>
    </w:rPr>
  </w:style>
  <w:style w:type="character" w:styleId="34">
    <w:name w:val="Неразрешенное упоминание3"/>
    <w:basedOn w:val="DefaultParagraphFont"/>
    <w:qFormat/>
    <w:rPr>
      <w:color w:val="605E5C"/>
      <w:shd w:fill="E1DFDD" w:val="clear"/>
    </w:rPr>
  </w:style>
  <w:style w:type="character" w:styleId="25">
    <w:name w:val="Неразрешенное упоминание2"/>
    <w:basedOn w:val="DefaultParagraphFont"/>
    <w:qFormat/>
    <w:rPr>
      <w:color w:val="605E5C"/>
      <w:shd w:fill="E1DFDD" w:val="clear"/>
    </w:rPr>
  </w:style>
  <w:style w:type="character" w:styleId="Style20">
    <w:name w:val="Заголовок Знак"/>
    <w:basedOn w:val="DefaultParagraphFont"/>
    <w:qFormat/>
    <w:rPr>
      <w:b/>
      <w:sz w:val="28"/>
      <w:szCs w:val="28"/>
    </w:rPr>
  </w:style>
  <w:style w:type="character" w:styleId="Style21">
    <w:name w:val="Основной текст_"/>
    <w:qFormat/>
    <w:rPr>
      <w:rFonts w:ascii="Times New Roman" w:hAnsi="Times New Roman" w:eastAsia="Times New Roman" w:cs="Times New Roman"/>
      <w:sz w:val="23"/>
      <w:szCs w:val="23"/>
      <w:shd w:fill="FFFFFF" w:val="clear"/>
    </w:rPr>
  </w:style>
  <w:style w:type="character" w:styleId="2-2">
    <w:name w:val="Средняя сетка 2 - Акцент 2 Знак"/>
    <w:qFormat/>
    <w:rPr>
      <w:rFonts w:ascii="Times New Roman" w:hAnsi="Times New Roman" w:eastAsia="Times New Roman" w:cs="Times New Roman"/>
      <w:i/>
      <w:iCs/>
      <w:color w:val="000000"/>
      <w:sz w:val="28"/>
      <w:szCs w:val="20"/>
      <w:lang w:eastAsia="ru-RU"/>
    </w:rPr>
  </w:style>
  <w:style w:type="character" w:styleId="Style22">
    <w:name w:val="Пункт Знак"/>
    <w:qFormat/>
    <w:rPr>
      <w:sz w:val="28"/>
      <w:lang w:val="ru-RU" w:eastAsia="ru-RU" w:bidi="ar-SA"/>
    </w:rPr>
  </w:style>
  <w:style w:type="character" w:styleId="Style23">
    <w:name w:val="Схема документа Знак"/>
    <w:qFormat/>
    <w:rPr>
      <w:rFonts w:ascii="Tahoma" w:hAnsi="Tahoma" w:eastAsia="Times New Roman" w:cs="Times New Roman"/>
      <w:sz w:val="20"/>
      <w:szCs w:val="20"/>
      <w:shd w:fill="000080" w:val="clear"/>
      <w:lang w:eastAsia="ru-RU"/>
    </w:rPr>
  </w:style>
  <w:style w:type="character" w:styleId="211">
    <w:name w:val="Заголовок 2 Знак1"/>
    <w:qFormat/>
    <w:rPr>
      <w:b/>
      <w:sz w:val="32"/>
    </w:rPr>
  </w:style>
  <w:style w:type="character" w:styleId="Strong">
    <w:name w:val="Strong"/>
    <w:qFormat/>
    <w:rPr>
      <w:b/>
      <w:bCs/>
    </w:rPr>
  </w:style>
  <w:style w:type="paragraph" w:styleId="Style2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link w:val="Style6"/>
    <w:pPr>
      <w:spacing w:before="0" w:after="120"/>
    </w:pPr>
    <w:rPr>
      <w:rFonts w:eastAsia="Times New Roman" w:cs="Times New Roman"/>
      <w:sz w:val="28"/>
      <w:szCs w:val="28"/>
      <w:lang w:eastAsia="ru-RU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">
    <w:name w:val="index heading1"/>
    <w:basedOn w:val="Title"/>
    <w:qFormat/>
    <w:pPr/>
    <w:rPr/>
  </w:style>
  <w:style w:type="paragraph" w:styleId="Caption11">
    <w:name w:val="caption11"/>
    <w:basedOn w:val="Normal"/>
    <w:qFormat/>
    <w:pPr>
      <w:suppressLineNumbers/>
      <w:spacing w:before="120" w:after="120"/>
    </w:pPr>
    <w:rPr>
      <w:rFonts w:cs="Arial Unicode MS"/>
      <w:i/>
      <w:iCs/>
      <w:szCs w:val="24"/>
    </w:rPr>
  </w:style>
  <w:style w:type="paragraph" w:styleId="Indexheading11">
    <w:name w:val="index heading11"/>
    <w:basedOn w:val="Title"/>
    <w:qFormat/>
    <w:pPr/>
    <w:rPr/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styleId="Indexheading111">
    <w:name w:val="index heading111"/>
    <w:basedOn w:val="Title"/>
    <w:qFormat/>
    <w:pPr/>
    <w:rPr/>
  </w:style>
  <w:style w:type="paragraph" w:styleId="Caption1111">
    <w:name w:val="caption1111"/>
    <w:basedOn w:val="Normal"/>
    <w:next w:val="Normal"/>
    <w:qFormat/>
    <w:pPr/>
    <w:rPr>
      <w:rFonts w:cs="Times New Roman"/>
      <w:b/>
      <w:bCs/>
      <w:color w:val="4F81BD"/>
      <w:sz w:val="18"/>
      <w:szCs w:val="18"/>
      <w:lang w:eastAsia="ru-RU"/>
    </w:rPr>
  </w:style>
  <w:style w:type="paragraph" w:styleId="Indexheading1111">
    <w:name w:val="index heading1111"/>
    <w:basedOn w:val="Title"/>
    <w:qFormat/>
    <w:pPr/>
    <w:rPr/>
  </w:style>
  <w:style w:type="paragraph" w:styleId="Style26">
    <w:name w:val="Раздел положения"/>
    <w:basedOn w:val="Normal"/>
    <w:autoRedefine/>
    <w:qFormat/>
    <w:pPr>
      <w:numPr>
        <w:ilvl w:val="0"/>
        <w:numId w:val="2"/>
      </w:numPr>
      <w:spacing w:before="80" w:after="80"/>
      <w:jc w:val="center"/>
    </w:pPr>
    <w:rPr>
      <w:rFonts w:eastAsia="Times New Roman" w:cs="Times New Roman"/>
      <w:b/>
      <w:sz w:val="32"/>
      <w:szCs w:val="32"/>
      <w:lang w:eastAsia="ru-RU"/>
    </w:rPr>
  </w:style>
  <w:style w:type="paragraph" w:styleId="Style27">
    <w:name w:val="Подраздел раздела положения"/>
    <w:basedOn w:val="Normal"/>
    <w:autoRedefine/>
    <w:qFormat/>
    <w:pPr>
      <w:numPr>
        <w:ilvl w:val="1"/>
        <w:numId w:val="2"/>
      </w:numPr>
      <w:spacing w:before="80" w:after="80"/>
      <w:jc w:val="both"/>
    </w:pPr>
    <w:rPr>
      <w:rFonts w:eastAsia="Times New Roman" w:cs="Times New Roman"/>
      <w:sz w:val="28"/>
      <w:szCs w:val="28"/>
      <w:lang w:eastAsia="ru-RU"/>
    </w:rPr>
  </w:style>
  <w:style w:type="paragraph" w:styleId="Style28">
    <w:name w:val="Таблица шапка"/>
    <w:basedOn w:val="Normal"/>
    <w:qFormat/>
    <w:pPr>
      <w:keepNext w:val="true"/>
      <w:spacing w:before="40" w:after="40"/>
      <w:ind w:left="57" w:right="57" w:hanging="0"/>
    </w:pPr>
    <w:rPr>
      <w:rFonts w:eastAsia="Times New Roman" w:cs="Times New Roman"/>
      <w:sz w:val="22"/>
      <w:szCs w:val="26"/>
      <w:lang w:eastAsia="ru-RU"/>
    </w:rPr>
  </w:style>
  <w:style w:type="paragraph" w:styleId="Style29">
    <w:name w:val="Название раздела инструкции"/>
    <w:basedOn w:val="Normal"/>
    <w:autoRedefine/>
    <w:qFormat/>
    <w:pPr>
      <w:jc w:val="center"/>
    </w:pPr>
    <w:rPr>
      <w:rFonts w:eastAsia="Times New Roman" w:cs="Times New Roman"/>
      <w:b/>
      <w:sz w:val="28"/>
      <w:szCs w:val="28"/>
      <w:lang w:eastAsia="ru-RU"/>
    </w:rPr>
  </w:style>
  <w:style w:type="paragraph" w:styleId="FootnoteText">
    <w:name w:val="Footnote Text"/>
    <w:basedOn w:val="Normal"/>
    <w:link w:val="Style1"/>
    <w:pPr/>
    <w:rPr>
      <w:rFonts w:eastAsia="Times New Roman" w:cs="Times New Roman"/>
      <w:sz w:val="20"/>
      <w:szCs w:val="20"/>
      <w:lang w:eastAsia="ru-RU"/>
    </w:rPr>
  </w:style>
  <w:style w:type="paragraph" w:styleId="14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rFonts w:eastAsia="Times New Roman" w:cs="Times New Roman"/>
      <w:sz w:val="22"/>
      <w:lang w:eastAsia="ru-RU"/>
    </w:rPr>
  </w:style>
  <w:style w:type="paragraph" w:styleId="26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rFonts w:eastAsia="Times New Roman" w:cs="Times New Roman"/>
      <w:b/>
      <w:sz w:val="22"/>
      <w:lang w:eastAsia="ru-RU"/>
    </w:rPr>
  </w:style>
  <w:style w:type="paragraph" w:styleId="35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rFonts w:eastAsia="Times New Roman" w:cs="Times New Roman"/>
      <w:b/>
      <w:szCs w:val="24"/>
      <w:lang w:eastAsia="ru-RU"/>
    </w:rPr>
  </w:style>
  <w:style w:type="paragraph" w:styleId="15">
    <w:name w:val="Название1"/>
    <w:basedOn w:val="Normal"/>
    <w:link w:val="Style10"/>
    <w:qFormat/>
    <w:pPr>
      <w:jc w:val="center"/>
    </w:pPr>
    <w:rPr>
      <w:rFonts w:eastAsia="Times New Roman" w:cs="Times New Roman"/>
      <w:sz w:val="28"/>
      <w:szCs w:val="20"/>
      <w:lang w:val="x-none" w:eastAsia="x-none"/>
    </w:rPr>
  </w:style>
  <w:style w:type="paragraph" w:styleId="Style30">
    <w:name w:val="Колонтитул"/>
    <w:basedOn w:val="Normal"/>
    <w:qFormat/>
    <w:pPr/>
    <w:rPr/>
  </w:style>
  <w:style w:type="paragraph" w:styleId="Header">
    <w:name w:val="Header"/>
    <w:basedOn w:val="Normal"/>
    <w:link w:val="Style3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Cs w:val="24"/>
      <w:lang w:eastAsia="ru-RU"/>
    </w:rPr>
  </w:style>
  <w:style w:type="paragraph" w:styleId="BodyTextIndent">
    <w:name w:val="Body Text Indent"/>
    <w:basedOn w:val="Normal"/>
    <w:link w:val="Style4"/>
    <w:pPr>
      <w:ind w:left="360" w:right="0" w:hanging="0"/>
    </w:pPr>
    <w:rPr>
      <w:rFonts w:eastAsia="Times New Roman" w:cs="Times New Roman"/>
      <w:szCs w:val="24"/>
      <w:lang w:eastAsia="ru-RU"/>
    </w:rPr>
  </w:style>
  <w:style w:type="paragraph" w:styleId="Footer">
    <w:name w:val="Footer"/>
    <w:basedOn w:val="Normal"/>
    <w:link w:val="Style5"/>
    <w:pPr>
      <w:tabs>
        <w:tab w:val="clear" w:pos="708"/>
        <w:tab w:val="center" w:pos="4677" w:leader="none"/>
        <w:tab w:val="right" w:pos="9355" w:leader="none"/>
      </w:tabs>
    </w:pPr>
    <w:rPr>
      <w:rFonts w:eastAsia="Times New Roman" w:cs="Times New Roman"/>
      <w:sz w:val="28"/>
      <w:szCs w:val="28"/>
      <w:lang w:eastAsia="ru-RU"/>
    </w:rPr>
  </w:style>
  <w:style w:type="paragraph" w:styleId="BodyTextIndent2">
    <w:name w:val="Body Text Indent 2"/>
    <w:basedOn w:val="Normal"/>
    <w:link w:val="21"/>
    <w:qFormat/>
    <w:pPr>
      <w:spacing w:lineRule="auto" w:line="480" w:before="0" w:after="120"/>
      <w:ind w:left="283" w:right="0" w:hanging="0"/>
    </w:pPr>
    <w:rPr>
      <w:rFonts w:eastAsia="Times New Roman" w:cs="Times New Roman"/>
      <w:sz w:val="28"/>
      <w:szCs w:val="28"/>
      <w:lang w:eastAsia="ru-RU"/>
    </w:rPr>
  </w:style>
  <w:style w:type="paragraph" w:styleId="BodyText3">
    <w:name w:val="Body Text 3"/>
    <w:basedOn w:val="Normal"/>
    <w:link w:val="31"/>
    <w:qFormat/>
    <w:pPr>
      <w:spacing w:before="0" w:after="120"/>
    </w:pPr>
    <w:rPr>
      <w:rFonts w:eastAsia="Times New Roman" w:cs="Times New Roman"/>
      <w:sz w:val="16"/>
      <w:szCs w:val="16"/>
      <w:lang w:eastAsia="ru-RU"/>
    </w:rPr>
  </w:style>
  <w:style w:type="paragraph" w:styleId="BodyTextIndent3">
    <w:name w:val="Body Text Indent 3"/>
    <w:basedOn w:val="Normal"/>
    <w:link w:val="32"/>
    <w:qFormat/>
    <w:pPr>
      <w:spacing w:before="0" w:after="120"/>
      <w:ind w:left="283" w:right="0" w:hanging="0"/>
    </w:pPr>
    <w:rPr>
      <w:rFonts w:eastAsia="Times New Roman" w:cs="Times New Roman"/>
      <w:sz w:val="16"/>
      <w:szCs w:val="16"/>
      <w:lang w:eastAsia="ru-RU"/>
    </w:rPr>
  </w:style>
  <w:style w:type="paragraph" w:styleId="BodyText2">
    <w:name w:val="Body Text 2"/>
    <w:basedOn w:val="Normal"/>
    <w:link w:val="22"/>
    <w:qFormat/>
    <w:pPr>
      <w:spacing w:lineRule="auto" w:line="480" w:before="0" w:after="120"/>
    </w:pPr>
    <w:rPr>
      <w:rFonts w:eastAsia="Times New Roman" w:cs="Times New Roman"/>
      <w:sz w:val="28"/>
      <w:szCs w:val="28"/>
      <w:lang w:eastAsia="ru-RU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rFonts w:eastAsia="Times New Roman" w:cs="Times New Roman"/>
      <w:b/>
      <w:bCs/>
      <w:szCs w:val="20"/>
      <w:lang w:eastAsia="ru-RU"/>
    </w:rPr>
  </w:style>
  <w:style w:type="paragraph" w:styleId="Style31">
    <w:name w:val="Подпункт"/>
    <w:basedOn w:val="Normal"/>
    <w:link w:val="11"/>
    <w:qFormat/>
    <w:pPr>
      <w:tabs>
        <w:tab w:val="clear" w:pos="708"/>
        <w:tab w:val="left" w:pos="1134" w:leader="none"/>
      </w:tabs>
      <w:snapToGrid w:val="false"/>
      <w:spacing w:lineRule="auto" w:line="360"/>
      <w:ind w:left="1134" w:right="0" w:hanging="1134"/>
      <w:jc w:val="both"/>
    </w:pPr>
    <w:rPr>
      <w:rFonts w:eastAsia="Times New Roman" w:cs="Times New Roman"/>
      <w:sz w:val="28"/>
      <w:szCs w:val="20"/>
      <w:lang w:val="x-none" w:eastAsia="x-none"/>
    </w:rPr>
  </w:style>
  <w:style w:type="paragraph" w:styleId="27">
    <w:name w:val="Пункт2"/>
    <w:basedOn w:val="Normal"/>
    <w:link w:val="24"/>
    <w:qFormat/>
    <w:pPr>
      <w:keepNext w:val="true"/>
      <w:numPr>
        <w:ilvl w:val="0"/>
        <w:numId w:val="0"/>
      </w:numPr>
      <w:tabs>
        <w:tab w:val="clear" w:pos="708"/>
        <w:tab w:val="left" w:pos="1134" w:leader="none"/>
      </w:tabs>
      <w:snapToGrid w:val="false"/>
      <w:spacing w:before="240" w:after="120"/>
      <w:ind w:left="1134" w:right="0" w:hanging="1134"/>
      <w:outlineLvl w:val="2"/>
    </w:pPr>
    <w:rPr>
      <w:rFonts w:eastAsia="Times New Roman" w:cs="Times New Roman"/>
      <w:b/>
      <w:sz w:val="28"/>
      <w:szCs w:val="20"/>
      <w:lang w:eastAsia="ru-RU"/>
    </w:rPr>
  </w:style>
  <w:style w:type="paragraph" w:styleId="TOC1">
    <w:name w:val="TOC 1"/>
    <w:basedOn w:val="Normal"/>
    <w:next w:val="Normal"/>
    <w:autoRedefine/>
    <w:pPr>
      <w:spacing w:before="120" w:after="0"/>
    </w:pPr>
    <w:rPr>
      <w:rFonts w:eastAsia="Times New Roman" w:cs="Calibri Light (Заголовки)"/>
      <w:b/>
      <w:bCs/>
      <w:szCs w:val="24"/>
      <w:lang w:eastAsia="ru-RU"/>
    </w:rPr>
  </w:style>
  <w:style w:type="paragraph" w:styleId="TOC3">
    <w:name w:val="TOC 3"/>
    <w:basedOn w:val="Normal"/>
    <w:next w:val="Normal"/>
    <w:autoRedefine/>
    <w:pPr>
      <w:ind w:left="280" w:right="0" w:hanging="0"/>
    </w:pPr>
    <w:rPr>
      <w:rFonts w:eastAsia="Times New Roman" w:cs="Calibri"/>
      <w:sz w:val="20"/>
      <w:szCs w:val="20"/>
      <w:lang w:eastAsia="ru-RU"/>
    </w:rPr>
  </w:style>
  <w:style w:type="paragraph" w:styleId="Style32">
    <w:name w:val="Раздел регламента"/>
    <w:basedOn w:val="Normal"/>
    <w:qFormat/>
    <w:pPr/>
    <w:rPr>
      <w:rFonts w:eastAsia="Times New Roman" w:cs="Times New Roman"/>
      <w:sz w:val="28"/>
      <w:szCs w:val="28"/>
      <w:lang w:eastAsia="ru-RU"/>
    </w:rPr>
  </w:style>
  <w:style w:type="paragraph" w:styleId="Style33">
    <w:name w:val="Приложение к регламенту"/>
    <w:basedOn w:val="Normal"/>
    <w:qFormat/>
    <w:pPr>
      <w:jc w:val="right"/>
    </w:pPr>
    <w:rPr>
      <w:rFonts w:eastAsia="Times New Roman" w:cs="Times New Roman"/>
      <w:sz w:val="28"/>
      <w:szCs w:val="28"/>
      <w:lang w:eastAsia="ru-RU"/>
    </w:rPr>
  </w:style>
  <w:style w:type="paragraph" w:styleId="TOC2">
    <w:name w:val="TOC 2"/>
    <w:basedOn w:val="Normal"/>
    <w:next w:val="Normal"/>
    <w:autoRedefine/>
    <w:pPr>
      <w:spacing w:before="240" w:after="0"/>
    </w:pPr>
    <w:rPr>
      <w:rFonts w:eastAsia="Times New Roman" w:cs="Calibri"/>
      <w:b/>
      <w:bCs/>
      <w:sz w:val="20"/>
      <w:szCs w:val="20"/>
      <w:lang w:eastAsia="ru-RU"/>
    </w:rPr>
  </w:style>
  <w:style w:type="paragraph" w:styleId="BalloonText">
    <w:name w:val="Balloon Text"/>
    <w:basedOn w:val="Normal"/>
    <w:link w:val="Style7"/>
    <w:qFormat/>
    <w:pPr/>
    <w:rPr>
      <w:rFonts w:ascii="Tahoma" w:hAnsi="Tahoma" w:eastAsia="Times New Roman"/>
      <w:sz w:val="16"/>
      <w:szCs w:val="16"/>
      <w:lang w:eastAsia="ru-RU"/>
    </w:rPr>
  </w:style>
  <w:style w:type="paragraph" w:styleId="Annotationtext">
    <w:name w:val="annotation text"/>
    <w:basedOn w:val="Normal"/>
    <w:link w:val="Style8"/>
    <w:qFormat/>
    <w:pPr/>
    <w:rPr>
      <w:rFonts w:eastAsia="Times New Roman" w:cs="Times New Roman"/>
      <w:sz w:val="20"/>
      <w:szCs w:val="20"/>
      <w:lang w:eastAsia="ru-RU"/>
    </w:rPr>
  </w:style>
  <w:style w:type="paragraph" w:styleId="Annotationsubject">
    <w:name w:val="annotation subject"/>
    <w:basedOn w:val="Annotationtext"/>
    <w:next w:val="Annotationtext"/>
    <w:link w:val="Style9"/>
    <w:qFormat/>
    <w:pPr/>
    <w:rPr>
      <w:b/>
      <w:bCs/>
    </w:rPr>
  </w:style>
  <w:style w:type="paragraph" w:styleId="16">
    <w:name w:val="Обычный (веб)1"/>
    <w:basedOn w:val="Normal"/>
    <w:qFormat/>
    <w:pPr>
      <w:spacing w:before="280" w:after="280"/>
    </w:pPr>
    <w:rPr>
      <w:rFonts w:ascii="Arial Unicode MS" w:hAnsi="Arial Unicode MS" w:eastAsia="Arial Unicode MS" w:cs="Arial Unicode MS"/>
      <w:szCs w:val="24"/>
      <w:lang w:eastAsia="ru-RU"/>
    </w:rPr>
  </w:style>
  <w:style w:type="paragraph" w:styleId="TOC9">
    <w:name w:val="TOC 9"/>
    <w:basedOn w:val="Normal"/>
    <w:next w:val="Normal"/>
    <w:autoRedefine/>
    <w:pPr>
      <w:ind w:left="196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5">
    <w:name w:val="TOC 5"/>
    <w:basedOn w:val="Normal"/>
    <w:next w:val="Normal"/>
    <w:autoRedefine/>
    <w:pPr>
      <w:ind w:left="84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4">
    <w:name w:val="TOC 4"/>
    <w:basedOn w:val="Normal"/>
    <w:next w:val="Normal"/>
    <w:autoRedefine/>
    <w:pPr>
      <w:ind w:left="560" w:right="0" w:hanging="0"/>
    </w:pPr>
    <w:rPr>
      <w:rFonts w:eastAsia="Times New Roman" w:cs="Calibri"/>
      <w:sz w:val="20"/>
      <w:szCs w:val="20"/>
      <w:lang w:eastAsia="ru-RU"/>
    </w:rPr>
  </w:style>
  <w:style w:type="paragraph" w:styleId="28">
    <w:name w:val="Раздел положения 2"/>
    <w:basedOn w:val="Normal"/>
    <w:qFormat/>
    <w:pPr>
      <w:pageBreakBefore/>
      <w:numPr>
        <w:ilvl w:val="0"/>
        <w:numId w:val="0"/>
      </w:numPr>
      <w:jc w:val="both"/>
      <w:outlineLvl w:val="0"/>
    </w:pPr>
    <w:rPr>
      <w:rFonts w:eastAsia="Times New Roman" w:cs="Times New Roman"/>
      <w:b/>
      <w:sz w:val="28"/>
      <w:szCs w:val="28"/>
      <w:lang w:eastAsia="ru-RU"/>
    </w:rPr>
  </w:style>
  <w:style w:type="paragraph" w:styleId="Style34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Times New Roman"/>
      <w:sz w:val="22"/>
      <w:szCs w:val="20"/>
      <w:lang w:val="en-US"/>
    </w:rPr>
  </w:style>
  <w:style w:type="paragraph" w:styleId="NoSpacing">
    <w:name w:val="No Spacing"/>
    <w:basedOn w:val="Normal"/>
    <w:qFormat/>
    <w:pPr>
      <w:spacing w:lineRule="auto" w:line="360"/>
    </w:pPr>
    <w:rPr>
      <w:rFonts w:cs="Times New Roman"/>
      <w:szCs w:val="24"/>
      <w:lang w:eastAsia="ru-RU"/>
    </w:rPr>
  </w:style>
  <w:style w:type="paragraph" w:styleId="Subtitle">
    <w:name w:val="Subtitle"/>
    <w:basedOn w:val="Normal"/>
    <w:next w:val="Normal"/>
    <w:link w:val="Style11"/>
    <w:qFormat/>
    <w:pPr>
      <w:ind w:left="1066" w:right="0" w:firstLine="709"/>
    </w:pPr>
    <w:rPr>
      <w:rFonts w:ascii="Cambria" w:hAnsi="Cambria" w:eastAsia="Times New Roman" w:cs="Times New Roman"/>
      <w:i/>
      <w:iCs/>
      <w:color w:val="4F81BD"/>
      <w:spacing w:val="15"/>
      <w:szCs w:val="24"/>
      <w:lang w:val="x-none" w:eastAsia="x-none"/>
    </w:rPr>
  </w:style>
  <w:style w:type="paragraph" w:styleId="ListParagraph">
    <w:name w:val="List Paragraph"/>
    <w:basedOn w:val="Normal"/>
    <w:link w:val="Style14"/>
    <w:qFormat/>
    <w:pPr>
      <w:spacing w:before="0" w:after="0"/>
      <w:ind w:left="720" w:right="0" w:hanging="0"/>
      <w:contextualSpacing/>
    </w:pPr>
    <w:rPr>
      <w:rFonts w:cs="Times New Roman"/>
      <w:szCs w:val="24"/>
      <w:lang w:eastAsia="ru-RU"/>
    </w:rPr>
  </w:style>
  <w:style w:type="paragraph" w:styleId="Quote">
    <w:name w:val="Quote"/>
    <w:basedOn w:val="Normal"/>
    <w:next w:val="Normal"/>
    <w:link w:val="23"/>
    <w:qFormat/>
    <w:pPr/>
    <w:rPr>
      <w:rFonts w:ascii="Calibri" w:hAnsi="Calibri" w:cs="Times New Roman"/>
      <w:i/>
      <w:iCs/>
      <w:color w:val="000000"/>
      <w:sz w:val="20"/>
      <w:szCs w:val="20"/>
      <w:lang w:val="x-none" w:eastAsia="x-none"/>
    </w:rPr>
  </w:style>
  <w:style w:type="paragraph" w:styleId="IntenseQuote">
    <w:name w:val="Intense Quote"/>
    <w:basedOn w:val="Normal"/>
    <w:next w:val="Normal"/>
    <w:link w:val="Style12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cs="Times New Roman"/>
      <w:b/>
      <w:bCs/>
      <w:i/>
      <w:iCs/>
      <w:color w:val="4F81BD"/>
      <w:sz w:val="20"/>
      <w:szCs w:val="20"/>
      <w:lang w:val="x-none" w:eastAsia="x-none"/>
    </w:rPr>
  </w:style>
  <w:style w:type="paragraph" w:styleId="IndexHeading">
    <w:name w:val="Index Heading"/>
    <w:basedOn w:val="Style24"/>
    <w:pPr/>
    <w:rPr/>
  </w:style>
  <w:style w:type="paragraph" w:styleId="TOCHeading">
    <w:name w:val="TOC Heading"/>
    <w:basedOn w:val="Heading1"/>
    <w:next w:val="Normal"/>
    <w:qFormat/>
    <w:pPr>
      <w:keepLines/>
      <w:tabs>
        <w:tab w:val="clear" w:pos="0"/>
        <w:tab w:val="left" w:pos="709" w:leader="none"/>
      </w:tabs>
      <w:spacing w:before="480" w:after="0"/>
      <w:ind w:left="3196" w:right="0" w:hanging="360"/>
      <w:outlineLvl w:val="9"/>
    </w:pPr>
    <w:rPr>
      <w:rFonts w:ascii="Cambria" w:hAnsi="Cambria"/>
      <w:bCs/>
      <w:color w:val="365F91"/>
    </w:rPr>
  </w:style>
  <w:style w:type="paragraph" w:styleId="E-mailSignature">
    <w:name w:val="E-mail Signature"/>
    <w:basedOn w:val="Normal"/>
    <w:link w:val="Style13"/>
    <w:qFormat/>
    <w:pPr/>
    <w:rPr>
      <w:rFonts w:cs="Times New Roman"/>
      <w:szCs w:val="24"/>
      <w:lang w:val="x-none" w:eastAsia="x-none"/>
    </w:rPr>
  </w:style>
  <w:style w:type="paragraph" w:styleId="Style35">
    <w:name w:val="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36">
    <w:name w:val="Нумерованный список ур3"/>
    <w:basedOn w:val="Normal"/>
    <w:qFormat/>
    <w:pPr>
      <w:numPr>
        <w:ilvl w:val="2"/>
        <w:numId w:val="3"/>
      </w:numPr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311">
    <w:name w:val="Список 31"/>
    <w:basedOn w:val="Normal"/>
    <w:qFormat/>
    <w:pPr>
      <w:numPr>
        <w:ilvl w:val="0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29">
    <w:name w:val="Нумерованный список ур2"/>
    <w:basedOn w:val="Normal"/>
    <w:qFormat/>
    <w:pPr>
      <w:numPr>
        <w:ilvl w:val="1"/>
        <w:numId w:val="3"/>
      </w:numPr>
      <w:spacing w:before="120" w:after="0"/>
      <w:jc w:val="both"/>
    </w:pPr>
    <w:rPr>
      <w:rFonts w:ascii="Garamond" w:hAnsi="Garamond" w:eastAsia="Times New Roman" w:cs="Times New Roman"/>
      <w:szCs w:val="20"/>
      <w:lang w:eastAsia="ru-RU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ru-RU" w:bidi="ar-SA"/>
    </w:rPr>
  </w:style>
  <w:style w:type="paragraph" w:styleId="37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eastAsia="Times New Roman" w:cs="Verdana"/>
      <w:sz w:val="22"/>
      <w:lang w:val="en-US"/>
    </w:rPr>
  </w:style>
  <w:style w:type="paragraph" w:styleId="Style36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eastAsia="Times New Roman" w:cs="Times New Roman"/>
      <w:b/>
      <w:i/>
      <w:sz w:val="28"/>
      <w:szCs w:val="20"/>
      <w:lang w:eastAsia="ru-RU"/>
    </w:rPr>
  </w:style>
  <w:style w:type="paragraph" w:styleId="17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eastAsia="Times New Roman" w:cs="Times New Roman"/>
      <w:sz w:val="22"/>
    </w:rPr>
  </w:style>
  <w:style w:type="paragraph" w:styleId="Style37">
    <w:name w:val="Таблица"/>
    <w:basedOn w:val="Normal"/>
    <w:qFormat/>
    <w:pPr>
      <w:keepNext w:val="true"/>
      <w:spacing w:before="60" w:after="60"/>
      <w:jc w:val="center"/>
    </w:pPr>
    <w:rPr>
      <w:rFonts w:cs="Times New Roman"/>
      <w:b/>
      <w:szCs w:val="24"/>
      <w:lang w:val="x-none" w:eastAsia="x-none"/>
    </w:rPr>
  </w:style>
  <w:style w:type="paragraph" w:styleId="Style38">
    <w:name w:val="Подподпункт"/>
    <w:basedOn w:val="Style31"/>
    <w:link w:val="Style15"/>
    <w:qFormat/>
    <w:pPr>
      <w:tabs>
        <w:tab w:val="clear" w:pos="1134"/>
        <w:tab w:val="left" w:pos="5104" w:leader="none"/>
      </w:tabs>
      <w:snapToGrid w:val="true"/>
      <w:spacing w:lineRule="auto" w:line="240" w:before="120" w:after="0"/>
      <w:ind w:left="5104" w:right="0" w:hanging="567"/>
    </w:pPr>
    <w:rPr>
      <w:sz w:val="26"/>
      <w:szCs w:val="26"/>
      <w:lang w:val="ru-RU" w:eastAsia="ru-RU"/>
    </w:rPr>
  </w:style>
  <w:style w:type="paragraph" w:styleId="Style39">
    <w:name w:val="УРОВЕНЬ_(а)"/>
    <w:basedOn w:val="ListParagraph"/>
    <w:qFormat/>
    <w:pPr>
      <w:numPr>
        <w:ilvl w:val="3"/>
        <w:numId w:val="4"/>
      </w:numPr>
      <w:spacing w:lineRule="exact" w:line="360" w:before="120" w:after="0"/>
      <w:ind w:left="1728" w:right="0" w:hanging="648"/>
      <w:contextualSpacing w:val="false"/>
      <w:jc w:val="both"/>
      <w:outlineLvl w:val="3"/>
    </w:pPr>
    <w:rPr>
      <w:sz w:val="26"/>
      <w:szCs w:val="28"/>
      <w:lang w:eastAsia="en-US"/>
    </w:rPr>
  </w:style>
  <w:style w:type="paragraph" w:styleId="-">
    <w:name w:val="УРОВЕНЬ_-"/>
    <w:basedOn w:val="ListParagraph"/>
    <w:qFormat/>
    <w:pPr>
      <w:numPr>
        <w:ilvl w:val="4"/>
        <w:numId w:val="4"/>
      </w:numPr>
      <w:spacing w:lineRule="exact" w:line="360" w:before="120" w:after="0"/>
      <w:ind w:left="2232" w:right="0" w:hanging="792"/>
      <w:contextualSpacing w:val="false"/>
      <w:jc w:val="both"/>
      <w:outlineLvl w:val="4"/>
    </w:pPr>
    <w:rPr>
      <w:sz w:val="26"/>
      <w:szCs w:val="28"/>
      <w:lang w:eastAsia="en-US"/>
    </w:rPr>
  </w:style>
  <w:style w:type="paragraph" w:styleId="210">
    <w:name w:val="УРОВЕНЬ_Абзац_тип2"/>
    <w:basedOn w:val="ListParagraph"/>
    <w:qFormat/>
    <w:pPr>
      <w:numPr>
        <w:ilvl w:val="6"/>
        <w:numId w:val="4"/>
      </w:numPr>
      <w:spacing w:lineRule="exact" w:line="360" w:before="120" w:after="0"/>
      <w:ind w:left="3240" w:right="0" w:hanging="1080"/>
      <w:contextualSpacing w:val="false"/>
      <w:jc w:val="both"/>
    </w:pPr>
    <w:rPr>
      <w:sz w:val="26"/>
      <w:szCs w:val="28"/>
      <w:lang w:eastAsia="en-US"/>
    </w:rPr>
  </w:style>
  <w:style w:type="paragraph" w:styleId="38">
    <w:name w:val="УРОВЕНЬ_Абзац_тип3"/>
    <w:basedOn w:val="ListParagraph"/>
    <w:link w:val="33"/>
    <w:qFormat/>
    <w:pPr>
      <w:numPr>
        <w:ilvl w:val="7"/>
        <w:numId w:val="4"/>
      </w:numPr>
      <w:spacing w:lineRule="exact" w:line="360" w:before="120" w:after="0"/>
      <w:contextualSpacing w:val="false"/>
      <w:jc w:val="both"/>
    </w:pPr>
    <w:rPr>
      <w:sz w:val="26"/>
      <w:szCs w:val="28"/>
      <w:lang w:eastAsia="en-US"/>
    </w:rPr>
  </w:style>
  <w:style w:type="paragraph" w:styleId="Style40">
    <w:name w:val="УРОВЕНЬ_Подпись"/>
    <w:basedOn w:val="ListParagraph"/>
    <w:qFormat/>
    <w:pPr>
      <w:keepNext w:val="true"/>
      <w:numPr>
        <w:ilvl w:val="5"/>
        <w:numId w:val="4"/>
      </w:numPr>
      <w:spacing w:lineRule="exact" w:line="360" w:before="120" w:after="120"/>
      <w:ind w:left="2736" w:right="0" w:hanging="936"/>
      <w:contextualSpacing w:val="false"/>
      <w:jc w:val="right"/>
      <w:outlineLvl w:val="3"/>
    </w:pPr>
    <w:rPr>
      <w:sz w:val="26"/>
      <w:szCs w:val="28"/>
      <w:lang w:eastAsia="en-US"/>
    </w:rPr>
  </w:style>
  <w:style w:type="paragraph" w:styleId="18">
    <w:name w:val="Стиль Заголовок 1 + по ширине"/>
    <w:basedOn w:val="Heading1"/>
    <w:qFormat/>
    <w:pPr>
      <w:keepLines/>
      <w:tabs>
        <w:tab w:val="clear" w:pos="0"/>
        <w:tab w:val="left" w:pos="567" w:leader="none"/>
        <w:tab w:val="left" w:pos="709" w:leader="none"/>
      </w:tabs>
      <w:spacing w:before="480" w:after="240"/>
      <w:ind w:left="567" w:right="0" w:hanging="567"/>
      <w:jc w:val="both"/>
    </w:pPr>
    <w:rPr>
      <w:rFonts w:ascii="Arial" w:hAnsi="Arial" w:eastAsia="Times New Roman"/>
      <w:bCs/>
      <w:kern w:val="2"/>
      <w:sz w:val="40"/>
      <w:szCs w:val="20"/>
      <w:lang w:val="ru-RU" w:eastAsia="ru-RU"/>
    </w:rPr>
  </w:style>
  <w:style w:type="paragraph" w:styleId="EndnoteText">
    <w:name w:val="Endnote Text"/>
    <w:basedOn w:val="Normal"/>
    <w:link w:val="Style16"/>
    <w:pPr/>
    <w:rPr>
      <w:rFonts w:eastAsia="Times New Roman" w:cs="Times New Roman"/>
      <w:sz w:val="20"/>
      <w:szCs w:val="20"/>
      <w:lang w:eastAsia="ru-RU"/>
    </w:rPr>
  </w:style>
  <w:style w:type="paragraph" w:styleId="212">
    <w:name w:val="Заголовок 2 КВВ"/>
    <w:basedOn w:val="Normal"/>
    <w:qFormat/>
    <w:pPr>
      <w:keepNext w:val="true"/>
      <w:numPr>
        <w:ilvl w:val="0"/>
        <w:numId w:val="5"/>
      </w:numPr>
      <w:spacing w:before="120" w:after="120"/>
      <w:jc w:val="both"/>
      <w:outlineLvl w:val="0"/>
    </w:pPr>
    <w:rPr>
      <w:rFonts w:eastAsia="Times New Roman" w:cs="Times New Roman"/>
      <w:b/>
      <w:kern w:val="2"/>
      <w:szCs w:val="20"/>
      <w:lang w:eastAsia="x-none"/>
    </w:rPr>
  </w:style>
  <w:style w:type="paragraph" w:styleId="Style41">
    <w:name w:val="Таблица текст"/>
    <w:basedOn w:val="Normal"/>
    <w:qFormat/>
    <w:pPr>
      <w:spacing w:before="40" w:after="40"/>
      <w:ind w:left="57" w:right="57" w:hanging="0"/>
    </w:pPr>
    <w:rPr>
      <w:rFonts w:eastAsia="Times New Roman" w:cs="Times New Roman"/>
      <w:szCs w:val="26"/>
      <w:lang w:eastAsia="ru-RU"/>
    </w:rPr>
  </w:style>
  <w:style w:type="paragraph" w:styleId="NormalWeb">
    <w:name w:val="Normal (Web)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19">
    <w:name w:val="УРОВЕНЬ_1."/>
    <w:basedOn w:val="ListParagraph"/>
    <w:link w:val="12"/>
    <w:qFormat/>
    <w:pPr>
      <w:keepNext w:val="true"/>
      <w:keepLines/>
      <w:numPr>
        <w:ilvl w:val="0"/>
        <w:numId w:val="0"/>
      </w:numPr>
      <w:spacing w:lineRule="auto" w:line="276" w:before="240" w:after="120"/>
      <w:ind w:left="0" w:right="0" w:hanging="0"/>
      <w:contextualSpacing w:val="false"/>
      <w:jc w:val="both"/>
      <w:outlineLvl w:val="0"/>
    </w:pPr>
    <w:rPr>
      <w:caps/>
      <w:sz w:val="28"/>
      <w:szCs w:val="28"/>
      <w:lang w:eastAsia="en-US"/>
    </w:rPr>
  </w:style>
  <w:style w:type="paragraph" w:styleId="TOC6">
    <w:name w:val="TOC 6"/>
    <w:basedOn w:val="Normal"/>
    <w:next w:val="Normal"/>
    <w:autoRedefine/>
    <w:pPr>
      <w:ind w:left="112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7">
    <w:name w:val="TOC 7"/>
    <w:basedOn w:val="Normal"/>
    <w:next w:val="Normal"/>
    <w:autoRedefine/>
    <w:pPr>
      <w:ind w:left="140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TOC8">
    <w:name w:val="TOC 8"/>
    <w:basedOn w:val="Normal"/>
    <w:next w:val="Normal"/>
    <w:autoRedefine/>
    <w:pPr>
      <w:ind w:left="1680" w:right="0" w:hanging="0"/>
    </w:pPr>
    <w:rPr>
      <w:rFonts w:ascii="Calibri" w:hAnsi="Calibri" w:eastAsia="Times New Roman" w:cs="Calibri"/>
      <w:sz w:val="20"/>
      <w:szCs w:val="20"/>
      <w:lang w:eastAsia="ru-RU"/>
    </w:rPr>
  </w:style>
  <w:style w:type="paragraph" w:styleId="Style42">
    <w:name w:val="Знак Знак Знак Знак"/>
    <w:basedOn w:val="Normal"/>
    <w:qFormat/>
    <w:pPr>
      <w:spacing w:lineRule="exact" w:line="240" w:before="0" w:after="160"/>
    </w:pPr>
    <w:rPr>
      <w:rFonts w:ascii="Verdana" w:hAnsi="Verdana" w:eastAsia="Times New Roman" w:cs="Verdana"/>
      <w:sz w:val="20"/>
      <w:szCs w:val="20"/>
      <w:lang w:val="en-US"/>
    </w:rPr>
  </w:style>
  <w:style w:type="paragraph" w:styleId="-1">
    <w:name w:val="Контракт-раздел"/>
    <w:basedOn w:val="Normal"/>
    <w:qFormat/>
    <w:pPr>
      <w:keepNext w:val="true"/>
      <w:keepLines/>
      <w:numPr>
        <w:ilvl w:val="0"/>
        <w:numId w:val="0"/>
      </w:numPr>
      <w:tabs>
        <w:tab w:val="clear" w:pos="708"/>
        <w:tab w:val="left" w:pos="0" w:leader="none"/>
        <w:tab w:val="left" w:pos="567" w:leader="none"/>
      </w:tabs>
      <w:spacing w:before="240" w:after="120"/>
      <w:jc w:val="center"/>
      <w:outlineLvl w:val="2"/>
    </w:pPr>
    <w:rPr>
      <w:rFonts w:eastAsia="Times New Roman" w:cs="Times New Roman"/>
      <w:b/>
      <w:bCs/>
      <w:caps/>
      <w:szCs w:val="28"/>
      <w:lang w:eastAsia="ru-RU"/>
    </w:rPr>
  </w:style>
  <w:style w:type="paragraph" w:styleId="-2">
    <w:name w:val="Контракт-пункт"/>
    <w:basedOn w:val="Normal"/>
    <w:qFormat/>
    <w:pPr>
      <w:tabs>
        <w:tab w:val="clear" w:pos="708"/>
        <w:tab w:val="left" w:pos="1391" w:leader="none"/>
      </w:tabs>
      <w:ind w:left="1391" w:right="0" w:hanging="851"/>
    </w:pPr>
    <w:rPr>
      <w:rFonts w:eastAsia="Times New Roman" w:cs="Times New Roman"/>
      <w:szCs w:val="28"/>
      <w:lang w:eastAsia="ru-RU"/>
    </w:rPr>
  </w:style>
  <w:style w:type="paragraph" w:styleId="110">
    <w:name w:val="Обычный1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3">
    <w:name w:val="Пункт договора"/>
    <w:basedOn w:val="Normal"/>
    <w:qFormat/>
    <w:pPr>
      <w:widowControl w:val="false"/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Style44">
    <w:name w:val="Подпункт договора"/>
    <w:basedOn w:val="Normal"/>
    <w:qFormat/>
    <w:pPr>
      <w:tabs>
        <w:tab w:val="clear" w:pos="708"/>
        <w:tab w:val="left" w:pos="360" w:leader="none"/>
      </w:tabs>
      <w:jc w:val="both"/>
    </w:pPr>
    <w:rPr>
      <w:rFonts w:ascii="Arial" w:hAnsi="Arial" w:eastAsia="Times New Roman" w:cs="Times New Roman"/>
      <w:sz w:val="20"/>
      <w:szCs w:val="20"/>
      <w:lang w:eastAsia="ru-RU"/>
    </w:rPr>
  </w:style>
  <w:style w:type="paragraph" w:styleId="BodyText21">
    <w:name w:val="Body Text 21"/>
    <w:basedOn w:val="Normal"/>
    <w:qFormat/>
    <w:pPr>
      <w:ind w:left="0" w:right="0" w:firstLine="709"/>
      <w:jc w:val="both"/>
    </w:pPr>
    <w:rPr>
      <w:rFonts w:eastAsia="Times New Roman" w:cs="Times New Roman"/>
      <w:szCs w:val="20"/>
      <w:lang w:eastAsia="ru-RU"/>
    </w:rPr>
  </w:style>
  <w:style w:type="paragraph" w:styleId="Style45">
    <w:name w:val="Обычный+ без отступа"/>
    <w:basedOn w:val="Normal"/>
    <w:qFormat/>
    <w:pPr>
      <w:spacing w:lineRule="auto" w:line="360" w:before="120" w:after="0"/>
      <w:jc w:val="both"/>
    </w:pPr>
    <w:rPr>
      <w:rFonts w:eastAsia="MS Mincho" w:cs="Times New Roman"/>
      <w:sz w:val="28"/>
      <w:szCs w:val="28"/>
      <w:lang w:eastAsia="ru-RU"/>
    </w:rPr>
  </w:style>
  <w:style w:type="paragraph" w:styleId="213">
    <w:name w:val="Обычный2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PlainText">
    <w:name w:val="Plain Text"/>
    <w:basedOn w:val="Normal"/>
    <w:link w:val="Style18"/>
    <w:qFormat/>
    <w:pPr/>
    <w:rPr>
      <w:rFonts w:ascii="Calibri" w:hAnsi="Calibri" w:cs="Times New Roman"/>
      <w:sz w:val="22"/>
      <w:szCs w:val="21"/>
      <w:lang w:val="x-none"/>
    </w:rPr>
  </w:style>
  <w:style w:type="paragraph" w:styleId="Txt1">
    <w:name w:val="txt1"/>
    <w:basedOn w:val="Normal"/>
    <w:qFormat/>
    <w:pPr/>
    <w:rPr>
      <w:rFonts w:ascii="Calibri" w:hAnsi="Calibri" w:eastAsia="Times New Roman" w:cs="Times New Roman"/>
      <w:szCs w:val="24"/>
      <w:lang w:eastAsia="ru-RU"/>
    </w:rPr>
  </w:style>
  <w:style w:type="paragraph" w:styleId="Formattext">
    <w:name w:val="formattext"/>
    <w:basedOn w:val="Normal"/>
    <w:qFormat/>
    <w:pPr>
      <w:spacing w:before="280" w:after="280"/>
    </w:pPr>
    <w:rPr>
      <w:rFonts w:eastAsia="Times New Roman" w:cs="Times New Roman"/>
      <w:szCs w:val="24"/>
      <w:lang w:eastAsia="ru-RU"/>
    </w:rPr>
  </w:style>
  <w:style w:type="paragraph" w:styleId="39">
    <w:name w:val="Обычный3"/>
    <w:qFormat/>
    <w:pPr>
      <w:widowControl w:val="false"/>
      <w:suppressAutoHyphens w:val="true"/>
      <w:overflowPunct w:val="true"/>
      <w:bidi w:val="0"/>
      <w:spacing w:lineRule="auto" w:line="300" w:before="0" w:after="0"/>
      <w:ind w:left="600" w:right="0" w:hanging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Style46">
    <w:name w:val="Содержимое таблицы"/>
    <w:basedOn w:val="Normal"/>
    <w:qFormat/>
    <w:pPr>
      <w:widowControl w:val="false"/>
      <w:suppressLineNumbers/>
    </w:pPr>
    <w:rPr/>
  </w:style>
  <w:style w:type="paragraph" w:styleId="Style47">
    <w:name w:val="Заголовок таблицы"/>
    <w:basedOn w:val="Style46"/>
    <w:qFormat/>
    <w:pPr>
      <w:jc w:val="center"/>
    </w:pPr>
    <w:rPr>
      <w:b/>
      <w:bCs/>
    </w:rPr>
  </w:style>
  <w:style w:type="paragraph" w:styleId="111">
    <w:name w:val="1.1. таблица"/>
    <w:basedOn w:val="Style48"/>
    <w:qFormat/>
    <w:pPr>
      <w:numPr>
        <w:ilvl w:val="1"/>
        <w:numId w:val="9"/>
      </w:numPr>
      <w:tabs>
        <w:tab w:val="clear" w:pos="708"/>
        <w:tab w:val="left" w:pos="360" w:leader="none"/>
        <w:tab w:val="left" w:pos="1440" w:leader="none"/>
      </w:tabs>
      <w:ind w:left="1440" w:right="0" w:hanging="0"/>
    </w:pPr>
    <w:rPr/>
  </w:style>
  <w:style w:type="paragraph" w:styleId="Style48">
    <w:name w:val="РГ_номер текста табл"/>
    <w:basedOn w:val="ListParagraph"/>
    <w:qFormat/>
    <w:pPr>
      <w:numPr>
        <w:ilvl w:val="0"/>
        <w:numId w:val="9"/>
      </w:numPr>
      <w:jc w:val="both"/>
    </w:pPr>
    <w:rPr>
      <w:rFonts w:ascii="Calibri" w:hAnsi="Calibri" w:cs="Calibri"/>
      <w:szCs w:val="22"/>
    </w:rPr>
  </w:style>
  <w:style w:type="paragraph" w:styleId="Tableheader">
    <w:name w:val="Table_header"/>
    <w:basedOn w:val="Normal"/>
    <w:qFormat/>
    <w:pPr>
      <w:spacing w:before="120" w:after="0"/>
    </w:pPr>
    <w:rPr>
      <w:b/>
      <w:sz w:val="20"/>
      <w:szCs w:val="24"/>
    </w:rPr>
  </w:style>
  <w:style w:type="paragraph" w:styleId="Style49">
    <w:name w:val="русгидро п.п.п.п."/>
    <w:basedOn w:val="Normal"/>
    <w:qFormat/>
    <w:pPr>
      <w:numPr>
        <w:ilvl w:val="3"/>
        <w:numId w:val="8"/>
      </w:numPr>
      <w:tabs>
        <w:tab w:val="clear" w:pos="708"/>
        <w:tab w:val="left" w:pos="1843" w:leader="none"/>
      </w:tabs>
    </w:pPr>
    <w:rPr>
      <w:szCs w:val="28"/>
    </w:rPr>
  </w:style>
  <w:style w:type="paragraph" w:styleId="112">
    <w:name w:val="Заголовок1"/>
    <w:basedOn w:val="Normal"/>
    <w:qFormat/>
    <w:pPr>
      <w:numPr>
        <w:ilvl w:val="0"/>
        <w:numId w:val="8"/>
      </w:numPr>
      <w:spacing w:before="240" w:after="0"/>
      <w:jc w:val="center"/>
    </w:pPr>
    <w:rPr>
      <w:b/>
      <w:szCs w:val="28"/>
    </w:rPr>
  </w:style>
  <w:style w:type="paragraph" w:styleId="310">
    <w:name w:val="Основной текст3"/>
    <w:basedOn w:val="Normal"/>
    <w:qFormat/>
    <w:pPr>
      <w:widowControl w:val="false"/>
      <w:shd w:val="clear" w:fill="FFFFFF"/>
      <w:spacing w:lineRule="atLeast" w:line="0" w:before="0" w:after="120"/>
      <w:ind w:left="0" w:right="0" w:hanging="4780"/>
    </w:pPr>
    <w:rPr>
      <w:sz w:val="23"/>
      <w:szCs w:val="23"/>
    </w:rPr>
  </w:style>
  <w:style w:type="paragraph" w:styleId="Tabletext">
    <w:name w:val="Table_text"/>
    <w:basedOn w:val="Normal"/>
    <w:qFormat/>
    <w:pPr/>
    <w:rPr>
      <w:sz w:val="20"/>
      <w:szCs w:val="24"/>
    </w:rPr>
  </w:style>
  <w:style w:type="paragraph" w:styleId="1-21">
    <w:name w:val="Средняя сетка 1 - Акцент 21"/>
    <w:basedOn w:val="Normal"/>
    <w:qFormat/>
    <w:pPr>
      <w:spacing w:before="0" w:after="0"/>
      <w:ind w:left="720" w:right="0" w:firstLine="567"/>
      <w:contextualSpacing/>
    </w:pPr>
    <w:rPr/>
  </w:style>
  <w:style w:type="paragraph" w:styleId="251">
    <w:name w:val="Основной текст 25"/>
    <w:basedOn w:val="Normal"/>
    <w:qFormat/>
    <w:pPr/>
    <w:rPr/>
  </w:style>
  <w:style w:type="paragraph" w:styleId="2-21">
    <w:name w:val="Средняя сетка 2 - Акцент 21"/>
    <w:basedOn w:val="Normal"/>
    <w:next w:val="Normal"/>
    <w:qFormat/>
    <w:pPr/>
    <w:rPr>
      <w:i/>
      <w:iCs/>
      <w:color w:val="000000"/>
    </w:rPr>
  </w:style>
  <w:style w:type="paragraph" w:styleId="2-211">
    <w:name w:val="Средний список 2 - Акцент 2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ru-RU" w:eastAsia="ru-RU" w:bidi="ar-SA"/>
    </w:rPr>
  </w:style>
  <w:style w:type="paragraph" w:styleId="214">
    <w:name w:val="Основной текст 21"/>
    <w:basedOn w:val="Normal"/>
    <w:qFormat/>
    <w:pPr/>
    <w:rPr/>
  </w:style>
  <w:style w:type="paragraph" w:styleId="Style50">
    <w:name w:val="Знак Знак Знак Знак Знак Знак Знак"/>
    <w:basedOn w:val="Normal"/>
    <w:qFormat/>
    <w:pPr>
      <w:spacing w:lineRule="exact" w:line="240" w:before="0" w:after="160"/>
    </w:pPr>
    <w:rPr>
      <w:rFonts w:ascii="Verdana" w:hAnsi="Verdana" w:cs="Verdana"/>
      <w:sz w:val="20"/>
      <w:lang w:val="en-US"/>
    </w:rPr>
  </w:style>
  <w:style w:type="paragraph" w:styleId="113">
    <w:name w:val="Пункт1"/>
    <w:basedOn w:val="Normal"/>
    <w:qFormat/>
    <w:pPr>
      <w:numPr>
        <w:ilvl w:val="0"/>
        <w:numId w:val="6"/>
      </w:numPr>
      <w:tabs>
        <w:tab w:val="clear" w:pos="708"/>
        <w:tab w:val="left" w:pos="567" w:leader="none"/>
      </w:tabs>
      <w:spacing w:before="240" w:after="0"/>
      <w:ind w:left="567" w:right="0" w:hanging="567"/>
      <w:jc w:val="center"/>
    </w:pPr>
    <w:rPr>
      <w:rFonts w:ascii="Arial" w:hAnsi="Arial"/>
      <w:b/>
      <w:szCs w:val="28"/>
    </w:rPr>
  </w:style>
  <w:style w:type="paragraph" w:styleId="Style51">
    <w:name w:val="Подподподпункт"/>
    <w:basedOn w:val="Normal"/>
    <w:qFormat/>
    <w:pPr>
      <w:tabs>
        <w:tab w:val="clear" w:pos="708"/>
        <w:tab w:val="left" w:pos="1134" w:leader="none"/>
        <w:tab w:val="left" w:pos="1701" w:leader="none"/>
        <w:tab w:val="left" w:pos="2448" w:leader="none"/>
      </w:tabs>
      <w:ind w:left="2448" w:right="0" w:hanging="1008"/>
    </w:pPr>
    <w:rPr/>
  </w:style>
  <w:style w:type="paragraph" w:styleId="Closing">
    <w:name w:val="Closing"/>
    <w:basedOn w:val="Heading1"/>
    <w:qFormat/>
    <w:pPr>
      <w:spacing w:lineRule="auto" w:line="360" w:before="60" w:after="0"/>
      <w:ind w:left="0" w:right="0" w:firstLine="567"/>
      <w:jc w:val="center"/>
    </w:pPr>
    <w:rPr>
      <w:rFonts w:cs="Arial"/>
      <w:bCs/>
    </w:rPr>
  </w:style>
  <w:style w:type="paragraph" w:styleId="312">
    <w:name w:val="заголовок 3"/>
    <w:basedOn w:val="Normal"/>
    <w:next w:val="Normal"/>
    <w:qFormat/>
    <w:pPr>
      <w:keepNext w:val="true"/>
      <w:numPr>
        <w:ilvl w:val="0"/>
        <w:numId w:val="0"/>
      </w:numPr>
      <w:spacing w:before="120" w:after="0"/>
      <w:ind w:left="0" w:right="0" w:firstLine="720"/>
      <w:jc w:val="center"/>
      <w:outlineLvl w:val="2"/>
    </w:pPr>
    <w:rPr>
      <w:sz w:val="20"/>
      <w:szCs w:val="24"/>
    </w:rPr>
  </w:style>
  <w:style w:type="paragraph" w:styleId="ListBullet2">
    <w:name w:val="List Bullet 2"/>
    <w:basedOn w:val="Normal"/>
    <w:qFormat/>
    <w:pPr>
      <w:widowControl w:val="false"/>
      <w:numPr>
        <w:ilvl w:val="0"/>
        <w:numId w:val="7"/>
      </w:numPr>
      <w:spacing w:before="120" w:after="0"/>
      <w:ind w:left="1429" w:right="0" w:hanging="357"/>
    </w:pPr>
    <w:rPr/>
  </w:style>
  <w:style w:type="paragraph" w:styleId="ListBullet3">
    <w:name w:val="List Bullet 3"/>
    <w:basedOn w:val="Normal"/>
    <w:qFormat/>
    <w:pPr>
      <w:tabs>
        <w:tab w:val="clear" w:pos="708"/>
        <w:tab w:val="left" w:pos="1080" w:leader="none"/>
        <w:tab w:val="left" w:pos="1430" w:leader="none"/>
      </w:tabs>
      <w:spacing w:before="120" w:after="0"/>
      <w:ind w:left="0" w:right="0" w:firstLine="720"/>
    </w:pPr>
    <w:rPr>
      <w:i/>
      <w:iCs/>
      <w:szCs w:val="24"/>
    </w:rPr>
  </w:style>
  <w:style w:type="paragraph" w:styleId="ListBullet">
    <w:name w:val="List Bullet"/>
    <w:basedOn w:val="Normal"/>
    <w:qFormat/>
    <w:pPr>
      <w:ind w:left="731" w:right="0" w:hanging="374"/>
    </w:pPr>
    <w:rPr/>
  </w:style>
  <w:style w:type="paragraph" w:styleId="Style52">
    <w:name w:val="Пункт б/н"/>
    <w:basedOn w:val="Normal"/>
    <w:qFormat/>
    <w:pPr>
      <w:tabs>
        <w:tab w:val="clear" w:pos="708"/>
        <w:tab w:val="left" w:pos="1134" w:leader="none"/>
      </w:tabs>
    </w:pPr>
    <w:rPr/>
  </w:style>
  <w:style w:type="paragraph" w:styleId="Style53">
    <w:name w:val="Текст таблицы"/>
    <w:basedOn w:val="Normal"/>
    <w:qFormat/>
    <w:pPr>
      <w:spacing w:before="40" w:after="40"/>
      <w:ind w:left="57" w:right="57" w:hanging="0"/>
    </w:pPr>
    <w:rPr>
      <w:szCs w:val="24"/>
    </w:rPr>
  </w:style>
  <w:style w:type="paragraph" w:styleId="ListNumber">
    <w:name w:val="List Number"/>
    <w:basedOn w:val="Normal"/>
    <w:qFormat/>
    <w:pPr>
      <w:spacing w:before="60" w:after="0"/>
    </w:pPr>
    <w:rPr>
      <w:szCs w:val="24"/>
    </w:rPr>
  </w:style>
  <w:style w:type="paragraph" w:styleId="-21">
    <w:name w:val="Пункт-2"/>
    <w:basedOn w:val="Style36"/>
    <w:qFormat/>
    <w:pPr>
      <w:keepNext w:val="true"/>
      <w:numPr>
        <w:ilvl w:val="4"/>
        <w:numId w:val="3"/>
      </w:numPr>
      <w:ind w:left="1134" w:right="0" w:hanging="1134"/>
      <w:outlineLvl w:val="2"/>
    </w:pPr>
    <w:rPr/>
  </w:style>
  <w:style w:type="paragraph" w:styleId="Style54">
    <w:name w:val="маркированный"/>
    <w:basedOn w:val="Normal"/>
    <w:qFormat/>
    <w:pPr/>
    <w:rPr/>
  </w:style>
  <w:style w:type="paragraph" w:styleId="Style55">
    <w:name w:val="Структура"/>
    <w:basedOn w:val="Normal"/>
    <w:qFormat/>
    <w:pPr>
      <w:pageBreakBefore/>
      <w:numPr>
        <w:ilvl w:val="0"/>
        <w:numId w:val="0"/>
      </w:numPr>
      <w:pBdr>
        <w:bottom w:val="thinThickSmallGap" w:sz="24" w:space="1" w:color="000000"/>
      </w:pBdr>
      <w:tabs>
        <w:tab w:val="clear" w:pos="708"/>
        <w:tab w:val="left" w:pos="851" w:leader="none"/>
      </w:tabs>
      <w:spacing w:before="480" w:after="240"/>
      <w:ind w:left="0" w:right="2835" w:hanging="0"/>
      <w:outlineLvl w:val="0"/>
    </w:pPr>
    <w:rPr>
      <w:rFonts w:ascii="Arial" w:hAnsi="Arial" w:cs="Arial"/>
      <w:b/>
      <w:caps/>
      <w:sz w:val="36"/>
      <w:szCs w:val="36"/>
    </w:rPr>
  </w:style>
  <w:style w:type="paragraph" w:styleId="Style56">
    <w:name w:val="Главы"/>
    <w:basedOn w:val="Style55"/>
    <w:next w:val="Normal"/>
    <w:qFormat/>
    <w:pPr>
      <w:pBdr>
        <w:bottom w:val="nil"/>
      </w:pBdr>
      <w:spacing w:lineRule="auto" w:line="360" w:before="1440" w:after="720"/>
      <w:ind w:left="0" w:right="0" w:hanging="0"/>
      <w:jc w:val="center"/>
    </w:pPr>
    <w:rPr>
      <w:spacing w:val="40"/>
      <w:sz w:val="44"/>
      <w:szCs w:val="44"/>
    </w:rPr>
  </w:style>
  <w:style w:type="paragraph" w:styleId="Style57">
    <w:name w:val="Служебный"/>
    <w:basedOn w:val="Style56"/>
    <w:qFormat/>
    <w:pPr/>
    <w:rPr/>
  </w:style>
  <w:style w:type="paragraph" w:styleId="DocumentMap">
    <w:name w:val="Document Map"/>
    <w:basedOn w:val="Normal"/>
    <w:qFormat/>
    <w:pPr>
      <w:shd w:val="clear" w:fill="000080"/>
    </w:pPr>
    <w:rPr>
      <w:rFonts w:ascii="Tahoma" w:hAnsi="Tahoma"/>
      <w:sz w:val="20"/>
    </w:rPr>
  </w:style>
  <w:style w:type="numbering" w:styleId="114">
    <w:name w:val="Стиль1"/>
    <w:qFormat/>
  </w:style>
  <w:style w:type="numbering" w:styleId="215">
    <w:name w:val="Стиль2"/>
    <w:qFormat/>
  </w:style>
  <w:style w:type="numbering" w:styleId="115">
    <w:name w:val="Нет списка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hyperlink" Target="https://www.vseinstrumenti.ru/tag-page/trehpolyusnye-avtomaticheskie-vyklyuchateli-gost-iec-60947-2-1642843/" TargetMode="External"/><Relationship Id="rId4" Type="http://schemas.openxmlformats.org/officeDocument/2006/relationships/hyperlink" Target="https://www.vseinstrumenti.ru/tag-page/trehpolyusnye-avtomaticheskie-vyklyuchateli-gost-iec-60947-2-1642843/" TargetMode="External"/><Relationship Id="rId5" Type="http://schemas.openxmlformats.org/officeDocument/2006/relationships/hyperlink" Target="https://www.vseinstrumenti.ru/tag-page/trehpolyusnye-avtomaticheskie-vyklyuchateli-gost-iec-60947-2-1642843/" TargetMode="External"/><Relationship Id="rId6" Type="http://schemas.openxmlformats.org/officeDocument/2006/relationships/hyperlink" Target="https://www.vseinstrumenti.ru/tag-page/trehpolyusnye-avtomaticheskie-vyklyuchateli-gost-iec-60947-2-1642843/" TargetMode="External"/><Relationship Id="rId7" Type="http://schemas.openxmlformats.org/officeDocument/2006/relationships/hyperlink" Target="https://www.vseinstrumenti.ru/tag-page/trehpolyusnye-avtomaticheskie-vyklyuchateli-gost-iec-60947-2-1642843/" TargetMode="Externa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5442</TotalTime>
  <Application>AlterOffice/3.4.0.9$Linux_X86_64 LibreOffice_project/b8daf9e823b1a5463a2f48435ddc2e8696e7d4fc</Application>
  <AppVersion>15.0000</AppVersion>
  <Pages>19</Pages>
  <Words>637</Words>
  <Characters>4521</Characters>
  <CharactersWithSpaces>5000</CharactersWithSpaces>
  <Paragraphs>170</Paragraphs>
  <Company>RusHydro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2023-05-24T06:11:00Z</dcterms:created>
  <dc:creator>Кочетов Сергей Владимирович</dc:creator>
  <dc:description/>
  <dc:language>ru-RU</dc:language>
  <cp:lastModifiedBy/>
  <dcterms:modified xsi:type="dcterms:W3CDTF">2026-08-18T11:53:10Z</dcterms:modified>
  <cp:revision>486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