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hanging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ОКПД 2: 23.51.12.110 Поставка смеси для торкретирования для нужд Кубанского филиала</w:t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tbl>
      <w:tblPr>
        <w:tblW w:w="10492" w:type="dxa"/>
        <w:jc w:val="left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10033"/>
        <w:gridCol w:w="458"/>
      </w:tblGrid>
      <w:tr>
        <w:trPr>
          <w:trHeight w:val="405" w:hRule="atLeast"/>
        </w:trPr>
        <w:tc>
          <w:tcPr>
            <w:tcW w:w="10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 Общие сведения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Наименование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Цель использования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  <w:tab/>
              <w:t>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1.1 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  <w:tab/>
              <w:t>Требования к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2.1 Требования по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2.2 Требование к качеству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3.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b w:val="false"/>
                <w:bCs w:val="false"/>
                <w:sz w:val="24"/>
                <w:szCs w:val="24"/>
                <w:lang w:eastAsia="x-none"/>
              </w:rPr>
              <w:t>3. Требования к документации по ценообразованию на этапе закупки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21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>
      <w:pPr>
        <w:pStyle w:val="TOC2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1" w:name="_Toc51339692"/>
      <w:bookmarkStart w:id="2" w:name="_Toc75446566"/>
      <w:bookmarkStart w:id="3" w:name="_Toc125473240"/>
      <w:bookmarkStart w:id="4" w:name="_Toc125476050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5" w:name="_Toc125473241"/>
      <w:bookmarkStart w:id="6" w:name="_Toc1254760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ОКПД 2: 23.51.12.110 Поставка смеси для торкретирования для нужд Кубанского филиала</w:t>
      </w:r>
      <w:r>
        <w:rPr>
          <w:rFonts w:cs="Times New Roman" w:ascii="Times New Roman" w:hAnsi="Times New Roman"/>
          <w:sz w:val="24"/>
          <w:szCs w:val="24"/>
        </w:rPr>
        <w:t xml:space="preserve"> (далее продукция).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Исполнение обязательств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ar-SA"/>
        </w:rPr>
        <w:t>Л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оту № 182086-РЕМ ПРОД-2026-ККГЭС «РЗ_261671 Текущий ремонт бетонной поверхности сопряжения оголовка и лотка холостого водосброса №2 Свистухинской ГЭС»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ar-SA"/>
        </w:rPr>
        <w:t>.</w:t>
      </w:r>
      <w:bookmarkStart w:id="9" w:name="_Toc125476056"/>
      <w:bookmarkStart w:id="10" w:name="_Toc125473249"/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sz w:val="24"/>
          <w:szCs w:val="24"/>
        </w:rPr>
      </w:pPr>
      <w:bookmarkStart w:id="11" w:name="_Toc51339693"/>
      <w:bookmarkStart w:id="12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9"/>
      <w:bookmarkEnd w:id="10"/>
      <w:bookmarkEnd w:id="11"/>
      <w:bookmarkEnd w:id="12"/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bookmarkStart w:id="13" w:name="_Toc75446574"/>
      <w:r>
        <w:rPr>
          <w:bCs w:val="false"/>
        </w:rPr>
        <w:t>Требования к объемам и срокам постав</w:t>
      </w:r>
      <w:r>
        <w:rPr/>
        <w:t>ки</w:t>
      </w:r>
      <w:bookmarkEnd w:id="13"/>
      <w:r>
        <w:rPr/>
        <w:t>.</w:t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4" w:name="_Toc125473250"/>
      <w:bookmarkStart w:id="15" w:name="_Toc75446575"/>
      <w:bookmarkStart w:id="16" w:name="_Toc125476057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125476058"/>
      <w:bookmarkStart w:id="18" w:name="_Toc125473251"/>
      <w:bookmarkStart w:id="19" w:name="_Toc75446576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1.1.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tbl>
      <w:tblPr>
        <w:tblW w:w="10138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7"/>
        <w:gridCol w:w="6697"/>
        <w:gridCol w:w="1415"/>
        <w:gridCol w:w="146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месь ремонтная для полусухого торкретирования ZoNN SC 400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кг</w:t>
            </w:r>
            <w:bookmarkStart w:id="21" w:name="_GoBack"/>
            <w:bookmarkEnd w:id="21"/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35 000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2" w:name="_Toc75446579"/>
      <w:bookmarkStart w:id="23" w:name="_Toc125473253"/>
      <w:bookmarkStart w:id="24" w:name="_Toc125476060"/>
      <w:bookmarkStart w:id="25" w:name="_Toc50125127"/>
      <w:bookmarkStart w:id="26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2.1.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7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27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2"/>
      <w:bookmarkEnd w:id="23"/>
      <w:bookmarkEnd w:id="24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38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6"/>
        <w:gridCol w:w="3554"/>
        <w:gridCol w:w="2962"/>
        <w:gridCol w:w="2995"/>
      </w:tblGrid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продукции*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9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ОКПД 2: 23.51.12.110 Поставка смеси для торкретирования для нужд Кубанского филиала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(Таблица 1.1 Перечень объемов закупаемой продукции)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течение 90 календарных дней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  <w:lang w:eastAsia="x-none"/>
        </w:rPr>
      </w:pPr>
      <w:r>
        <w:rPr>
          <w:rFonts w:cs="Times New Roman" w:ascii="Times New Roman" w:hAnsi="Times New Roman"/>
          <w:i/>
          <w:iCs/>
          <w:sz w:val="24"/>
          <w:szCs w:val="24"/>
          <w:lang w:eastAsia="x-none"/>
        </w:rPr>
      </w:r>
    </w:p>
    <w:p>
      <w:pPr>
        <w:pStyle w:val="Heading4"/>
        <w:numPr>
          <w:ilvl w:val="1"/>
          <w:numId w:val="4"/>
        </w:numPr>
        <w:tabs>
          <w:tab w:val="clear" w:pos="708"/>
          <w:tab w:val="left" w:pos="450" w:leader="none"/>
        </w:tabs>
        <w:spacing w:before="120" w:after="0"/>
        <w:ind w:hanging="0" w:left="0"/>
        <w:rPr>
          <w:sz w:val="26"/>
          <w:szCs w:val="26"/>
        </w:rPr>
      </w:pPr>
      <w:bookmarkStart w:id="28" w:name="_Toc125476061"/>
      <w:bookmarkStart w:id="29" w:name="_Toc125473255"/>
      <w:r>
        <w:rPr/>
        <w:t>Требования к качеству продукции</w:t>
      </w:r>
      <w:bookmarkEnd w:id="28"/>
      <w:bookmarkEnd w:id="29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0" w:name="_Toc125473256"/>
      <w:bookmarkStart w:id="31" w:name="_Toc125476062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0"/>
      <w:bookmarkEnd w:id="3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ar-SA"/>
        </w:rPr>
      </w:pPr>
      <w:bookmarkStart w:id="32" w:name="_Toc125473257"/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bookmarkEnd w:id="32"/>
      <w:r>
        <w:rPr>
          <w:rFonts w:cs="Times New Roman" w:ascii="Times New Roman" w:hAnsi="Times New Roman"/>
          <w:i/>
          <w:iCs/>
          <w:sz w:val="24"/>
          <w:szCs w:val="24"/>
          <w:lang w:eastAsia="ar-SA"/>
        </w:rPr>
        <w:t>Перечень объемов закупаемой продукции»</w:t>
      </w:r>
    </w:p>
    <w:tbl>
      <w:tblPr>
        <w:tblW w:w="10125" w:type="dxa"/>
        <w:jc w:val="left"/>
        <w:tblInd w:w="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607"/>
        <w:gridCol w:w="2506"/>
        <w:gridCol w:w="3287"/>
        <w:gridCol w:w="1813"/>
        <w:gridCol w:w="1912"/>
      </w:tblGrid>
      <w:tr>
        <w:trPr>
          <w:trHeight w:val="425" w:hRule="atLeast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425" w:hRule="atLeast"/>
        </w:trPr>
        <w:tc>
          <w:tcPr>
            <w:tcW w:w="6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2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400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1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месь ремонтная для полусухого торкретирования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4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ZoNN SC 400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4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Морозостойкость, цикл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4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Водонепроницаемость, W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Коэффициент Сульфатостойкость, коэф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Гарантийный срок хранения Продукции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eastAsia="ru-RU"/>
              </w:rPr>
              <w:t>2/3 (двух третей) от общего гарантийного срока хранения продукции, исчисляемого 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>
            <w:pPr>
              <w:pStyle w:val="BodyText"/>
              <w:widowControl w:val="false"/>
              <w:spacing w:before="0" w:after="1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Общий гарантийный срок хранения Продукции должен составлять не менее 12 (двенадцать) месяцев, если более длительный срок не установлен производителем (изготовителем) Продукции.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11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 объекты Покупателя по адресу: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Свистухинская ГЭС — Ставропольский край, Кочубеевский район, 7125 м по направлению на юго-восток от центральной части станицы Барсуковская.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рабочие дни: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;serif" w:hAnsi="Times New Roman;serif"/>
                <w:color w:val="000000"/>
                <w:sz w:val="24"/>
                <w:szCs w:val="24"/>
                <w:lang w:eastAsia="ru-RU"/>
              </w:rPr>
              <w:t>Упакованные сухие смеси перевозят транспортными пакетами автомобильным, железнодорожным и другими видами транспорта в соответствии с правилами перевозки и крепления грузов. действующими на транспорте конкретного вида, и инструкцией предприятия-производителя. Применяемые средства транспортирования смесей должны исключать возможность попадания атмосферных осадков, а также обеспечивать защиту упаковки от механического повреждения и нарушения целостности согласно ГОСТу 33083-2014 «Смеси сухие строительные на цементном вяжущем для штукатурных работ. Технические условия»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82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7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Продукция  должна быть новой, не бывшей в употреблении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BodyText"/>
        <w:keepNext w:val="true"/>
        <w:keepLines/>
        <w:numPr>
          <w:ilvl w:val="0"/>
          <w:numId w:val="0"/>
        </w:numPr>
        <w:spacing w:before="120" w:after="0"/>
        <w:ind w:hanging="0" w:left="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>
        <w:rPr/>
      </w:r>
    </w:p>
    <w:sectPr>
      <w:footerReference w:type="default" r:id="rId2"/>
      <w:type w:val="nextPage"/>
      <w:pgSz w:w="11906" w:h="16838"/>
      <w:pgMar w:left="1134" w:right="624" w:gutter="0" w:header="0" w:top="1188" w:footer="1" w:bottom="1151"/>
      <w:pgNumType w:fmt="decimal"/>
      <w:formProt w:val="false"/>
      <w:textDirection w:val="lrTb"/>
      <w:docGrid w:type="default" w:linePitch="36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5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>
      <w:vertAlign w:val="superscript"/>
    </w:rPr>
  </w:style>
  <w:style w:type="character" w:styleId="Style13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12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12"/>
    <w:qFormat/>
    <w:pPr/>
    <w:rPr/>
  </w:style>
  <w:style w:type="paragraph" w:styleId="Style19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138" w:leader="dot"/>
      </w:tabs>
      <w:spacing w:lineRule="exact" w:line="227" w:before="0" w:after="100"/>
    </w:pPr>
    <w:rPr>
      <w:rFonts w:ascii="Times New Roman" w:hAnsi="Times New Roman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20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32680644281" w:customStyle="1">
    <w:name w:val="326806442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019B3-9657-484A-9948-25ED2B97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4000</TotalTime>
  <Application>AlterOffice/2026.2.0.0$Linux_X86_64 LibreOffice_project/bc4ef1adf80b36c7a6365f8ed6cbf29021361edd</Application>
  <AppVersion>15.0000</AppVersion>
  <Pages>5</Pages>
  <Words>630</Words>
  <Characters>4296</Characters>
  <CharactersWithSpaces>4788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2023-12-05T11:22:00Z</dcterms:created>
  <dc:creator>Катков Олег Валерьевич</dc:creator>
  <dc:description/>
  <dc:language>ru-RU</dc:language>
  <cp:lastModifiedBy>velikosvyatnn@corp.gidroogk.com</cp:lastModifiedBy>
  <cp:lastPrinted>2025-10-16T13:20:56Z</cp:lastPrinted>
  <dcterms:modified xsi:type="dcterms:W3CDTF">2026-08-18T14:05:09Z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