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2EA" w:rsidRDefault="00D9227D">
      <w:pPr>
        <w:spacing w:after="0" w:line="240" w:lineRule="auto"/>
        <w:jc w:val="center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</w:rPr>
        <w:t>ТЕХНИЧЕСКОЕ ЗАДАНИЕ</w:t>
      </w:r>
    </w:p>
    <w:p w:rsidR="00DC02EA" w:rsidRDefault="00D9227D">
      <w:pPr>
        <w:spacing w:after="0" w:line="240" w:lineRule="auto"/>
        <w:ind w:firstLine="408"/>
        <w:jc w:val="center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  <w:u w:val="single"/>
        </w:rPr>
        <w:t xml:space="preserve">на </w:t>
      </w:r>
      <w:r w:rsidR="00B83C33"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  <w:u w:val="single"/>
        </w:rPr>
        <w:t>установку</w:t>
      </w:r>
      <w:r>
        <w:rPr>
          <w:rFonts w:ascii="Liberation Sans" w:hAnsi="Liberation Sans" w:cs="Liberation Sans"/>
          <w:b/>
          <w:color w:val="000000" w:themeColor="text1"/>
          <w:sz w:val="24"/>
          <w:szCs w:val="24"/>
          <w:highlight w:val="white"/>
          <w:u w:val="single"/>
        </w:rPr>
        <w:t xml:space="preserve"> </w:t>
      </w:r>
      <w:r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  <w:u w:val="single"/>
        </w:rPr>
        <w:t xml:space="preserve">комплексов автоматической </w:t>
      </w:r>
      <w:proofErr w:type="spellStart"/>
      <w:r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  <w:u w:val="single"/>
        </w:rPr>
        <w:t>фотовидеофиксации</w:t>
      </w:r>
      <w:proofErr w:type="spellEnd"/>
      <w:r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  <w:u w:val="single"/>
        </w:rPr>
        <w:t xml:space="preserve"> нарушений Правил дорожного движения</w:t>
      </w:r>
    </w:p>
    <w:p w:rsidR="00DC02EA" w:rsidRDefault="00DC02EA">
      <w:pPr>
        <w:spacing w:after="0" w:line="240" w:lineRule="auto"/>
        <w:ind w:firstLine="408"/>
        <w:contextualSpacing/>
        <w:rPr>
          <w:rFonts w:ascii="Liberation Sans" w:hAnsi="Liberation Sans" w:cs="Liberation Sans"/>
          <w:color w:val="000000" w:themeColor="text1"/>
          <w:sz w:val="24"/>
          <w:szCs w:val="24"/>
          <w:highlight w:val="white"/>
        </w:rPr>
      </w:pPr>
    </w:p>
    <w:p w:rsidR="00DC02EA" w:rsidRDefault="00B83C33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  <w:lang w:eastAsia="ar-SA"/>
        </w:rPr>
        <w:t>У</w:t>
      </w:r>
      <w:r w:rsidR="00D9227D"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  <w:lang w:eastAsia="ar-SA"/>
        </w:rPr>
        <w:t>становка оборудования осуществляется в рамках исполнения задачи «</w:t>
      </w:r>
      <w:r w:rsidR="00D9227D"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Установлены стационарные камеры </w:t>
      </w:r>
      <w:proofErr w:type="spellStart"/>
      <w:r w:rsidR="00D9227D"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фотовидеофиксации</w:t>
      </w:r>
      <w:proofErr w:type="spellEnd"/>
      <w:r w:rsidR="00D9227D"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 нарушений правил дорожного движения на автомобильных дорогах федерального, регионального или межмуниципального, местного значения</w:t>
      </w:r>
      <w:r w:rsidR="00D9227D"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  <w:lang w:eastAsia="ar-SA"/>
        </w:rPr>
        <w:t>» региональной составляющей федерального проекта «Общесистемные меры развития дорожного хозяйства» национального проекта «Инфраструктура для жизни».</w:t>
      </w:r>
      <w:r w:rsidR="00D9227D">
        <w:rPr>
          <w:rFonts w:ascii="Liberation Sans" w:hAnsi="Liberation Sans" w:cs="Liberation Sans"/>
          <w:color w:val="000000" w:themeColor="text1"/>
          <w:sz w:val="24"/>
          <w:szCs w:val="24"/>
          <w:highlight w:val="white"/>
        </w:rPr>
        <w:t xml:space="preserve"> </w:t>
      </w:r>
    </w:p>
    <w:p w:rsidR="00DC02EA" w:rsidRDefault="00DC02EA">
      <w:pPr>
        <w:spacing w:after="0" w:line="240" w:lineRule="auto"/>
        <w:ind w:firstLine="709"/>
        <w:contextualSpacing/>
        <w:rPr>
          <w:rFonts w:ascii="Liberation Sans" w:hAnsi="Liberation Sans" w:cs="Liberation Sans"/>
          <w:color w:val="000000" w:themeColor="text1"/>
          <w:sz w:val="24"/>
          <w:szCs w:val="24"/>
          <w:highlight w:val="white"/>
          <w:u w:val="single"/>
        </w:rPr>
      </w:pPr>
    </w:p>
    <w:p w:rsidR="00DC02EA" w:rsidRDefault="00D9227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b/>
          <w:color w:val="000000" w:themeColor="text1"/>
          <w:sz w:val="24"/>
          <w:szCs w:val="24"/>
          <w:highlight w:val="white"/>
        </w:rPr>
        <w:t>1. Сокращения и обозначения</w:t>
      </w:r>
    </w:p>
    <w:p w:rsidR="00DC02EA" w:rsidRDefault="00D9227D">
      <w:pPr>
        <w:pStyle w:val="2230"/>
        <w:tabs>
          <w:tab w:val="clear" w:pos="-37"/>
          <w:tab w:val="left" w:pos="1134"/>
        </w:tabs>
        <w:ind w:left="0" w:firstLine="709"/>
        <w:jc w:val="both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  <w:shd w:val="clear" w:color="auto" w:fill="FFFFFF"/>
          <w:lang w:eastAsia="en-US"/>
        </w:rPr>
        <w:t xml:space="preserve">1.1. Комплекс </w:t>
      </w:r>
      <w:proofErr w:type="spellStart"/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  <w:shd w:val="clear" w:color="auto" w:fill="FFFFFF"/>
          <w:lang w:eastAsia="en-US"/>
        </w:rPr>
        <w:t>фотовидеофиксации</w:t>
      </w:r>
      <w:proofErr w:type="spellEnd"/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  <w:shd w:val="clear" w:color="auto" w:fill="FFFFFF"/>
          <w:lang w:eastAsia="en-US"/>
        </w:rPr>
        <w:t xml:space="preserve"> (КФВФ) – специальное техническое средство, работающее в автоматическом режиме, имеющее функции фото- и киносъемки, видеозаписи нарушений Правил дорожного движения, оснащенное встроенными программно-аппаратными средствами обработки и обмена данными с </w:t>
      </w: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  <w:lang w:eastAsia="en-US"/>
        </w:rPr>
        <w:t xml:space="preserve">ЦАФАП в ОДД ГИБДД УМВД России по </w:t>
      </w: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Ямало-Ненецкому автономному округу</w:t>
      </w: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  <w:shd w:val="clear" w:color="auto" w:fill="FFFFFF"/>
          <w:lang w:eastAsia="en-US"/>
        </w:rPr>
        <w:t>.</w:t>
      </w:r>
    </w:p>
    <w:p w:rsidR="00DC02EA" w:rsidRDefault="00D9227D">
      <w:pPr>
        <w:pStyle w:val="aff2"/>
        <w:tabs>
          <w:tab w:val="left" w:pos="1134"/>
        </w:tabs>
        <w:rPr>
          <w:rFonts w:ascii="Liberation Sans" w:hAnsi="Liberation Sans"/>
        </w:rPr>
      </w:pPr>
      <w:r>
        <w:rPr>
          <w:rFonts w:ascii="Liberation Sans" w:hAnsi="Liberation Sans"/>
          <w:b w:val="0"/>
          <w:color w:val="000000" w:themeColor="text1"/>
          <w:highlight w:val="white"/>
          <w:lang w:val="ru-RU"/>
        </w:rPr>
        <w:t>1.2. Рубеж контроля – участок дороги (автомобильной дороги) и/или прилегающей территории, на котором с помощью КФВФ обеспечивается контроль за дорожным движением.</w:t>
      </w:r>
    </w:p>
    <w:p w:rsidR="00DC02EA" w:rsidRPr="00D9227D" w:rsidRDefault="00D9227D">
      <w:pPr>
        <w:pStyle w:val="aff2"/>
        <w:tabs>
          <w:tab w:val="left" w:pos="1134"/>
        </w:tabs>
        <w:rPr>
          <w:rFonts w:ascii="Liberation Sans" w:hAnsi="Liberation Sans"/>
          <w:lang w:val="ru-RU"/>
        </w:rPr>
      </w:pPr>
      <w:r>
        <w:rPr>
          <w:rFonts w:ascii="Liberation Sans" w:hAnsi="Liberation Sans"/>
          <w:b w:val="0"/>
          <w:color w:val="000000" w:themeColor="text1"/>
          <w:highlight w:val="white"/>
          <w:lang w:val="ru-RU"/>
        </w:rPr>
        <w:t>1.3. Зона контроля – область пространства, контролируемая одним КФВФ.</w:t>
      </w:r>
    </w:p>
    <w:p w:rsidR="00DC02EA" w:rsidRPr="00D9227D" w:rsidRDefault="00D9227D">
      <w:pPr>
        <w:pStyle w:val="aff2"/>
        <w:tabs>
          <w:tab w:val="left" w:pos="1134"/>
        </w:tabs>
        <w:rPr>
          <w:rFonts w:ascii="Liberation Sans" w:hAnsi="Liberation Sans"/>
          <w:lang w:val="ru-RU"/>
        </w:rPr>
      </w:pPr>
      <w:r>
        <w:rPr>
          <w:rFonts w:ascii="Liberation Sans" w:hAnsi="Liberation Sans"/>
          <w:b w:val="0"/>
          <w:color w:val="000000" w:themeColor="text1"/>
          <w:highlight w:val="white"/>
          <w:lang w:val="ru-RU"/>
        </w:rPr>
        <w:t>1.4. ТС – транспортное средство.</w:t>
      </w:r>
    </w:p>
    <w:p w:rsidR="00DC02EA" w:rsidRPr="00D9227D" w:rsidRDefault="00D9227D">
      <w:pPr>
        <w:pStyle w:val="aff2"/>
        <w:tabs>
          <w:tab w:val="left" w:pos="1134"/>
        </w:tabs>
        <w:rPr>
          <w:rFonts w:ascii="Liberation Sans" w:hAnsi="Liberation Sans"/>
          <w:lang w:val="ru-RU"/>
        </w:rPr>
      </w:pPr>
      <w:r>
        <w:rPr>
          <w:rFonts w:ascii="Liberation Sans" w:hAnsi="Liberation Sans"/>
          <w:b w:val="0"/>
          <w:color w:val="000000" w:themeColor="text1"/>
          <w:highlight w:val="white"/>
          <w:lang w:val="ru-RU"/>
        </w:rPr>
        <w:t>1.5. ГРЗ – государственный регистрационный знак транспортного средства.</w:t>
      </w:r>
    </w:p>
    <w:p w:rsidR="00DC02EA" w:rsidRDefault="00D9227D">
      <w:pPr>
        <w:pStyle w:val="2230"/>
        <w:tabs>
          <w:tab w:val="clear" w:pos="-37"/>
          <w:tab w:val="left" w:pos="1134"/>
        </w:tabs>
        <w:ind w:left="0" w:firstLine="709"/>
        <w:jc w:val="both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  <w:lang w:eastAsia="en-US"/>
        </w:rPr>
        <w:t xml:space="preserve">1.6. ЦАФАП – центр автоматической фиксации административных правонарушений в области дорожного движения Госавтоинспекции УМВД России по </w:t>
      </w: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Ямало-Ненецкому автономному округу</w:t>
      </w: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  <w:lang w:eastAsia="en-US"/>
        </w:rPr>
        <w:t>.</w:t>
      </w:r>
    </w:p>
    <w:p w:rsidR="00DC02EA" w:rsidRPr="00D9227D" w:rsidRDefault="00D9227D">
      <w:pPr>
        <w:pStyle w:val="aff2"/>
        <w:tabs>
          <w:tab w:val="left" w:pos="1134"/>
        </w:tabs>
        <w:rPr>
          <w:rFonts w:ascii="Liberation Sans" w:hAnsi="Liberation Sans"/>
          <w:lang w:val="ru-RU"/>
        </w:rPr>
      </w:pPr>
      <w:r>
        <w:rPr>
          <w:rFonts w:ascii="Liberation Sans" w:hAnsi="Liberation Sans"/>
          <w:b w:val="0"/>
          <w:color w:val="000000" w:themeColor="text1"/>
          <w:highlight w:val="white"/>
          <w:lang w:val="ru-RU"/>
        </w:rPr>
        <w:t>1.7. ПДД – Правила дорожного движения.</w:t>
      </w:r>
    </w:p>
    <w:p w:rsidR="00DC02EA" w:rsidRPr="00D9227D" w:rsidRDefault="00D9227D">
      <w:pPr>
        <w:pStyle w:val="aff2"/>
        <w:tabs>
          <w:tab w:val="left" w:pos="1134"/>
        </w:tabs>
        <w:rPr>
          <w:rFonts w:ascii="Liberation Sans" w:hAnsi="Liberation Sans"/>
          <w:lang w:val="ru-RU"/>
        </w:rPr>
      </w:pPr>
      <w:r>
        <w:rPr>
          <w:rFonts w:ascii="Liberation Sans" w:hAnsi="Liberation Sans"/>
          <w:b w:val="0"/>
          <w:color w:val="000000" w:themeColor="text1"/>
          <w:highlight w:val="white"/>
          <w:lang w:val="ru-RU"/>
        </w:rPr>
        <w:t>1.8. КоАП РФ – Кодекс Российской Федерации об административных правонарушениях.</w:t>
      </w:r>
    </w:p>
    <w:p w:rsidR="00DC02EA" w:rsidRDefault="00D9227D">
      <w:pPr>
        <w:pStyle w:val="2230"/>
        <w:tabs>
          <w:tab w:val="clear" w:pos="-37"/>
          <w:tab w:val="left" w:pos="1134"/>
        </w:tabs>
        <w:ind w:left="0" w:firstLine="709"/>
        <w:jc w:val="both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1.9. ПО – программное обеспечение.</w:t>
      </w:r>
    </w:p>
    <w:p w:rsidR="00DC02EA" w:rsidRDefault="00D9227D">
      <w:pPr>
        <w:pStyle w:val="2230"/>
        <w:tabs>
          <w:tab w:val="clear" w:pos="-37"/>
          <w:tab w:val="left" w:pos="1134"/>
        </w:tabs>
        <w:ind w:left="0" w:firstLine="709"/>
        <w:jc w:val="both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1.10. ЕСВ ЯНАО – информационная система «Единая система видеонаблюдения Ямало-Ненецкого автономного округа», функционирующая в соответствии с постановлением Правительства Ямало-Ненецкого автономного округа от 19.07.2020 № 881-П «Об информационной системе «Единая система видеонаблюдения Ямало-Ненецкого автономного округа»</w:t>
      </w:r>
    </w:p>
    <w:p w:rsidR="00DC02EA" w:rsidRDefault="00D9227D">
      <w:pPr>
        <w:pStyle w:val="2230"/>
        <w:tabs>
          <w:tab w:val="clear" w:pos="-37"/>
          <w:tab w:val="left" w:pos="1134"/>
        </w:tabs>
        <w:ind w:left="0" w:firstLine="709"/>
        <w:jc w:val="both"/>
        <w:outlineLvl w:val="1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eastAsia="Calibri" w:hAnsi="Liberation Sans"/>
          <w:bCs/>
          <w:color w:val="000000" w:themeColor="text1"/>
          <w:sz w:val="24"/>
          <w:szCs w:val="24"/>
          <w:highlight w:val="white"/>
          <w:lang w:eastAsia="ar-SA"/>
        </w:rPr>
        <w:t xml:space="preserve">1.11. СПО «Паутина» – специальное программное обеспечение «Паутина», используемое для приема и обработки материалов автоматической </w:t>
      </w:r>
      <w:proofErr w:type="spellStart"/>
      <w:r>
        <w:rPr>
          <w:rFonts w:ascii="Liberation Sans" w:eastAsia="Calibri" w:hAnsi="Liberation Sans"/>
          <w:bCs/>
          <w:color w:val="000000" w:themeColor="text1"/>
          <w:sz w:val="24"/>
          <w:szCs w:val="24"/>
          <w:highlight w:val="white"/>
          <w:lang w:eastAsia="ar-SA"/>
        </w:rPr>
        <w:t>фотовидеофиксации</w:t>
      </w:r>
      <w:proofErr w:type="spellEnd"/>
      <w:r>
        <w:rPr>
          <w:rFonts w:ascii="Liberation Sans" w:eastAsia="Calibri" w:hAnsi="Liberation Sans"/>
          <w:bCs/>
          <w:color w:val="000000" w:themeColor="text1"/>
          <w:sz w:val="24"/>
          <w:szCs w:val="24"/>
          <w:highlight w:val="white"/>
          <w:lang w:eastAsia="ar-SA"/>
        </w:rPr>
        <w:t xml:space="preserve"> в ЦАФАП.</w:t>
      </w:r>
    </w:p>
    <w:p w:rsidR="00DC02EA" w:rsidRDefault="00D9227D">
      <w:pPr>
        <w:pStyle w:val="2230"/>
        <w:tabs>
          <w:tab w:val="clear" w:pos="-37"/>
        </w:tabs>
        <w:ind w:left="0" w:firstLine="709"/>
        <w:jc w:val="both"/>
        <w:outlineLvl w:val="1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 xml:space="preserve">1.12. ТИП 1 – техническое средство автоматической </w:t>
      </w:r>
      <w:proofErr w:type="spellStart"/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фотовидеофиксации</w:t>
      </w:r>
      <w:proofErr w:type="spellEnd"/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 xml:space="preserve"> для обеспечения контроля дорожного движения и фиксации нарушений Правил дорожного движения для Т-образного перекрестка.</w:t>
      </w:r>
    </w:p>
    <w:p w:rsidR="00DC02EA" w:rsidRDefault="00D9227D">
      <w:pPr>
        <w:pStyle w:val="2230"/>
        <w:tabs>
          <w:tab w:val="clear" w:pos="-37"/>
        </w:tabs>
        <w:ind w:left="0" w:firstLine="709"/>
        <w:jc w:val="both"/>
        <w:outlineLvl w:val="1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 xml:space="preserve">1.13. ТИП 2 – техническое средство автоматической </w:t>
      </w:r>
      <w:proofErr w:type="spellStart"/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фотовидеофиксации</w:t>
      </w:r>
      <w:proofErr w:type="spellEnd"/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 xml:space="preserve"> для обеспечения контроля дорожного движения для фиксации нарушений Правил дорожного движения на регулируемом пешеходном переходе.</w:t>
      </w:r>
    </w:p>
    <w:p w:rsidR="00DC02EA" w:rsidRDefault="00D9227D">
      <w:pPr>
        <w:pStyle w:val="2230"/>
        <w:tabs>
          <w:tab w:val="clear" w:pos="-37"/>
        </w:tabs>
        <w:ind w:left="0" w:firstLine="709"/>
        <w:jc w:val="both"/>
        <w:outlineLvl w:val="1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1.14. ТИП 3 – к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омплекс автоматической </w:t>
      </w:r>
      <w:proofErr w:type="spellStart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фотовидеофиксации</w:t>
      </w:r>
      <w:proofErr w:type="spellEnd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 нарушений правил дорожного движения для контроля </w:t>
      </w:r>
      <w:bookmarkStart w:id="0" w:name="_GoBack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линейного участка</w:t>
      </w:r>
      <w:bookmarkEnd w:id="0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 автомобильной дороги.</w:t>
      </w:r>
    </w:p>
    <w:p w:rsidR="00DC02EA" w:rsidRDefault="00D9227D">
      <w:pPr>
        <w:pStyle w:val="2230"/>
        <w:tabs>
          <w:tab w:val="clear" w:pos="-37"/>
        </w:tabs>
        <w:ind w:left="0" w:firstLine="709"/>
        <w:jc w:val="both"/>
        <w:outlineLvl w:val="1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1.15. Заинтересованные организации и лица — владельцы автомобильных дорог, собственники или владельцы опор, мачт, балок, дорожных сооружений, технических средств организации дорожного движения, электрических сетей и инженерных коммуникаций, согласование с которыми требуется законодательством Российской Федерации, техническими условиями либо документами, регулирующими использование соответствующего объекта инфраструктуры.</w:t>
      </w:r>
    </w:p>
    <w:p w:rsidR="00DC02EA" w:rsidRDefault="00D9227D">
      <w:pPr>
        <w:pStyle w:val="ConsPlusNormal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</w:rPr>
        <w:lastRenderedPageBreak/>
        <w:t xml:space="preserve">2. </w:t>
      </w:r>
      <w:r>
        <w:rPr>
          <w:rFonts w:ascii="Liberation Sans" w:eastAsia="Liberation Sans" w:hAnsi="Liberation Sans" w:cs="Liberation Sans"/>
          <w:b/>
          <w:bCs/>
          <w:color w:val="000000" w:themeColor="text1"/>
          <w:sz w:val="24"/>
          <w:szCs w:val="24"/>
          <w:highlight w:val="white"/>
        </w:rPr>
        <w:t xml:space="preserve">Места установки комплексов автоматической </w:t>
      </w:r>
      <w:proofErr w:type="spellStart"/>
      <w:r>
        <w:rPr>
          <w:rFonts w:ascii="Liberation Sans" w:eastAsia="Liberation Sans" w:hAnsi="Liberation Sans" w:cs="Liberation Sans"/>
          <w:b/>
          <w:bCs/>
          <w:color w:val="000000" w:themeColor="text1"/>
          <w:sz w:val="24"/>
          <w:szCs w:val="24"/>
          <w:highlight w:val="white"/>
        </w:rPr>
        <w:t>фотовидеофиксации</w:t>
      </w:r>
      <w:proofErr w:type="spellEnd"/>
      <w:r>
        <w:rPr>
          <w:rFonts w:ascii="Liberation Sans" w:eastAsia="Liberation Sans" w:hAnsi="Liberation Sans" w:cs="Liberation Sans"/>
          <w:b/>
          <w:bCs/>
          <w:color w:val="000000" w:themeColor="text1"/>
          <w:sz w:val="24"/>
          <w:szCs w:val="24"/>
          <w:highlight w:val="white"/>
        </w:rPr>
        <w:t xml:space="preserve"> нарушений Правил дорожного движения*:</w:t>
      </w:r>
    </w:p>
    <w:p w:rsidR="00DC02EA" w:rsidRDefault="00D9227D">
      <w:pPr>
        <w:pStyle w:val="ConsPlusNormal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ТИП 1</w:t>
      </w:r>
    </w:p>
    <w:p w:rsidR="00DC02EA" w:rsidRDefault="00D9227D">
      <w:pPr>
        <w:pStyle w:val="ConsPlusNormal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–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ab/>
        <w:t>г. Ноябрьск, регулируемый перекресток улиц Магистральная и 8 Марта;</w:t>
      </w:r>
    </w:p>
    <w:p w:rsidR="00DC02EA" w:rsidRDefault="00D9227D">
      <w:pPr>
        <w:pStyle w:val="ConsPlusNormal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–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ab/>
      </w: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г. </w:t>
      </w:r>
      <w:proofErr w:type="spellStart"/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Тарко</w:t>
      </w:r>
      <w:proofErr w:type="spellEnd"/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-Сале, регулируемый перекрёсток улиц Тарасова и Геологов;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 </w:t>
      </w:r>
    </w:p>
    <w:p w:rsidR="00DC02EA" w:rsidRDefault="00D9227D">
      <w:pPr>
        <w:pStyle w:val="ConsPlusNormal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ТИП 2</w:t>
      </w:r>
    </w:p>
    <w:p w:rsidR="00DC02EA" w:rsidRDefault="00D9227D">
      <w:pPr>
        <w:pStyle w:val="ConsPlusNormal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–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ab/>
        <w:t>г. Надым, ул. Зверева, в районе дома № 49;</w:t>
      </w:r>
    </w:p>
    <w:p w:rsidR="00DC02EA" w:rsidRDefault="00D9227D">
      <w:pPr>
        <w:pStyle w:val="ConsPlusNormal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ТИП 3</w:t>
      </w:r>
    </w:p>
    <w:p w:rsidR="00DC02EA" w:rsidRDefault="00D9227D">
      <w:pPr>
        <w:pStyle w:val="ConsPlusNormal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–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ab/>
        <w:t>г. Ноябрьск, ул. Высоцкого, в районе дома № 34;</w:t>
      </w:r>
    </w:p>
    <w:p w:rsidR="00DC02EA" w:rsidRDefault="00D9227D">
      <w:pPr>
        <w:pStyle w:val="ConsPlusNormal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–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ab/>
        <w:t>г. Салехард, ул. Чапаева, в районе дома № 29;</w:t>
      </w:r>
    </w:p>
    <w:p w:rsidR="00DC02EA" w:rsidRDefault="00D9227D">
      <w:pPr>
        <w:pStyle w:val="ConsPlusNormal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–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ab/>
        <w:t>г. Ноябрьск, ул. Магистральная, в районе дома № 45/1;</w:t>
      </w:r>
    </w:p>
    <w:p w:rsidR="00DC02EA" w:rsidRDefault="00D9227D">
      <w:pPr>
        <w:pStyle w:val="ConsPlusNormal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–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ab/>
        <w:t xml:space="preserve">линейный участок 9 км (8+212) автомобильной дороги Салехард – </w:t>
      </w:r>
      <w:proofErr w:type="spellStart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Лабытнанги</w:t>
      </w:r>
      <w:proofErr w:type="spellEnd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;</w:t>
      </w:r>
    </w:p>
    <w:p w:rsidR="00DC02EA" w:rsidRDefault="00D9227D">
      <w:pPr>
        <w:pStyle w:val="ConsPlusNormal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–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ab/>
        <w:t>линейный участок 568 км (567+600) автомобильной дороги Сургут - Салехард;</w:t>
      </w:r>
    </w:p>
    <w:p w:rsidR="00DC02EA" w:rsidRDefault="00D9227D">
      <w:pPr>
        <w:pStyle w:val="ConsPlusNormal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–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ab/>
        <w:t>линейный участок 642 км (641+730) автомобильной дороги Сургут - Салехард;</w:t>
      </w:r>
    </w:p>
    <w:p w:rsidR="00DC02EA" w:rsidRDefault="00D9227D">
      <w:pPr>
        <w:pStyle w:val="ConsPlusNormal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–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ab/>
        <w:t>г. Ноябрьск, ул. Ленина, в районе дома № 51.</w:t>
      </w:r>
    </w:p>
    <w:p w:rsidR="00DC02EA" w:rsidRDefault="00D9227D">
      <w:pPr>
        <w:pStyle w:val="Standard"/>
        <w:jc w:val="both"/>
        <w:rPr>
          <w:rFonts w:ascii="Liberation Sans" w:hAnsi="Liberation Sans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Cs w:val="24"/>
          <w:highlight w:val="white"/>
        </w:rPr>
        <w:t>* - примерные схемы размещения оборудования на месте установки комплексов приведены в Приложении 1 к Техническому заданию.</w:t>
      </w:r>
    </w:p>
    <w:p w:rsidR="00DC02EA" w:rsidRDefault="00D9227D">
      <w:pPr>
        <w:pStyle w:val="Standard"/>
        <w:ind w:firstLine="709"/>
        <w:jc w:val="both"/>
        <w:rPr>
          <w:rFonts w:ascii="Liberation Sans" w:hAnsi="Liberation Sans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Cs w:val="24"/>
          <w:highlight w:val="white"/>
        </w:rPr>
        <w:t xml:space="preserve">Все КФВФ, указанные в настоящем разделе, подлежат первоначальному размещению, подключению, </w:t>
      </w:r>
      <w:proofErr w:type="spellStart"/>
      <w:r>
        <w:rPr>
          <w:rFonts w:ascii="Liberation Sans" w:eastAsia="Liberation Sans" w:hAnsi="Liberation Sans" w:cs="Liberation Sans"/>
          <w:color w:val="000000" w:themeColor="text1"/>
          <w:szCs w:val="24"/>
          <w:highlight w:val="white"/>
        </w:rPr>
        <w:t>пусконаладке</w:t>
      </w:r>
      <w:proofErr w:type="spellEnd"/>
      <w:r>
        <w:rPr>
          <w:rFonts w:ascii="Liberation Sans" w:eastAsia="Liberation Sans" w:hAnsi="Liberation Sans" w:cs="Liberation Sans"/>
          <w:color w:val="000000" w:themeColor="text1"/>
          <w:szCs w:val="24"/>
          <w:highlight w:val="white"/>
        </w:rPr>
        <w:t xml:space="preserve"> и вводу в эксплуатацию в стационарном режиме на местах установки, предусмотренных настоящим Техническим заданием и Спецификацией.</w:t>
      </w:r>
    </w:p>
    <w:p w:rsidR="00DC02EA" w:rsidRDefault="00D9227D">
      <w:pPr>
        <w:pStyle w:val="Standard"/>
        <w:ind w:firstLine="709"/>
        <w:jc w:val="both"/>
        <w:rPr>
          <w:rFonts w:ascii="Liberation Sans" w:hAnsi="Liberation Sans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Cs w:val="24"/>
          <w:highlight w:val="white"/>
        </w:rPr>
        <w:t>КФВФ Тип 3, помимо первоначального размещения в стационарном режиме, должны обеспечивать техническую возможность последующего применения в передвижном и мобильном режимах при наличии соответствующих комплектов крепежных устройств, приспособлений и оборудования, предусмотренных настоящим Техническим заданием.</w:t>
      </w:r>
    </w:p>
    <w:p w:rsidR="00DC02EA" w:rsidRDefault="00DC02EA">
      <w:pPr>
        <w:pStyle w:val="Standard"/>
        <w:ind w:firstLine="709"/>
        <w:jc w:val="both"/>
        <w:rPr>
          <w:rFonts w:ascii="Liberation Sans" w:eastAsia="Liberation Sans" w:hAnsi="Liberation Sans" w:cs="Liberation Sans"/>
          <w:color w:val="000000" w:themeColor="text1"/>
          <w:szCs w:val="24"/>
          <w:highlight w:val="white"/>
        </w:rPr>
      </w:pPr>
    </w:p>
    <w:p w:rsidR="00DC02EA" w:rsidRDefault="00D9227D">
      <w:pPr>
        <w:pStyle w:val="ConsPlusNormal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</w:rPr>
        <w:t xml:space="preserve">3. Требования к гарантии качества </w:t>
      </w:r>
      <w:r w:rsidR="00B056B0"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</w:rPr>
        <w:t>Оборудования</w:t>
      </w:r>
      <w:r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</w:rPr>
        <w:t xml:space="preserve">, а также требования к гарантийному сроку и (или) объему предоставления гарантий их качества, к гарантийному обслуживанию </w:t>
      </w:r>
      <w:r w:rsidR="00B056B0"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</w:rPr>
        <w:t>Оборудования</w:t>
      </w:r>
      <w:r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</w:rPr>
        <w:t xml:space="preserve">, к расходам на эксплуатацию </w:t>
      </w:r>
      <w:r w:rsidR="00B056B0"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</w:rPr>
        <w:t>Оборудования</w:t>
      </w:r>
      <w:r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</w:rPr>
        <w:t xml:space="preserve">, к обязательности осуществления монтажа и наладки </w:t>
      </w:r>
      <w:r w:rsidR="00B056B0"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</w:rPr>
        <w:t>Оборудования</w:t>
      </w:r>
      <w:r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</w:rPr>
        <w:t xml:space="preserve">, к обучению лиц, осуществляющих использование и обслуживание </w:t>
      </w:r>
      <w:r w:rsidR="00B056B0"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</w:rPr>
        <w:t>Оборудования</w:t>
      </w:r>
      <w:r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</w:rPr>
        <w:t>:</w:t>
      </w:r>
      <w:r>
        <w:rPr>
          <w:rFonts w:ascii="Liberation Sans" w:eastAsia="Liberation Sans" w:hAnsi="Liberation Sans" w:cs="Liberation Sans"/>
          <w:strike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гарантийный срок на </w:t>
      </w:r>
      <w:r w:rsidR="00D55357"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устанавливаемое Оборудование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 и составляющие компоненты составляет не менее 18 месяцев и исчисляется в отношении каждого КФВФ с даты подписания Зака</w:t>
      </w:r>
      <w:r w:rsidR="00D55357"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зчиком документа о приёмке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.</w:t>
      </w:r>
    </w:p>
    <w:p w:rsidR="00DC02EA" w:rsidRDefault="00D9227D">
      <w:pPr>
        <w:pStyle w:val="ConsPlusNormal"/>
        <w:ind w:firstLine="567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3.1. Гарантийные обязательства включают в себя бесплатные технические консультации Заказчика по вопросам эксплуатации и настройки оборудования и программного обеспечения, устранение неисправностей и сбоев в работе оборудования и программного обеспечения.</w:t>
      </w:r>
    </w:p>
    <w:p w:rsidR="00DC02EA" w:rsidRDefault="00D9227D">
      <w:pPr>
        <w:pStyle w:val="ConsPlusNormal"/>
        <w:ind w:firstLine="567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3.2. Требование к гарантийному обслуживанию:</w:t>
      </w:r>
      <w:r>
        <w:rPr>
          <w:rFonts w:ascii="Liberation Sans" w:eastAsia="Liberation Sans" w:hAnsi="Liberation Sans" w:cs="Liberation Sans"/>
          <w:bCs/>
          <w:color w:val="000000" w:themeColor="text1"/>
          <w:sz w:val="24"/>
          <w:szCs w:val="24"/>
          <w:highlight w:val="white"/>
        </w:rPr>
        <w:t xml:space="preserve"> Весь объем гарантийных обязательств осуществляется за счёт Подрядчика на протяжении гарантийного срока. Ремонт </w:t>
      </w:r>
      <w:r w:rsidR="00B056B0">
        <w:rPr>
          <w:rFonts w:ascii="Liberation Sans" w:eastAsia="Liberation Sans" w:hAnsi="Liberation Sans" w:cs="Liberation Sans"/>
          <w:bCs/>
          <w:color w:val="000000" w:themeColor="text1"/>
          <w:sz w:val="24"/>
          <w:szCs w:val="24"/>
          <w:highlight w:val="white"/>
        </w:rPr>
        <w:t>Оборудования</w:t>
      </w:r>
      <w:r>
        <w:rPr>
          <w:rFonts w:ascii="Liberation Sans" w:eastAsia="Liberation Sans" w:hAnsi="Liberation Sans" w:cs="Liberation Sans"/>
          <w:bCs/>
          <w:color w:val="000000" w:themeColor="text1"/>
          <w:sz w:val="24"/>
          <w:szCs w:val="24"/>
          <w:highlight w:val="white"/>
        </w:rPr>
        <w:t xml:space="preserve"> производится в течение 20 (двадцати) календарных дней с даты сообщения о выходе из строя </w:t>
      </w:r>
      <w:r w:rsidR="00B056B0">
        <w:rPr>
          <w:rFonts w:ascii="Liberation Sans" w:eastAsia="Liberation Sans" w:hAnsi="Liberation Sans" w:cs="Liberation Sans"/>
          <w:bCs/>
          <w:color w:val="000000" w:themeColor="text1"/>
          <w:sz w:val="24"/>
          <w:szCs w:val="24"/>
          <w:highlight w:val="white"/>
        </w:rPr>
        <w:t>Оборудования</w:t>
      </w:r>
      <w:r>
        <w:rPr>
          <w:rFonts w:ascii="Liberation Sans" w:eastAsia="Liberation Sans" w:hAnsi="Liberation Sans" w:cs="Liberation Sans"/>
          <w:bCs/>
          <w:color w:val="000000" w:themeColor="text1"/>
          <w:sz w:val="24"/>
          <w:szCs w:val="24"/>
          <w:highlight w:val="white"/>
        </w:rPr>
        <w:t xml:space="preserve">, в случае невозможности ремонта </w:t>
      </w:r>
      <w:r w:rsidR="00B056B0">
        <w:rPr>
          <w:rFonts w:ascii="Liberation Sans" w:eastAsia="Liberation Sans" w:hAnsi="Liberation Sans" w:cs="Liberation Sans"/>
          <w:bCs/>
          <w:color w:val="000000" w:themeColor="text1"/>
          <w:sz w:val="24"/>
          <w:szCs w:val="24"/>
          <w:highlight w:val="white"/>
        </w:rPr>
        <w:t>Оборудования</w:t>
      </w:r>
      <w:r>
        <w:rPr>
          <w:rFonts w:ascii="Liberation Sans" w:eastAsia="Liberation Sans" w:hAnsi="Liberation Sans" w:cs="Liberation Sans"/>
          <w:bCs/>
          <w:color w:val="000000" w:themeColor="text1"/>
          <w:sz w:val="24"/>
          <w:szCs w:val="24"/>
          <w:highlight w:val="white"/>
        </w:rPr>
        <w:t xml:space="preserve"> его замена производится в течение 35 (тридцати пяти) календарных дней.</w:t>
      </w: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</w:rPr>
        <w:t>3.3. Срок обеспечения функционирования КФВФ в ходе приёмки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В период времени с даты поступления Заказчику докум</w:t>
      </w:r>
      <w:r w:rsidR="00D55357"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ента о приемке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 до даты подписания</w:t>
      </w:r>
      <w:r w:rsidR="00D55357"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 Заказчиком документа о приемке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, Подрядчик обеспечивает функционирование всех </w:t>
      </w:r>
      <w:r w:rsidR="00B056B0"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установленных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, интегрированных и предъявленных к приёмке КФВФ в соответствии с разделом 13 настоящего Технического задания.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lastRenderedPageBreak/>
        <w:t>Обеспечение функционирования КФВФ осуществляется в целях проведения приёмочных испытаний, подтверждающих работоспособность оборудования, каналов электроснабжения и связи, интеграцию данных в СПО «Паутина» и ЕСВ ЯНАО, а также тестирование возможности формирования, передачи и предварительной обработки материалов.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Все связанные с этим расходы включаются в цену Договора и дополнительной оплате не подлежат.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Обязательства Подрядчика, предусмотренные настоящим пунктом, прекращаются с даты подписания Зака</w:t>
      </w:r>
      <w:r w:rsidR="00D55357"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зчиком документа о приёмке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.</w:t>
      </w:r>
    </w:p>
    <w:p w:rsidR="00DC02EA" w:rsidRDefault="00DC02EA">
      <w:pPr>
        <w:spacing w:after="0" w:line="240" w:lineRule="auto"/>
        <w:rPr>
          <w:rFonts w:ascii="Liberation Sans" w:eastAsia="Calibri" w:hAnsi="Liberation Sans"/>
          <w:color w:val="000000" w:themeColor="text1"/>
          <w:sz w:val="24"/>
          <w:szCs w:val="24"/>
          <w:highlight w:val="white"/>
          <w:shd w:val="clear" w:color="auto" w:fill="FFFFFF"/>
        </w:rPr>
      </w:pPr>
    </w:p>
    <w:p w:rsidR="00DC02EA" w:rsidRDefault="00D9227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b/>
          <w:color w:val="000000" w:themeColor="text1"/>
          <w:sz w:val="24"/>
          <w:szCs w:val="24"/>
          <w:highlight w:val="white"/>
        </w:rPr>
        <w:t>4. Общие требования к КФВФ.</w:t>
      </w:r>
    </w:p>
    <w:p w:rsidR="00DC02EA" w:rsidRDefault="00D922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Комплекс должен соответствовать требованиям следующих нормативных документов:</w:t>
      </w:r>
    </w:p>
    <w:p w:rsidR="00DC02EA" w:rsidRDefault="00D9227D">
      <w:pPr>
        <w:pStyle w:val="af9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ГОСТ Р 57144-2016 Специальные технические средства, работающие в автоматическом режиме и имеющие функции фото- и киносъемки, видеозаписи, для обеспечения контроля за дорожным движением. Общие технические требования;</w:t>
      </w:r>
    </w:p>
    <w:p w:rsidR="00DC02EA" w:rsidRDefault="00D9227D">
      <w:pPr>
        <w:pStyle w:val="af9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ГОСТ Р 57145-2016 Специальные технические средства, работающие в автоматическом режиме и имеющие функции фото- и киносъемки, видеозаписи, для обеспечения контроля за дорожным движением. Правила применения;</w:t>
      </w:r>
    </w:p>
    <w:p w:rsidR="00DC02EA" w:rsidRDefault="00D9227D">
      <w:pPr>
        <w:pStyle w:val="af9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ГОСТ Р 50856-96 Измерители скорости движения транспортных средств радиолокационные. Общие технические требования. Методы испытаний;</w:t>
      </w:r>
    </w:p>
    <w:p w:rsidR="00DC02EA" w:rsidRDefault="00D9227D">
      <w:pPr>
        <w:pStyle w:val="af9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ГОСТ IEC 60950-1-2014 Оборудование информационных технологий. Требования безопасности. Часть 1. Общие требования;</w:t>
      </w:r>
    </w:p>
    <w:p w:rsidR="00DC02EA" w:rsidRDefault="00D9227D">
      <w:pPr>
        <w:pStyle w:val="af9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ГОСТ 14254-2015 Степени защиты, обеспечиваемые оболочками (Код IP);</w:t>
      </w:r>
    </w:p>
    <w:p w:rsidR="00DC02EA" w:rsidRDefault="00D9227D">
      <w:pPr>
        <w:pStyle w:val="af9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ГОСТ IEC 62262-2015 Электрооборудование. Степени защиты, обеспечиваемой оболочками от наружного механического удара (код IK);</w:t>
      </w:r>
    </w:p>
    <w:p w:rsidR="00DC02EA" w:rsidRDefault="00D9227D">
      <w:pPr>
        <w:pStyle w:val="af9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Приказ МВД Российской Федерации от 08 ноября 2012 года №1014 «Об утверждении Перечня измерений, относящихся к сфере государственного регулирования обеспечения единства измерений и обязательных метрологических требований к ним» (с изменениями от 20 января 2015 года).</w:t>
      </w:r>
    </w:p>
    <w:p w:rsidR="00DC02EA" w:rsidRDefault="00D9227D">
      <w:pPr>
        <w:widowControl w:val="0"/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4.1. Устанавливаемое Оборудование должен быть новым, не ранее 2026 года выпуска, не бывшим в употреблении, в ремонте, в том числе, не быть восстановленным, у которого не была осуществлена замена составных частей, не были восстановлены потребительские свойства, а также должен иметь действующее свидетельство об утверждении типа средств измерений и действующую поверку.</w:t>
      </w:r>
    </w:p>
    <w:p w:rsidR="00DC02EA" w:rsidRDefault="00D9227D">
      <w:pPr>
        <w:spacing w:after="0" w:line="240" w:lineRule="auto"/>
        <w:ind w:firstLine="408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  <w:lang w:eastAsia="ar-SA"/>
        </w:rPr>
        <w:t xml:space="preserve">4.2. В комплект Оборудования включены все необходимые для работы интерфейсные шнуры, соединительные кабели, а также комплект эксплуатационных документов (руководство по эксплуатации, руководство администратора, формуляр с гарантийными обязательствами) на русском языке. </w:t>
      </w:r>
    </w:p>
    <w:p w:rsidR="00DC02EA" w:rsidRDefault="00D9227D">
      <w:pPr>
        <w:spacing w:after="0" w:line="240" w:lineRule="auto"/>
        <w:ind w:firstLine="408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bCs/>
          <w:color w:val="000000" w:themeColor="text1"/>
          <w:sz w:val="24"/>
          <w:szCs w:val="24"/>
          <w:highlight w:val="white"/>
          <w:lang w:eastAsia="ar-SA"/>
        </w:rPr>
        <w:t xml:space="preserve">4.3. Используемое в КФВФ программное обеспечение должно без применения дополнительных устройств и программного обеспечения (адаптеров, преобразователей и т.п.) интегрироваться (обмениваться данными) со специальным программным обеспечением «Паутина», установленным в ЦАФАП, с последующей обработкой передаваемых данных. Формат и протокол передачи данных описаны в Приложении №2 к Техническому заданию. </w:t>
      </w:r>
    </w:p>
    <w:p w:rsidR="00DC02EA" w:rsidRDefault="00D9227D">
      <w:pPr>
        <w:spacing w:after="0" w:line="240" w:lineRule="auto"/>
        <w:ind w:firstLine="408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bCs/>
          <w:color w:val="000000" w:themeColor="text1"/>
          <w:sz w:val="24"/>
          <w:szCs w:val="24"/>
          <w:highlight w:val="white"/>
          <w:lang w:eastAsia="ar-SA"/>
        </w:rPr>
        <w:t>4.4. КФВФ должны являться средствами измерений скорости, собственных пространственных координат и текущего времени, иметь утвержденный тип средства измерений и действующую поверку в соответствии с законодательством Российской Федерации об обеспечении единства измерений.</w:t>
      </w:r>
    </w:p>
    <w:p w:rsidR="00DC02EA" w:rsidRDefault="00D9227D">
      <w:pPr>
        <w:spacing w:after="0" w:line="240" w:lineRule="auto"/>
        <w:ind w:firstLine="408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bCs/>
          <w:color w:val="000000" w:themeColor="text1"/>
          <w:sz w:val="24"/>
          <w:szCs w:val="24"/>
          <w:highlight w:val="white"/>
        </w:rPr>
        <w:lastRenderedPageBreak/>
        <w:t>Срок действия поверки каждого КФВФ на дату его приемки должен истекать не ранее даты окончания срока, предусмотренного пунктом 3.3 настоящего Технического задания.</w:t>
      </w:r>
    </w:p>
    <w:p w:rsidR="00DC02EA" w:rsidRDefault="00DC02EA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</w:pPr>
    </w:p>
    <w:p w:rsidR="00DC02EA" w:rsidRDefault="00D9227D">
      <w:pPr>
        <w:pStyle w:val="2230"/>
        <w:tabs>
          <w:tab w:val="clear" w:pos="-37"/>
          <w:tab w:val="left" w:pos="1134"/>
        </w:tabs>
        <w:ind w:left="0" w:firstLine="709"/>
        <w:jc w:val="both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hAnsi="Liberation Sans"/>
          <w:b/>
          <w:bCs/>
          <w:color w:val="000000" w:themeColor="text1"/>
          <w:sz w:val="24"/>
          <w:szCs w:val="24"/>
          <w:highlight w:val="white"/>
          <w:lang w:eastAsia="ar-SA"/>
        </w:rPr>
        <w:t>5. Обследование мест установки и подтверждение технической возможности размещения КФВФ.</w:t>
      </w:r>
    </w:p>
    <w:p w:rsidR="00DC02EA" w:rsidRDefault="00D9227D">
      <w:pPr>
        <w:pStyle w:val="2230"/>
        <w:tabs>
          <w:tab w:val="clear" w:pos="-37"/>
          <w:tab w:val="left" w:pos="1134"/>
        </w:tabs>
        <w:ind w:left="0" w:firstLine="709"/>
        <w:jc w:val="both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 xml:space="preserve">5.1. До разработки рабочей документации и начала выполнения работ по монтажу, подключению, </w:t>
      </w:r>
      <w:proofErr w:type="spellStart"/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пусконаладке</w:t>
      </w:r>
      <w:proofErr w:type="spellEnd"/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 xml:space="preserve"> и интеграции КФВФ Подрядчик осуществляет обследование мест установки КФВФ, указанных в разделе 2 настоящего Технического задания и Спецификации.</w:t>
      </w:r>
    </w:p>
    <w:p w:rsidR="00DC02EA" w:rsidRDefault="00D9227D">
      <w:pPr>
        <w:pStyle w:val="2230"/>
        <w:tabs>
          <w:tab w:val="clear" w:pos="-37"/>
          <w:tab w:val="left" w:pos="1134"/>
        </w:tabs>
        <w:ind w:left="0" w:firstLine="709"/>
        <w:jc w:val="both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В ходе обследования Подрядчик определяет техническую возможность размещения КФВФ на каждом месте установки, в том числе:</w:t>
      </w:r>
    </w:p>
    <w:p w:rsidR="00DC02EA" w:rsidRDefault="00D9227D">
      <w:pPr>
        <w:pStyle w:val="2230"/>
        <w:numPr>
          <w:ilvl w:val="0"/>
          <w:numId w:val="16"/>
        </w:numPr>
        <w:tabs>
          <w:tab w:val="clear" w:pos="-37"/>
        </w:tabs>
        <w:ind w:left="0" w:firstLine="709"/>
        <w:jc w:val="both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возможность размещения КФВФ на существующей инфраструктуре, включая опоры, мачты, балки, элементы технических средств организации дорожного движения, дорожные сооружения и иные конструкции;</w:t>
      </w:r>
    </w:p>
    <w:p w:rsidR="00DC02EA" w:rsidRDefault="00D9227D">
      <w:pPr>
        <w:pStyle w:val="2230"/>
        <w:numPr>
          <w:ilvl w:val="0"/>
          <w:numId w:val="16"/>
        </w:numPr>
        <w:tabs>
          <w:tab w:val="clear" w:pos="-37"/>
        </w:tabs>
        <w:ind w:left="0" w:firstLine="709"/>
        <w:jc w:val="both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 xml:space="preserve">необходимость получения согласований от владельцев автомобильных дорог, собственников опор, мачт, балок, дорожных сооружений, инженерных коммуникаций и </w:t>
      </w:r>
      <w:proofErr w:type="gramStart"/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иных заинтересованных организаций</w:t>
      </w:r>
      <w:proofErr w:type="gramEnd"/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 xml:space="preserve"> и лиц;</w:t>
      </w:r>
    </w:p>
    <w:p w:rsidR="00DC02EA" w:rsidRDefault="00D9227D">
      <w:pPr>
        <w:pStyle w:val="2230"/>
        <w:numPr>
          <w:ilvl w:val="0"/>
          <w:numId w:val="16"/>
        </w:numPr>
        <w:tabs>
          <w:tab w:val="clear" w:pos="-37"/>
        </w:tabs>
        <w:ind w:left="0" w:firstLine="709"/>
        <w:jc w:val="both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возможные точки подключения КФВФ к источнику постоянного электропитания;</w:t>
      </w:r>
    </w:p>
    <w:p w:rsidR="00DC02EA" w:rsidRDefault="00D9227D">
      <w:pPr>
        <w:pStyle w:val="2230"/>
        <w:numPr>
          <w:ilvl w:val="0"/>
          <w:numId w:val="16"/>
        </w:numPr>
        <w:tabs>
          <w:tab w:val="clear" w:pos="-37"/>
        </w:tabs>
        <w:ind w:left="0" w:firstLine="709"/>
        <w:jc w:val="both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необходимость получения технических условий и иных исходных данных для подключения КФВФ к электропитанию;</w:t>
      </w:r>
    </w:p>
    <w:p w:rsidR="00DC02EA" w:rsidRDefault="00D9227D">
      <w:pPr>
        <w:pStyle w:val="2230"/>
        <w:numPr>
          <w:ilvl w:val="0"/>
          <w:numId w:val="16"/>
        </w:numPr>
        <w:tabs>
          <w:tab w:val="clear" w:pos="-37"/>
        </w:tabs>
        <w:ind w:left="0" w:firstLine="709"/>
        <w:jc w:val="both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возможность организации каналов связи, необходимых для передачи данных в СПО «Паутина» и ЕСВ ЯНАО;</w:t>
      </w:r>
    </w:p>
    <w:p w:rsidR="00DC02EA" w:rsidRDefault="00D9227D">
      <w:pPr>
        <w:pStyle w:val="2230"/>
        <w:numPr>
          <w:ilvl w:val="0"/>
          <w:numId w:val="16"/>
        </w:numPr>
        <w:tabs>
          <w:tab w:val="clear" w:pos="-37"/>
        </w:tabs>
        <w:ind w:left="0" w:firstLine="709"/>
        <w:jc w:val="both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предполагаемые трассы прокладки кабельных линий электропитания и связи;</w:t>
      </w:r>
    </w:p>
    <w:p w:rsidR="00DC02EA" w:rsidRDefault="00D9227D">
      <w:pPr>
        <w:pStyle w:val="2230"/>
        <w:numPr>
          <w:ilvl w:val="0"/>
          <w:numId w:val="16"/>
        </w:numPr>
        <w:tabs>
          <w:tab w:val="clear" w:pos="-37"/>
        </w:tabs>
        <w:ind w:left="0" w:firstLine="709"/>
        <w:jc w:val="both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условия обеспечения безопасности дорожного движения на период выполнения работ;</w:t>
      </w:r>
    </w:p>
    <w:p w:rsidR="00DC02EA" w:rsidRDefault="00D9227D">
      <w:pPr>
        <w:pStyle w:val="2230"/>
        <w:numPr>
          <w:ilvl w:val="0"/>
          <w:numId w:val="16"/>
        </w:numPr>
        <w:tabs>
          <w:tab w:val="clear" w:pos="-37"/>
        </w:tabs>
        <w:ind w:left="0" w:firstLine="709"/>
        <w:jc w:val="both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необходимость разработки схем организации дорожного движения на период производства работ.</w:t>
      </w:r>
    </w:p>
    <w:p w:rsidR="00DC02EA" w:rsidRDefault="00D9227D">
      <w:pPr>
        <w:pStyle w:val="2230"/>
        <w:tabs>
          <w:tab w:val="clear" w:pos="-37"/>
          <w:tab w:val="left" w:pos="1134"/>
        </w:tabs>
        <w:ind w:left="0" w:firstLine="709"/>
        <w:jc w:val="both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 xml:space="preserve">По результатам обследования Подрядчик подготавливает материалы, необходимые для разработки рабочей документации, согласования схем размещения КФВФ, получения технических условий, организации электропитания, каналов связи, монтажа, </w:t>
      </w:r>
      <w:proofErr w:type="spellStart"/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пусконаладки</w:t>
      </w:r>
      <w:proofErr w:type="spellEnd"/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 xml:space="preserve"> и интеграции КФВФ.</w:t>
      </w:r>
    </w:p>
    <w:p w:rsidR="00DC02EA" w:rsidRDefault="00D9227D">
      <w:pPr>
        <w:pStyle w:val="2230"/>
        <w:tabs>
          <w:tab w:val="clear" w:pos="-37"/>
          <w:tab w:val="left" w:pos="1134"/>
        </w:tabs>
        <w:ind w:left="0" w:firstLine="709"/>
        <w:jc w:val="both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Обследование всех мест установки КФВФ должно быть завершено Подрядчиком не позднее 10 рабочих дней со дня заключения Договора. Обращения и заявки на получение необходимых технических условий, согласований и иных исходных данных направляются Подрядчиком не позднее 5 рабочих дней со дня завершения обследования соответствующего места установки КФВФ.</w:t>
      </w:r>
    </w:p>
    <w:p w:rsidR="00DC02EA" w:rsidRDefault="00D9227D">
      <w:pPr>
        <w:pStyle w:val="2230"/>
        <w:tabs>
          <w:tab w:val="clear" w:pos="-37"/>
          <w:tab w:val="left" w:pos="1134"/>
        </w:tabs>
        <w:ind w:left="0" w:firstLine="709"/>
        <w:jc w:val="both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В случае выявления обстоятельств, препятствующих размещению КФВФ в месте установки, предусмотренном настоящим Техническим заданием и Спецификацией, Подрядчик незамедлительно уведомляет Заказчика с приложением подтверждающих материалов и предложений по возможному техническому решению.</w:t>
      </w:r>
    </w:p>
    <w:p w:rsidR="00DC02EA" w:rsidRDefault="00D9227D">
      <w:pPr>
        <w:pStyle w:val="2230"/>
        <w:tabs>
          <w:tab w:val="clear" w:pos="-37"/>
          <w:tab w:val="left" w:pos="1134"/>
        </w:tabs>
        <w:ind w:left="0" w:firstLine="709"/>
        <w:jc w:val="both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 xml:space="preserve">Результаты обследования учитываются Подрядчиком при подготовке рабочей документации и не изменяют обязанность Подрядчика обеспечить поставку, монтаж, подключение, </w:t>
      </w:r>
      <w:proofErr w:type="spellStart"/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пусконаладку</w:t>
      </w:r>
      <w:proofErr w:type="spellEnd"/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ar-SA"/>
        </w:rPr>
        <w:t>, интеграцию и ввод КФВФ в эксплуатацию в соответствии с условиями Договора.</w:t>
      </w:r>
    </w:p>
    <w:p w:rsidR="00DC02EA" w:rsidRDefault="00D9227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b/>
          <w:bCs/>
          <w:color w:val="000000" w:themeColor="text1"/>
          <w:sz w:val="24"/>
          <w:szCs w:val="24"/>
          <w:highlight w:val="white"/>
        </w:rPr>
        <w:t xml:space="preserve">6. Конкретные фиксируемые нарушения </w:t>
      </w:r>
    </w:p>
    <w:p w:rsidR="00DC02EA" w:rsidRDefault="00DC02EA">
      <w:pPr>
        <w:tabs>
          <w:tab w:val="left" w:pos="1134"/>
        </w:tabs>
        <w:spacing w:after="0" w:line="240" w:lineRule="auto"/>
        <w:ind w:firstLine="709"/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</w:pPr>
    </w:p>
    <w:p w:rsidR="00DC02EA" w:rsidRDefault="00D9227D">
      <w:pPr>
        <w:tabs>
          <w:tab w:val="left" w:pos="1134"/>
        </w:tabs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6.1. г.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Ноябрьск, регулируемый перекресток улиц Магистральная и 8 Марта</w:t>
      </w: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:</w:t>
      </w:r>
    </w:p>
    <w:tbl>
      <w:tblPr>
        <w:tblStyle w:val="43"/>
        <w:tblW w:w="14205" w:type="dxa"/>
        <w:tblInd w:w="813" w:type="dxa"/>
        <w:tblLayout w:type="fixed"/>
        <w:tblLook w:val="04A0" w:firstRow="1" w:lastRow="0" w:firstColumn="1" w:lastColumn="0" w:noHBand="0" w:noVBand="1"/>
      </w:tblPr>
      <w:tblGrid>
        <w:gridCol w:w="958"/>
        <w:gridCol w:w="2742"/>
        <w:gridCol w:w="10505"/>
      </w:tblGrid>
      <w:tr w:rsidR="00DC02EA">
        <w:tc>
          <w:tcPr>
            <w:tcW w:w="958" w:type="dxa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b/>
                <w:color w:val="000000" w:themeColor="text1"/>
                <w:sz w:val="24"/>
                <w:szCs w:val="24"/>
                <w:highlight w:val="white"/>
                <w:lang w:bidi="hi-IN"/>
              </w:rPr>
              <w:t>№ п/п</w:t>
            </w:r>
          </w:p>
        </w:tc>
        <w:tc>
          <w:tcPr>
            <w:tcW w:w="2742" w:type="dxa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b/>
                <w:color w:val="000000" w:themeColor="text1"/>
                <w:sz w:val="24"/>
                <w:szCs w:val="24"/>
                <w:highlight w:val="white"/>
                <w:lang w:bidi="hi-IN"/>
              </w:rPr>
              <w:t>Направление въезда ТС на перекресток</w:t>
            </w:r>
          </w:p>
        </w:tc>
        <w:tc>
          <w:tcPr>
            <w:tcW w:w="10505" w:type="dxa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b/>
                <w:color w:val="000000" w:themeColor="text1"/>
                <w:sz w:val="24"/>
                <w:szCs w:val="24"/>
                <w:highlight w:val="white"/>
                <w:lang w:bidi="hi-IN"/>
              </w:rPr>
              <w:t>Фиксируемые события нарушения</w:t>
            </w:r>
          </w:p>
        </w:tc>
      </w:tr>
      <w:tr w:rsidR="00DC02EA">
        <w:tc>
          <w:tcPr>
            <w:tcW w:w="958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bidi="hi-IN"/>
              </w:rPr>
              <w:t>1</w:t>
            </w:r>
          </w:p>
        </w:tc>
        <w:tc>
          <w:tcPr>
            <w:tcW w:w="2742" w:type="dxa"/>
          </w:tcPr>
          <w:p w:rsidR="00DC02EA" w:rsidRDefault="00D9227D">
            <w:pPr>
              <w:spacing w:after="0" w:line="240" w:lineRule="auto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 xml:space="preserve">при движении по улице Магистральной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lastRenderedPageBreak/>
              <w:t>(улица 8 Марта налево)</w:t>
            </w:r>
          </w:p>
        </w:tc>
        <w:tc>
          <w:tcPr>
            <w:tcW w:w="10505" w:type="dxa"/>
          </w:tcPr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lastRenderedPageBreak/>
              <w:t>проезд без совершения административного правонарушения;</w:t>
            </w:r>
          </w:p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12.12 часть 1. Проезд на запрещающий сигнал светофора;</w:t>
            </w:r>
          </w:p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lastRenderedPageBreak/>
              <w:t>статья 12.12 часть 2. Невыполнение требования Правил дорожного движения об остановке перед стоп-линией, обозначенной дорожными знаками или разметкой проезжей части дороги, при запрещающем сигнале светофора;</w:t>
            </w:r>
          </w:p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12.9. Превышение установленной скорости движения ТС;</w:t>
            </w:r>
          </w:p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 xml:space="preserve">статья 12.6. </w:t>
            </w:r>
            <w:r>
              <w:rPr>
                <w:rFonts w:ascii="Liberation Sans" w:eastAsia="NSimSun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Управление ТС водителем, не пристегнутым ремнем безопасности, перевозка пассажиров, не пристегнутых ремнями безопасности</w:t>
            </w: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;</w:t>
            </w:r>
          </w:p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NSimSun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12.16 часть 1 Несоблюдение требований, предписанных дорожными знаками или разметкой проезжей части дороги (пересечение разметки 1.1);</w:t>
            </w:r>
          </w:p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NSimSun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12.20. Нарушение правил пользования внешними световыми приборами;</w:t>
            </w:r>
          </w:p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12.36.1. Нарушение правил пользования телефоном водителем транспортного средства</w:t>
            </w:r>
          </w:p>
        </w:tc>
      </w:tr>
      <w:tr w:rsidR="00DC02EA">
        <w:tc>
          <w:tcPr>
            <w:tcW w:w="958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bidi="hi-IN"/>
              </w:rPr>
              <w:lastRenderedPageBreak/>
              <w:t>2</w:t>
            </w:r>
          </w:p>
        </w:tc>
        <w:tc>
          <w:tcPr>
            <w:tcW w:w="2742" w:type="dxa"/>
          </w:tcPr>
          <w:p w:rsidR="00DC02EA" w:rsidRDefault="00D9227D">
            <w:pPr>
              <w:spacing w:after="0" w:line="240" w:lineRule="auto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при движении по улице Магистральной (улица 8 Марта направо)</w:t>
            </w:r>
          </w:p>
        </w:tc>
        <w:tc>
          <w:tcPr>
            <w:tcW w:w="10505" w:type="dxa"/>
          </w:tcPr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проезд без совершения административного правонарушения;</w:t>
            </w:r>
          </w:p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12.12 часть 1. Проезд на запрещающий сигнал светофора;</w:t>
            </w:r>
          </w:p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12.12 часть 2. Невыполнение требования Правил дорожного движения об остановке перед стоп-линией, обозначенной дорожными знаками или разметкой проезжей части дороги, при запрещающем сигнале светофора;</w:t>
            </w:r>
          </w:p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12.9. Превышение установленной скорости движения ТС;</w:t>
            </w:r>
          </w:p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12.6. Управление ТС водителем, не пристегнутым ремнем безопасности, перевозка пассажиров, не пристегнутых ремнями безопасности;</w:t>
            </w:r>
          </w:p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12.16 часть 1 Несоблюдение требований, предписанных дорожными знаками или разметкой проезжей части дороги (пересечение разметки 1.1);</w:t>
            </w:r>
          </w:p>
          <w:p w:rsidR="00DC02EA" w:rsidRDefault="00D9227D">
            <w:pPr>
              <w:numPr>
                <w:ilvl w:val="0"/>
                <w:numId w:val="4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NSimSun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12.20. Нарушение правил пользования внешними световыми приборами;</w:t>
            </w:r>
          </w:p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12.36.1. Нарушение правил пользования телефоном водителем транспортного средства.</w:t>
            </w:r>
          </w:p>
        </w:tc>
      </w:tr>
      <w:tr w:rsidR="00DC02EA">
        <w:tc>
          <w:tcPr>
            <w:tcW w:w="958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bidi="hi-IN"/>
              </w:rPr>
              <w:t>3</w:t>
            </w:r>
          </w:p>
        </w:tc>
        <w:tc>
          <w:tcPr>
            <w:tcW w:w="2742" w:type="dxa"/>
          </w:tcPr>
          <w:p w:rsidR="00DC02EA" w:rsidRDefault="00D9227D">
            <w:pPr>
              <w:spacing w:after="0" w:line="240" w:lineRule="auto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при движении по улице 8 Марта в сторону улицы Магистральной (направо)</w:t>
            </w:r>
          </w:p>
        </w:tc>
        <w:tc>
          <w:tcPr>
            <w:tcW w:w="10505" w:type="dxa"/>
          </w:tcPr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проезд без совершения административного правонарушения;</w:t>
            </w:r>
          </w:p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12.12 часть 1. Проезд на запрещающий сигнал светофора;</w:t>
            </w:r>
          </w:p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12.12 часть 2. Невыполнение требования Правил дорожного движения об остановке перед стоп-линией, обозначенной дорожными знаками или разметкой проезжей части дороги, при запрещающем сигнале светофора;</w:t>
            </w:r>
          </w:p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12.16 часть 1 Несоблюдение требований, предписанных дорожными знаками или разметкой проезжей части дороги (пересечение разметки 1.1);</w:t>
            </w:r>
          </w:p>
        </w:tc>
      </w:tr>
      <w:tr w:rsidR="00DC02EA">
        <w:tc>
          <w:tcPr>
            <w:tcW w:w="958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bidi="hi-IN"/>
              </w:rPr>
              <w:t>4</w:t>
            </w:r>
          </w:p>
        </w:tc>
        <w:tc>
          <w:tcPr>
            <w:tcW w:w="2742" w:type="dxa"/>
          </w:tcPr>
          <w:p w:rsidR="00DC02EA" w:rsidRDefault="00D9227D">
            <w:pPr>
              <w:spacing w:after="0" w:line="240" w:lineRule="auto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при движении по улице 8 Марта в сторону улицы Магистральной (налево)</w:t>
            </w:r>
          </w:p>
        </w:tc>
        <w:tc>
          <w:tcPr>
            <w:tcW w:w="10505" w:type="dxa"/>
          </w:tcPr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проезд без совершения административного правонарушения;</w:t>
            </w:r>
          </w:p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12.12 часть 1. Проезд на запрещающий сигнал светофора;</w:t>
            </w:r>
          </w:p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12.12 часть 2. Невыполнение требования Правил дорожного движения об остановке перед стоп-линией, обозначенной дорожными знаками или разметкой проезжей части дороги, при запрещающем сигнале светофора;</w:t>
            </w:r>
          </w:p>
          <w:p w:rsidR="00DC02EA" w:rsidRDefault="00D9227D">
            <w:pPr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  <w:ind w:left="0" w:firstLine="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lastRenderedPageBreak/>
              <w:t>статья 12.16 часть 1 Несоблюдение требований, предписанных дорожными знаками или разметкой проезжей части дороги (пересечение разметки 1.1).</w:t>
            </w:r>
          </w:p>
        </w:tc>
      </w:tr>
    </w:tbl>
    <w:p w:rsidR="00DC02EA" w:rsidRDefault="00DC02EA">
      <w:pPr>
        <w:spacing w:after="0" w:line="240" w:lineRule="auto"/>
        <w:ind w:left="360" w:firstLine="349"/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</w:pPr>
    </w:p>
    <w:p w:rsidR="00DC02EA" w:rsidRDefault="00D9227D">
      <w:pPr>
        <w:spacing w:after="0" w:line="240" w:lineRule="auto"/>
        <w:ind w:left="360" w:firstLine="349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6.2. г. </w:t>
      </w:r>
      <w:proofErr w:type="spellStart"/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  <w:lang w:eastAsia="ru-RU"/>
        </w:rPr>
        <w:t>Тарко</w:t>
      </w:r>
      <w:proofErr w:type="spellEnd"/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  <w:lang w:eastAsia="ru-RU"/>
        </w:rPr>
        <w:t>-Сале, регулируемый перекрёсток улиц Тарасова и Геологов</w:t>
      </w: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:</w:t>
      </w:r>
    </w:p>
    <w:tbl>
      <w:tblPr>
        <w:tblStyle w:val="43"/>
        <w:tblW w:w="14205" w:type="dxa"/>
        <w:tblInd w:w="813" w:type="dxa"/>
        <w:tblLayout w:type="fixed"/>
        <w:tblLook w:val="04A0" w:firstRow="1" w:lastRow="0" w:firstColumn="1" w:lastColumn="0" w:noHBand="0" w:noVBand="1"/>
      </w:tblPr>
      <w:tblGrid>
        <w:gridCol w:w="958"/>
        <w:gridCol w:w="2742"/>
        <w:gridCol w:w="10505"/>
      </w:tblGrid>
      <w:tr w:rsidR="00DC02EA">
        <w:tc>
          <w:tcPr>
            <w:tcW w:w="958" w:type="dxa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b/>
                <w:color w:val="000000" w:themeColor="text1"/>
                <w:sz w:val="24"/>
                <w:szCs w:val="24"/>
                <w:highlight w:val="white"/>
                <w:lang w:bidi="hi-IN"/>
              </w:rPr>
              <w:t>№ п/п</w:t>
            </w:r>
          </w:p>
        </w:tc>
        <w:tc>
          <w:tcPr>
            <w:tcW w:w="2742" w:type="dxa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b/>
                <w:color w:val="000000" w:themeColor="text1"/>
                <w:sz w:val="24"/>
                <w:szCs w:val="24"/>
                <w:highlight w:val="white"/>
                <w:lang w:bidi="hi-IN"/>
              </w:rPr>
              <w:t>Направление въезда ТС на перекресток</w:t>
            </w:r>
          </w:p>
        </w:tc>
        <w:tc>
          <w:tcPr>
            <w:tcW w:w="10505" w:type="dxa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b/>
                <w:color w:val="000000" w:themeColor="text1"/>
                <w:sz w:val="24"/>
                <w:szCs w:val="24"/>
                <w:highlight w:val="white"/>
                <w:lang w:bidi="hi-IN"/>
              </w:rPr>
              <w:t>Фиксируемые нарушения</w:t>
            </w:r>
          </w:p>
        </w:tc>
      </w:tr>
      <w:tr w:rsidR="00DC02EA">
        <w:tc>
          <w:tcPr>
            <w:tcW w:w="958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bidi="hi-IN"/>
              </w:rPr>
              <w:t>1</w:t>
            </w:r>
          </w:p>
        </w:tc>
        <w:tc>
          <w:tcPr>
            <w:tcW w:w="2742" w:type="dxa"/>
          </w:tcPr>
          <w:p w:rsidR="00DC02EA" w:rsidRDefault="00D9227D">
            <w:pPr>
              <w:spacing w:after="0" w:line="240" w:lineRule="auto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при движении по улице Тарасова (улица Геологов налево)</w:t>
            </w:r>
          </w:p>
        </w:tc>
        <w:tc>
          <w:tcPr>
            <w:tcW w:w="10505" w:type="dxa"/>
          </w:tcPr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проезд без совершения административного правонарушения;</w:t>
            </w:r>
          </w:p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12.12 часть 1. Проезд на запрещающий сигнал светофора;</w:t>
            </w:r>
          </w:p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12.12 часть 2. Невыполнение требования Правил дорожного движения об остановке перед стоп-линией, обозначенной дорожными знаками или разметкой проезжей части дороги, при запрещающем сигнале светофора;</w:t>
            </w:r>
          </w:p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12.9. Превышение установленной скорости движения ТС;</w:t>
            </w:r>
          </w:p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 xml:space="preserve">статья 12.6. </w:t>
            </w:r>
            <w:r>
              <w:rPr>
                <w:rFonts w:ascii="Liberation Sans" w:eastAsia="NSimSun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Управление ТС водителем, не пристегнутым ремнем безопасности, перевозка пассажиров, не пристегнутых ремнями безопасности</w:t>
            </w: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;</w:t>
            </w:r>
          </w:p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 xml:space="preserve"> статья 12.15 часть 4. Выезд в нарушение Правил дорожного движения на полосу, предназначенную для встречного движения;</w:t>
            </w:r>
          </w:p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NSimSun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12.16 часть 1 Несоблюдение требований, предписанных дорожными знаками или разметкой проезжей части дороги (пересечение разметки 1.1 и поворот с крайней правой полосы на улицу Геологов);</w:t>
            </w:r>
          </w:p>
          <w:p w:rsidR="00DC02EA" w:rsidRDefault="00D9227D">
            <w:pPr>
              <w:numPr>
                <w:ilvl w:val="0"/>
                <w:numId w:val="5"/>
              </w:numPr>
              <w:tabs>
                <w:tab w:val="left" w:pos="511"/>
              </w:tabs>
              <w:spacing w:after="0" w:line="240" w:lineRule="auto"/>
              <w:ind w:left="0" w:firstLine="142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NSimSun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12.20. Нарушение правил пользования внешними световыми приборами;</w:t>
            </w:r>
          </w:p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12.36.1. Нарушение правил пользования телефоном водителем транспортного средства</w:t>
            </w:r>
          </w:p>
        </w:tc>
      </w:tr>
      <w:tr w:rsidR="00DC02EA">
        <w:tc>
          <w:tcPr>
            <w:tcW w:w="958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bidi="hi-IN"/>
              </w:rPr>
              <w:t>2</w:t>
            </w:r>
          </w:p>
        </w:tc>
        <w:tc>
          <w:tcPr>
            <w:tcW w:w="2742" w:type="dxa"/>
          </w:tcPr>
          <w:p w:rsidR="00DC02EA" w:rsidRDefault="00D9227D">
            <w:pPr>
              <w:spacing w:after="0" w:line="240" w:lineRule="auto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при движении по улице Тарасова (улица Геологов направо)</w:t>
            </w:r>
          </w:p>
        </w:tc>
        <w:tc>
          <w:tcPr>
            <w:tcW w:w="10505" w:type="dxa"/>
          </w:tcPr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проезд без совершения административного правонарушения;</w:t>
            </w:r>
          </w:p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12.12 часть 1. Проезд на запрещающий сигнал светофора;</w:t>
            </w:r>
          </w:p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12.12 часть 2. Невыполнение требования Правил дорожного движения об остановке перед стоп-линией, обозначенной дорожными знаками или разметкой проезжей части дороги, при запрещающем сигнале светофора;</w:t>
            </w:r>
          </w:p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12.9. Превышение установленной скорости движения ТС;</w:t>
            </w:r>
          </w:p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12.6. Управление ТС водителем, не пристегнутым ремнем безопасности, перевозка пассажиров, не пристегнутых ремнями безопасности;</w:t>
            </w:r>
          </w:p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12.15 часть 4. Выезд в нарушение Правил дорожного движения на полосу, предназначенную для встречного движения;</w:t>
            </w:r>
          </w:p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12.16 часть 1 Несоблюдение требований, предписанных дорожными знаками или разметкой проезжей части дороги (пересечение разметки 1.1);</w:t>
            </w:r>
          </w:p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 xml:space="preserve">статья 12.16 часть 1 Несоблюдение требований, предписанных дорожными знаками или разметкой проезжей части дороги </w:t>
            </w:r>
            <w:r>
              <w:rPr>
                <w:rFonts w:ascii="Liberation Sans" w:eastAsia="NSimSun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(пересечение разметки 1.1 и поворот с крайней левой полосы на улицу Геологов)</w:t>
            </w:r>
          </w:p>
          <w:p w:rsidR="00DC02EA" w:rsidRDefault="00D9227D">
            <w:pPr>
              <w:numPr>
                <w:ilvl w:val="0"/>
                <w:numId w:val="6"/>
              </w:numPr>
              <w:tabs>
                <w:tab w:val="left" w:pos="511"/>
              </w:tabs>
              <w:spacing w:after="0" w:line="240" w:lineRule="auto"/>
              <w:ind w:left="0" w:firstLine="142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NSimSun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lastRenderedPageBreak/>
              <w:t>статья 12.20. Нарушение правил пользования внешними световыми приборами;</w:t>
            </w:r>
          </w:p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12.36.1. Нарушение правил пользования телефоном водителем транспортного средства.</w:t>
            </w:r>
          </w:p>
        </w:tc>
      </w:tr>
      <w:tr w:rsidR="00DC02EA">
        <w:tc>
          <w:tcPr>
            <w:tcW w:w="958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bidi="hi-IN"/>
              </w:rPr>
              <w:lastRenderedPageBreak/>
              <w:t>3</w:t>
            </w:r>
          </w:p>
        </w:tc>
        <w:tc>
          <w:tcPr>
            <w:tcW w:w="2742" w:type="dxa"/>
          </w:tcPr>
          <w:p w:rsidR="00DC02EA" w:rsidRDefault="00D9227D">
            <w:pPr>
              <w:spacing w:after="0" w:line="240" w:lineRule="auto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при движении по улице Геологов в сторону улицы Тарасова (направо)</w:t>
            </w:r>
          </w:p>
        </w:tc>
        <w:tc>
          <w:tcPr>
            <w:tcW w:w="10505" w:type="dxa"/>
          </w:tcPr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проезд без совершения административного правонарушения;</w:t>
            </w:r>
          </w:p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12.12 часть 1. Проезд на запрещающий сигнал светофора;</w:t>
            </w:r>
          </w:p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12.12 часть 2. Невыполнение требования Правил дорожного движения об остановке перед стоп-линией, обозначенной дорожными знаками или разметкой проезжей части дороги, при запрещающем сигнале светофора;</w:t>
            </w:r>
          </w:p>
          <w:p w:rsidR="00DC02EA" w:rsidRDefault="00D9227D">
            <w:pPr>
              <w:numPr>
                <w:ilvl w:val="0"/>
                <w:numId w:val="2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12.16 часть 1 Несоблюдение требований, предписанных дорожными знаками или разметкой проезжей части дороги (пересечение разметки 1.1)</w:t>
            </w:r>
          </w:p>
        </w:tc>
      </w:tr>
      <w:tr w:rsidR="00DC02EA">
        <w:trPr>
          <w:trHeight w:val="716"/>
        </w:trPr>
        <w:tc>
          <w:tcPr>
            <w:tcW w:w="958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bidi="hi-IN"/>
              </w:rPr>
              <w:t>4</w:t>
            </w:r>
          </w:p>
        </w:tc>
        <w:tc>
          <w:tcPr>
            <w:tcW w:w="2742" w:type="dxa"/>
          </w:tcPr>
          <w:p w:rsidR="00DC02EA" w:rsidRDefault="00D9227D">
            <w:pPr>
              <w:spacing w:after="0" w:line="240" w:lineRule="auto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при движении по улице Геологов в сторону улицы Тарасова (налево)</w:t>
            </w:r>
          </w:p>
        </w:tc>
        <w:tc>
          <w:tcPr>
            <w:tcW w:w="10505" w:type="dxa"/>
          </w:tcPr>
          <w:p w:rsidR="00DC02EA" w:rsidRDefault="00D9227D">
            <w:pPr>
              <w:numPr>
                <w:ilvl w:val="0"/>
                <w:numId w:val="7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проезд без совершения административного правонарушения;</w:t>
            </w:r>
          </w:p>
          <w:p w:rsidR="00DC02EA" w:rsidRDefault="00D9227D">
            <w:pPr>
              <w:numPr>
                <w:ilvl w:val="0"/>
                <w:numId w:val="7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12.12 часть 1. Проезд на запрещающий сигнал светофора;</w:t>
            </w:r>
          </w:p>
          <w:p w:rsidR="00DC02EA" w:rsidRDefault="00D9227D">
            <w:pPr>
              <w:numPr>
                <w:ilvl w:val="0"/>
                <w:numId w:val="7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12.12 часть 2. Невыполнение требования Правил дорожного движения об остановке перед стоп-линией, обозначенной дорожными знаками или разметкой проезжей части дороги, при запрещающем сигнале светофора;</w:t>
            </w:r>
          </w:p>
          <w:p w:rsidR="00DC02EA" w:rsidRDefault="00D9227D">
            <w:pPr>
              <w:numPr>
                <w:ilvl w:val="0"/>
                <w:numId w:val="7"/>
              </w:numPr>
              <w:tabs>
                <w:tab w:val="left" w:pos="511"/>
              </w:tabs>
              <w:spacing w:after="0" w:line="240" w:lineRule="auto"/>
              <w:ind w:left="0" w:firstLine="170"/>
              <w:rPr>
                <w:rFonts w:ascii="Liberation Sans" w:eastAsia="NSimSun" w:hAnsi="Liberation Sans" w:cs="Arial" w:hint="eastAsia"/>
                <w:sz w:val="24"/>
                <w:szCs w:val="24"/>
                <w:lang w:eastAsia="zh-CN" w:bidi="hi-IN"/>
              </w:rPr>
            </w:pPr>
            <w:r>
              <w:rPr>
                <w:rFonts w:ascii="Liberation Sans" w:eastAsia="Calibri" w:hAnsi="Liberation Sans" w:cs="Times New Roman"/>
                <w:color w:val="000000" w:themeColor="text1"/>
                <w:sz w:val="24"/>
                <w:szCs w:val="24"/>
                <w:highlight w:val="white"/>
                <w:lang w:eastAsia="zh-CN" w:bidi="hi-IN"/>
              </w:rPr>
              <w:t>статья 12.16 часть 1 Несоблюдение требований, предписанных дорожными знаками или разметкой проезжей части дороги (пересечение разметки 1.1)</w:t>
            </w:r>
          </w:p>
        </w:tc>
      </w:tr>
    </w:tbl>
    <w:p w:rsidR="00DC02EA" w:rsidRDefault="00DC02EA">
      <w:pPr>
        <w:spacing w:after="0" w:line="240" w:lineRule="auto"/>
        <w:ind w:left="360" w:firstLine="349"/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</w:pP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b/>
          <w:bCs/>
          <w:color w:val="000000" w:themeColor="text1"/>
          <w:sz w:val="24"/>
          <w:szCs w:val="24"/>
          <w:highlight w:val="white"/>
        </w:rPr>
        <w:t xml:space="preserve">6.3.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г. Надым, ул. Зверева, в районе дома № 49</w:t>
      </w: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В обоих направлениях движения: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проезд без совершения административного правонарушения;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12.9. Превышение установленной скорости движения ТС;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12.12 часть 1. Проезд на запрещающий сигнал светофора;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12.12 часть 2. Невыполнение требования Правил дорожного движения об остановке перед стоп-линией, обозначенной дорожными знаками или разметкой проезжей части дороги, при запрещающем сигнале светофора;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12.15 часть 4. Выезд в нарушение Правил дорожного движения на полосу, предназначенную для встречного движения;</w:t>
      </w:r>
    </w:p>
    <w:p w:rsidR="00DC02EA" w:rsidRDefault="00D9227D">
      <w:pPr>
        <w:numPr>
          <w:ilvl w:val="0"/>
          <w:numId w:val="13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 xml:space="preserve">статья 12.18. </w:t>
      </w:r>
      <w:proofErr w:type="spellStart"/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Непредоставление</w:t>
      </w:r>
      <w:proofErr w:type="spellEnd"/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 xml:space="preserve"> преимущества в движении пешеходам или иным участникам дорожного движения;</w:t>
      </w:r>
    </w:p>
    <w:p w:rsidR="00DC02EA" w:rsidRDefault="00D9227D">
      <w:pPr>
        <w:numPr>
          <w:ilvl w:val="0"/>
          <w:numId w:val="14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12.6. Управление ТС водителем, не пристегнутым ремнем безопасности, перевозка пассажиров, не пристегнутых ремнями безопасности;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12.20. Нарушение правил пользования внешними световыми приборами;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12.36.1. Нарушение правил пользования телефоном водителем транспортного средства.</w:t>
      </w:r>
    </w:p>
    <w:p w:rsidR="00DC02EA" w:rsidRDefault="00DC02EA">
      <w:pPr>
        <w:tabs>
          <w:tab w:val="left" w:pos="511"/>
        </w:tabs>
        <w:spacing w:after="0" w:line="240" w:lineRule="auto"/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</w:rPr>
      </w:pP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b/>
          <w:bCs/>
          <w:color w:val="000000" w:themeColor="text1"/>
          <w:sz w:val="24"/>
          <w:szCs w:val="24"/>
          <w:highlight w:val="white"/>
        </w:rPr>
        <w:t xml:space="preserve">6.4.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г. Ноябрьск, ул. Высоцкого, в районе дома № 34</w:t>
      </w: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В обоих направлениях движения: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проезд без совершения административного правонарушения;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12.9. Превышение установленной скорости движения ТС;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12.15 часть 4. Выезд в нарушение Правил дорожного движения на полосу, предназначенную для встречного движения;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lastRenderedPageBreak/>
        <w:t xml:space="preserve">статья 12.18. </w:t>
      </w:r>
      <w:proofErr w:type="spellStart"/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Непредоставление</w:t>
      </w:r>
      <w:proofErr w:type="spellEnd"/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 xml:space="preserve"> преимущества в движении пешеходам или иным участникам дорожного движения;</w:t>
      </w: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В одном направлении движения по выбору Подрядчика, обеспечивающем наилучший ракурс: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12.6. Управление ТС водителем, не пристегнутым ремнем безопасности, перевозка пассажиров, не пристегнутых ремнями безопасности;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12.20. Нарушение правил пользования внешними световыми приборами;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12.36.1. Нарушение правил пользования телефоном водителем транспортного средства.</w:t>
      </w:r>
    </w:p>
    <w:p w:rsidR="00DC02EA" w:rsidRDefault="00DC02EA">
      <w:pPr>
        <w:spacing w:after="0" w:line="240" w:lineRule="auto"/>
        <w:ind w:firstLine="709"/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</w:pP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b/>
          <w:bCs/>
          <w:color w:val="000000" w:themeColor="text1"/>
          <w:sz w:val="24"/>
          <w:szCs w:val="24"/>
          <w:highlight w:val="white"/>
        </w:rPr>
        <w:t xml:space="preserve">6.5.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г. Салехард, ул. Чапаева, в районе дома № 29</w:t>
      </w: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В обоих направлениях движения: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проезд без совершения административного правонарушения;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12.9. Превышение установленной скорости движения ТС;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12.15 часть 4. Выезд в нарушение Правил дорожного движения на полосу, предназначенную для встречного движения;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 xml:space="preserve">статья 12.18. </w:t>
      </w:r>
      <w:proofErr w:type="spellStart"/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Непредоставление</w:t>
      </w:r>
      <w:proofErr w:type="spellEnd"/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 xml:space="preserve"> преимущества в движении пешеходам или иным участникам дорожного движения;</w:t>
      </w: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В одном направлении движения по выбору Подрядчика, обеспечивающем наилучший ракурс: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12.6. Управление ТС водителем, не пристегнутым ремнем безопасности, перевозка пассажиров, не пристегнутых ремнями безопасности;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12.20. Нарушение правил пользования внешними световыми приборами;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12.36.1. Нарушение правил пользования телефоном водителем транспортного средства.</w:t>
      </w:r>
    </w:p>
    <w:p w:rsidR="00DC02EA" w:rsidRDefault="00DC02EA">
      <w:pPr>
        <w:spacing w:after="0" w:line="240" w:lineRule="auto"/>
        <w:ind w:firstLine="709"/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</w:pP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b/>
          <w:bCs/>
          <w:color w:val="000000" w:themeColor="text1"/>
          <w:sz w:val="24"/>
          <w:szCs w:val="24"/>
          <w:highlight w:val="white"/>
        </w:rPr>
        <w:t xml:space="preserve">6.6.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г. Ноябрьск, ул. Магистральная, в районе дома № 45/1</w:t>
      </w: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В обоих направлениях движения: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проезд без совершения административного правонарушения;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12.9. Превышение установленной скорости движения ТС;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12.15 часть 4. Выезд в нарушение Правил дорожного движения на полосу, предназначенную для встречного движения;</w:t>
      </w: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В одном направлении движения по выбору Подрядчика, обеспечивающем наилучший ракурс: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12.6. Управление ТС водителем, не пристегнутым ремнем безопасности, перевозка пассажиров, не пристегнутых ремнями безопасности;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12.20. Нарушение правил пользования внешними световыми приборами;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12.36.1. Нарушение правил пользования телефоном водителем транспортного средства.</w:t>
      </w:r>
    </w:p>
    <w:p w:rsidR="00DC02EA" w:rsidRDefault="00DC02EA">
      <w:pPr>
        <w:spacing w:after="0" w:line="240" w:lineRule="auto"/>
        <w:ind w:firstLine="709"/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</w:pP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b/>
          <w:bCs/>
          <w:color w:val="000000" w:themeColor="text1"/>
          <w:sz w:val="24"/>
          <w:szCs w:val="24"/>
          <w:highlight w:val="white"/>
        </w:rPr>
        <w:t xml:space="preserve">6.7.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линейный участок 9 км (8+212) автомобильной дороги Салехард – </w:t>
      </w:r>
      <w:proofErr w:type="spellStart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Лабытнанги</w:t>
      </w:r>
      <w:proofErr w:type="spellEnd"/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В обоих направлениях движения: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проезд без совершения административного правонарушения;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12.9. Превышение установленной скорости движения ТС;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12.15 часть 4. Выезд в нарушение Правил дорожного движения на полосу, предназначенную для встречного движения;</w:t>
      </w: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В одном направлении движения по выбору Подрядчика, обеспечивающем наилучший ракурс: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lastRenderedPageBreak/>
        <w:t>статья 12.6. Управление ТС водителем, не пристегнутым ремнем безопасности, перевозка пассажиров, не пристегнутых ремнями безопасности;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12.20. Нарушение правил пользования внешними световыми приборами;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12.36.1. Нарушение правил пользования телефоном водителем транспортного средства.</w:t>
      </w:r>
    </w:p>
    <w:p w:rsidR="00DC02EA" w:rsidRDefault="00DC02EA">
      <w:pPr>
        <w:spacing w:after="0" w:line="240" w:lineRule="auto"/>
        <w:ind w:firstLine="709"/>
        <w:rPr>
          <w:rFonts w:ascii="Liberation Sans" w:eastAsia="Calibri" w:hAnsi="Liberation Sans"/>
          <w:b/>
          <w:bCs/>
          <w:color w:val="000000" w:themeColor="text1"/>
          <w:sz w:val="24"/>
          <w:szCs w:val="24"/>
          <w:highlight w:val="white"/>
        </w:rPr>
      </w:pP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b/>
          <w:bCs/>
          <w:color w:val="000000" w:themeColor="text1"/>
          <w:sz w:val="24"/>
          <w:szCs w:val="24"/>
          <w:highlight w:val="white"/>
        </w:rPr>
        <w:t xml:space="preserve">6.8.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линейный участок 568 км (567+600) автомобильной дороги Сургут - Салехард</w:t>
      </w: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В обоих направлениях движения: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проезд без совершения административного правонарушения;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12.9. Превышение установленной скорости движения ТС;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12.15 часть 4. Выезд в нарушение Правил дорожного движения на полосу, предназначенную для встречного движения;</w:t>
      </w: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В одном направлении движения по выбору Подрядчика, обеспечивающем наилучший ракурс: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12.6. Управление ТС водителем, не пристегнутым ремнем безопасности, перевозка пассажиров, не пристегнутых ремнями безопасности;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12.20. Нарушение правил пользования внешними световыми приборами;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12.36.1. Нарушение правил пользования телефоном водителем транспортного средства.</w:t>
      </w:r>
    </w:p>
    <w:p w:rsidR="00DC02EA" w:rsidRDefault="00DC02EA">
      <w:pPr>
        <w:spacing w:after="0" w:line="240" w:lineRule="auto"/>
        <w:ind w:firstLine="709"/>
        <w:rPr>
          <w:rFonts w:ascii="Liberation Sans" w:eastAsia="Calibri" w:hAnsi="Liberation Sans"/>
          <w:b/>
          <w:bCs/>
          <w:color w:val="000000" w:themeColor="text1"/>
          <w:sz w:val="24"/>
          <w:szCs w:val="24"/>
          <w:highlight w:val="white"/>
        </w:rPr>
      </w:pP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b/>
          <w:bCs/>
          <w:color w:val="000000" w:themeColor="text1"/>
          <w:sz w:val="24"/>
          <w:szCs w:val="24"/>
          <w:highlight w:val="white"/>
        </w:rPr>
        <w:t xml:space="preserve">6.9.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линейный участок 642 км (641+730) автомобильной дороги Сургут - Салехард</w:t>
      </w: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В обоих направлениях движения: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проезд без совершения административного правонарушения;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12.9. Превышение установленной скорости движения ТС;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12.15 часть 4. Выезд в нарушение Правил дорожного движения на полосу, предназначенную для встречного движения;</w:t>
      </w: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В одном направлении движения, обеспечивающем наилучший ракурс, по выбору Подрядчика: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12.6. Управление ТС водителем, не пристегнутым ремнем безопасности, перевозка пассажиров, не пристегнутых ремнями безопасности;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12.20. Нарушение правил пользования внешними световыми приборами;</w:t>
      </w:r>
    </w:p>
    <w:p w:rsidR="00DC02EA" w:rsidRDefault="00D9227D">
      <w:pPr>
        <w:numPr>
          <w:ilvl w:val="0"/>
          <w:numId w:val="7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12.36.1. Нарушение правил пользования телефоном водителем транспортного средства;</w:t>
      </w:r>
    </w:p>
    <w:p w:rsidR="00DC02EA" w:rsidRDefault="00DC02EA">
      <w:pPr>
        <w:tabs>
          <w:tab w:val="left" w:pos="511"/>
        </w:tabs>
        <w:spacing w:after="0" w:line="240" w:lineRule="auto"/>
        <w:ind w:left="170"/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</w:rPr>
      </w:pPr>
    </w:p>
    <w:p w:rsidR="00DC02EA" w:rsidRDefault="00D9227D">
      <w:pPr>
        <w:spacing w:after="0" w:line="240" w:lineRule="auto"/>
        <w:ind w:left="170" w:firstLine="539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b/>
          <w:bCs/>
          <w:color w:val="000000" w:themeColor="text1"/>
          <w:sz w:val="24"/>
          <w:szCs w:val="24"/>
          <w:highlight w:val="white"/>
        </w:rPr>
        <w:t xml:space="preserve">6.10.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г. Ноябрьск, ул. Ленина, в районе дома № 51.</w:t>
      </w: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В обоих направлениях движения:</w:t>
      </w:r>
    </w:p>
    <w:p w:rsidR="00DC02EA" w:rsidRDefault="00D9227D">
      <w:pPr>
        <w:numPr>
          <w:ilvl w:val="0"/>
          <w:numId w:val="15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проезд без совершения административного правонарушения;</w:t>
      </w:r>
    </w:p>
    <w:p w:rsidR="00DC02EA" w:rsidRDefault="00D9227D">
      <w:pPr>
        <w:numPr>
          <w:ilvl w:val="0"/>
          <w:numId w:val="15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12.9. Превышение установленной скорости движения ТС;</w:t>
      </w:r>
    </w:p>
    <w:p w:rsidR="00DC02EA" w:rsidRDefault="00D9227D">
      <w:pPr>
        <w:numPr>
          <w:ilvl w:val="0"/>
          <w:numId w:val="15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12.15 часть 4. Выезд в нарушение Правил дорожного движения на полосу, предназначенную для встречного движения;</w:t>
      </w:r>
    </w:p>
    <w:p w:rsidR="00DC02EA" w:rsidRDefault="00D9227D">
      <w:pPr>
        <w:numPr>
          <w:ilvl w:val="0"/>
          <w:numId w:val="15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 xml:space="preserve">статья 12.18. </w:t>
      </w:r>
      <w:proofErr w:type="spellStart"/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Непредоставление</w:t>
      </w:r>
      <w:proofErr w:type="spellEnd"/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 xml:space="preserve"> преимущества в движении пешеходам или иным участникам дорожного движения;</w:t>
      </w:r>
    </w:p>
    <w:p w:rsidR="00DC02EA" w:rsidRDefault="00D9227D">
      <w:pPr>
        <w:spacing w:after="0" w:line="240" w:lineRule="auto"/>
        <w:ind w:firstLine="709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В одном направлении движения по выбору Подрядчика, обеспечивающем наилучший ракурс:</w:t>
      </w:r>
    </w:p>
    <w:p w:rsidR="00DC02EA" w:rsidRDefault="00D9227D">
      <w:pPr>
        <w:numPr>
          <w:ilvl w:val="0"/>
          <w:numId w:val="15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12.6. Управление ТС водителем, не пристегнутым ремнем безопасности, перевозка пассажиров, не пристегнутых ремнями безопасности;</w:t>
      </w:r>
    </w:p>
    <w:p w:rsidR="00DC02EA" w:rsidRDefault="00D9227D">
      <w:pPr>
        <w:numPr>
          <w:ilvl w:val="0"/>
          <w:numId w:val="15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t>статья 12.20. Нарушение правил пользования внешними световыми приборами;</w:t>
      </w:r>
    </w:p>
    <w:p w:rsidR="00DC02EA" w:rsidRDefault="00D9227D">
      <w:pPr>
        <w:numPr>
          <w:ilvl w:val="0"/>
          <w:numId w:val="15"/>
        </w:numPr>
        <w:tabs>
          <w:tab w:val="left" w:pos="511"/>
        </w:tabs>
        <w:spacing w:after="0" w:line="240" w:lineRule="auto"/>
        <w:ind w:left="0" w:firstLine="170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Times New Roman"/>
          <w:color w:val="000000" w:themeColor="text1"/>
          <w:sz w:val="24"/>
          <w:szCs w:val="24"/>
          <w:highlight w:val="white"/>
          <w:lang w:eastAsia="zh-CN" w:bidi="hi-IN"/>
        </w:rPr>
        <w:lastRenderedPageBreak/>
        <w:t>статья 12.36.1. Нарушение правил пользования телефоном водителем транспортного средства.</w:t>
      </w:r>
    </w:p>
    <w:p w:rsidR="00DC02EA" w:rsidRDefault="00DC02EA">
      <w:pPr>
        <w:spacing w:after="0" w:line="240" w:lineRule="auto"/>
        <w:ind w:firstLine="709"/>
        <w:rPr>
          <w:rFonts w:ascii="Liberation Sans" w:eastAsia="Calibri" w:hAnsi="Liberation Sans"/>
          <w:b/>
          <w:bCs/>
          <w:color w:val="000000" w:themeColor="text1"/>
          <w:sz w:val="24"/>
          <w:szCs w:val="24"/>
          <w:highlight w:val="white"/>
        </w:rPr>
      </w:pPr>
    </w:p>
    <w:p w:rsidR="00DC02EA" w:rsidRDefault="00D9227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b/>
          <w:color w:val="000000" w:themeColor="text1"/>
          <w:sz w:val="24"/>
          <w:szCs w:val="24"/>
          <w:highlight w:val="white"/>
        </w:rPr>
        <w:t>7. Требования к сертификации КФВФ</w:t>
      </w:r>
    </w:p>
    <w:p w:rsidR="00DC02EA" w:rsidRDefault="00D9227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7.1. Все технические средства КФВФ, подлежащие обязательной сертификации, должны иметь сертификаты соответствия в соответствии с законодательством Российской Федерации, независимо от страны производителя.</w:t>
      </w:r>
    </w:p>
    <w:p w:rsidR="00DC02EA" w:rsidRDefault="00DC02EA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</w:pPr>
    </w:p>
    <w:p w:rsidR="00DC02EA" w:rsidRDefault="00D9227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b/>
          <w:bCs/>
          <w:color w:val="000000" w:themeColor="text1"/>
          <w:sz w:val="24"/>
          <w:szCs w:val="24"/>
          <w:highlight w:val="white"/>
        </w:rPr>
        <w:t>8. Требования к техническим и функциональным характеристикам КФВФ.</w:t>
      </w:r>
    </w:p>
    <w:p w:rsidR="00DC02EA" w:rsidRDefault="00D9227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8.1. Конструкция КФВФ Тип 1, Тип 2 и Тип 3, комплект и параметры оборудования должны быть рассчитаны для первоначального размещения КФВФ в стационарном режиме:</w:t>
      </w:r>
    </w:p>
    <w:p w:rsidR="00DC02EA" w:rsidRDefault="00D9227D">
      <w:pPr>
        <w:pStyle w:val="af9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на консольных и рамных опорах;</w:t>
      </w:r>
    </w:p>
    <w:p w:rsidR="00DC02EA" w:rsidRDefault="00D9227D">
      <w:pPr>
        <w:pStyle w:val="af9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на элементах технических средств организации дорожного движения;</w:t>
      </w:r>
    </w:p>
    <w:p w:rsidR="00DC02EA" w:rsidRDefault="00D9227D">
      <w:pPr>
        <w:pStyle w:val="af9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на дорожных сооружениях;</w:t>
      </w:r>
    </w:p>
    <w:p w:rsidR="00DC02EA" w:rsidRDefault="00D9227D">
      <w:pPr>
        <w:pStyle w:val="af9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на мачтах освещения;</w:t>
      </w:r>
    </w:p>
    <w:p w:rsidR="00DC02EA" w:rsidRDefault="00D9227D">
      <w:pPr>
        <w:pStyle w:val="af9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на Г-образных опорах;</w:t>
      </w:r>
    </w:p>
    <w:p w:rsidR="00DC02EA" w:rsidRDefault="00D9227D">
      <w:pPr>
        <w:pStyle w:val="af9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на придорожных опорах.</w:t>
      </w:r>
    </w:p>
    <w:p w:rsidR="00DC02EA" w:rsidRDefault="00D9227D">
      <w:pPr>
        <w:pStyle w:val="2230"/>
        <w:ind w:left="0" w:firstLine="709"/>
        <w:jc w:val="both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  <w:lang w:eastAsia="en-US"/>
        </w:rPr>
        <w:t>8.2. КФВФ должны обеспечивать:</w:t>
      </w:r>
    </w:p>
    <w:p w:rsidR="00DC02EA" w:rsidRDefault="00D9227D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фиксацию и распознавание передних и задних одно- и двустрочных регистрационных знаков Российской Федерации всех типов в соответствии с ГОСТ Р 50577-2018. «Национальный стандарт Российской Федерации. Знаки государственные регистрационные транспортных средств. Типы и основные размеры. Технические требования»; </w:t>
      </w:r>
    </w:p>
    <w:p w:rsidR="00DC02EA" w:rsidRDefault="00D9227D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фиксацию ТС и измерение скорости ТС, пересекающих зону контроля;</w:t>
      </w:r>
    </w:p>
    <w:p w:rsidR="00DC02EA" w:rsidRDefault="00D9227D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фото- и </w:t>
      </w:r>
      <w:proofErr w:type="spellStart"/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видеофиксацию</w:t>
      </w:r>
      <w:proofErr w:type="spellEnd"/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 нарушений ПДД;</w:t>
      </w:r>
    </w:p>
    <w:p w:rsidR="00DC02EA" w:rsidRDefault="00D9227D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проверку в реальном времени зафиксированных ТС по подключаемым базам розыска;</w:t>
      </w:r>
    </w:p>
    <w:p w:rsidR="00DC02EA" w:rsidRDefault="00D9227D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передачу данных в специальное программное обеспечение, используемое в ЦАФАП, включая СПО «Паутина», для последующей обработки и вынесения постановлений о наложении административного штрафа за нарушение ПДД;</w:t>
      </w:r>
    </w:p>
    <w:p w:rsidR="00DC02EA" w:rsidRDefault="00D9227D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формирование базы данных всех зафиксированных ТС;</w:t>
      </w:r>
    </w:p>
    <w:p w:rsidR="00DC02EA" w:rsidRDefault="00D9227D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автоматическое сохранение данных обо всех зафиксированных нарушениях во внутренней энергонезависимой памяти сроком не менее 30 суток;</w:t>
      </w:r>
    </w:p>
    <w:p w:rsidR="00DC02EA" w:rsidRDefault="00D9227D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bCs/>
          <w:color w:val="000000" w:themeColor="text1"/>
          <w:sz w:val="24"/>
          <w:szCs w:val="24"/>
          <w:highlight w:val="white"/>
        </w:rPr>
        <w:t>возможность удаленной настройки и калибровки;</w:t>
      </w:r>
    </w:p>
    <w:p w:rsidR="00DC02EA" w:rsidRDefault="00D9227D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автоматическую синхронизацию встроенных часов КФВФ с системой спутниковой навигации;</w:t>
      </w:r>
    </w:p>
    <w:p w:rsidR="00DC02EA" w:rsidRDefault="00D9227D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автоматическое восстановление работы после отключения питания и его повторного включения в течение 15 минут;</w:t>
      </w:r>
    </w:p>
    <w:p w:rsidR="00DC02EA" w:rsidRDefault="00D9227D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сохранение данных без потери при отключении питания;</w:t>
      </w:r>
    </w:p>
    <w:p w:rsidR="00DC02EA" w:rsidRDefault="00D9227D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возможность проведения поверки без полного демонтажа КФВФ, при условии, что это предусмотрено утвержденным типом средства измерений и методикой поверки;</w:t>
      </w:r>
    </w:p>
    <w:p w:rsidR="00DC02EA" w:rsidRDefault="00D9227D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возможность удаленной диагностики и технической поддержки КФВФ со стороны изготовителя;</w:t>
      </w:r>
    </w:p>
    <w:p w:rsidR="00DC02EA" w:rsidRDefault="00D9227D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возможность переноса КФВФ на другой рубеж контроля с сохранением действующей поверки, если такой перенос допускается описанием типа средства измерений и методикой поверки;</w:t>
      </w:r>
    </w:p>
    <w:p w:rsidR="00DC02EA" w:rsidRDefault="00D9227D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lastRenderedPageBreak/>
        <w:t xml:space="preserve">фиксацию нарушений ПДД, а также всех проезжающих ТС на дорогах не менее чем с 4 полосами движения транспорта по встречному, попутному транспорту или при взаимно-встречном характере движения так, что всё пространство контролируемой зоны дорожного полотна видно в поле фотографии; </w:t>
      </w:r>
    </w:p>
    <w:p w:rsidR="00DC02EA" w:rsidRDefault="00D9227D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круглосуточную работу в предусмотренных эксплуатационной документацией погодных и климатических условиях.</w:t>
      </w:r>
    </w:p>
    <w:p w:rsidR="00DC02EA" w:rsidRDefault="00DC02EA">
      <w:pPr>
        <w:pStyle w:val="2230"/>
        <w:tabs>
          <w:tab w:val="clear" w:pos="-37"/>
        </w:tabs>
        <w:ind w:left="0" w:firstLine="709"/>
        <w:jc w:val="both"/>
        <w:rPr>
          <w:rFonts w:ascii="Liberation Sans" w:hAnsi="Liberation Sans" w:cs="Liberation Sans" w:hint="eastAsia"/>
          <w:color w:val="000000" w:themeColor="text1"/>
          <w:sz w:val="24"/>
          <w:szCs w:val="24"/>
          <w:highlight w:val="white"/>
        </w:rPr>
      </w:pP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</w:rPr>
        <w:t>9. Требования к подключению КФВФ к электропитанию и каналам связи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</w:rPr>
        <w:t>9.1. Организация постоянного электропитания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Подрядчик обеспечивает подключение каждого КФВФ, размещаемого в стационарном режиме, к источнику постоянного электропитания напряжением 220 В.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Точка и способ подключения определяются по результатам обследования места установки с учётом технической возможности подключения, требований собственника электрических сетей, минимизации протяжённости линий электропитания и обеспечения круглосуточной работы КФВФ.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Подрядчик получает технические условия и иные исходные данные, необходимые для подключения, у сетевой организации, собственника электрических сетей либо иного уполномоченного лица.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Схема электроснабжения каждого КФВФ включается в состав рабочей документации и согласовывается в порядке, предусмотренном разделом 11 настоящего Технического задания.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Подрядчик выполняет все мероприятия по подключению КФВФ, предусмотренные техническими условиями и рабочей документацией, и оформляет документы, необходимые для подачи электрической энергии.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К дате предъявления соответствующего КФВФ к приёмке должны быть обеспечены: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– постоянное электропитание КФВФ;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– исправность линий и оборудования электроснабжения;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– учёт электрической энергии в соответствии с техническими условиями и требованиями законодательства Российской Федерации.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Все расходы на получение технических условий, приобретение оборудования и материалов, выполнение работ по подключению, оформление документов и подачу электрической энергии в течение срока приёмки включаются в цену Договора и дополнительной оплате не подлежат.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Требования настоящего пункта распространяются на КФВФ, первоначально размещаемые в стационарном режиме. Наличие у КФВФ Тип 3 автономных источников питания и комплектов подключения к бортовой сети транспортного средства не заменяет постоянное электропитание при стационарном размещении.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</w:rPr>
        <w:t>9.2. Прокладка линий электропитания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Способ и трасса прокладки кабельных линий электропитания определяются техническими условиями и рабочей документацией.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Кабельные линии должны быть защищены от механических повреждений и климатических воздействий.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При выполнении земляных работ Подрядчик обязан обеспечить соблюдение применимых нормативных требований и восстановление нарушенного благоустройства за свой счёт.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</w:rPr>
        <w:t>9.3. Организация каналов передачи данных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Подрядчик организует каналы передачи данных от каждого КФВФ до точек подключения к СПО «Паутина» и ЕСВ ЯНАО в соответствии с требованиями пунктов 12.14–12.17 настоящего Технического задания.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lastRenderedPageBreak/>
        <w:t>К дате предъявления КФВФ к приёмке каналы передачи данных должны быть организованы, настроены и обеспечивать передачу: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– материалов и служебной информации в СПО «Паутина»;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– видеопотока в ЕСВ ЯНАО.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Все расходы на получение исходных данных, организацию каналов связи, приобретение, монтаж и настройку сетевого оборудования, а также оплату услуг связи в течение срока приёмки включаются в цену Договора и дополнительной оплате не подлежат.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b/>
          <w:color w:val="000000" w:themeColor="text1"/>
          <w:sz w:val="24"/>
          <w:szCs w:val="24"/>
          <w:highlight w:val="white"/>
        </w:rPr>
        <w:t>9.4. Прокладка линий связи и размещение оборудования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Способ и трасса прокладки кабельных линий связи определяются техническими условиями и рабочей документацией. Линии связи должны быть защищены от механических повреждений и климатических воздействий.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Активное сетевое оборудование, не входящее конструктивно в состав КФВФ и предназначенное для наружного размещения, устанавливается в защищённых всепогодных шкафах, обеспечивающих условия эксплуатации оборудования и возможность его обслуживания без доступа к оборудованию КФВФ.</w:t>
      </w:r>
    </w:p>
    <w:p w:rsidR="00DC02EA" w:rsidRDefault="00DC02EA">
      <w:pPr>
        <w:pStyle w:val="2230"/>
        <w:tabs>
          <w:tab w:val="clear" w:pos="-37"/>
        </w:tabs>
        <w:ind w:left="0" w:firstLine="709"/>
        <w:jc w:val="both"/>
        <w:rPr>
          <w:rFonts w:ascii="Liberation Sans" w:hAnsi="Liberation Sans" w:cs="Liberation Sans" w:hint="eastAsia"/>
          <w:color w:val="000000" w:themeColor="text1"/>
          <w:sz w:val="24"/>
          <w:szCs w:val="24"/>
          <w:highlight w:val="white"/>
        </w:rPr>
      </w:pPr>
    </w:p>
    <w:p w:rsidR="00DC02EA" w:rsidRDefault="00D922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b/>
          <w:bCs/>
          <w:color w:val="000000" w:themeColor="text1"/>
          <w:sz w:val="24"/>
          <w:szCs w:val="24"/>
          <w:highlight w:val="white"/>
        </w:rPr>
        <w:t>10. Требование к встроенному программному обеспечению:</w:t>
      </w:r>
    </w:p>
    <w:p w:rsidR="00DC02EA" w:rsidRDefault="00D9227D">
      <w:pPr>
        <w:pStyle w:val="ConsPlusNormal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Встроенное программное обеспечение комплекса должно обеспечивать возможность настройки комплекса с применением настольного ПК, ноутбука, планшета или смартфона посредством </w:t>
      </w:r>
      <w:proofErr w:type="spellStart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web</w:t>
      </w:r>
      <w:proofErr w:type="spellEnd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-интерфейса через современные совместимые </w:t>
      </w:r>
      <w:proofErr w:type="spellStart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web</w:t>
      </w:r>
      <w:proofErr w:type="spellEnd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-браузеры (</w:t>
      </w:r>
      <w:proofErr w:type="spellStart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Yandex</w:t>
      </w:r>
      <w:proofErr w:type="spellEnd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 Браузер, </w:t>
      </w:r>
      <w:proofErr w:type="spellStart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Google</w:t>
      </w:r>
      <w:proofErr w:type="spellEnd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 </w:t>
      </w:r>
      <w:proofErr w:type="spellStart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Chrome</w:t>
      </w:r>
      <w:proofErr w:type="spellEnd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, </w:t>
      </w:r>
      <w:proofErr w:type="spellStart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Opera</w:t>
      </w:r>
      <w:proofErr w:type="spellEnd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, </w:t>
      </w:r>
      <w:proofErr w:type="spellStart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Mozilla</w:t>
      </w:r>
      <w:proofErr w:type="spellEnd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 </w:t>
      </w:r>
      <w:proofErr w:type="spellStart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Firefox</w:t>
      </w:r>
      <w:proofErr w:type="spellEnd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 и т.д.) без необходимости установки на эти устройства дополнительного ПО (в том числе ПО для доступа к удаленному рабочему столу).</w:t>
      </w:r>
    </w:p>
    <w:p w:rsidR="00DC02EA" w:rsidRDefault="00D9227D">
      <w:pPr>
        <w:pStyle w:val="ConsPlusNormal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Специализированное программное обеспечение должно поставляться без необходимости приобретения Заказчиком дополнительных лицензий на его использование</w:t>
      </w:r>
      <w:r>
        <w:rPr>
          <w:rFonts w:ascii="Liberation Sans" w:hAnsi="Liberation Sans"/>
          <w:color w:val="000000" w:themeColor="text1"/>
          <w:sz w:val="24"/>
          <w:szCs w:val="24"/>
          <w:highlight w:val="white"/>
        </w:rPr>
        <w:t>.</w:t>
      </w:r>
    </w:p>
    <w:p w:rsidR="00DC02EA" w:rsidRDefault="00DC02EA">
      <w:pPr>
        <w:pStyle w:val="2230"/>
        <w:ind w:left="0" w:firstLine="709"/>
        <w:jc w:val="both"/>
        <w:outlineLvl w:val="0"/>
        <w:rPr>
          <w:rFonts w:ascii="Liberation Sans" w:eastAsia="Calibri" w:hAnsi="Liberation Sans" w:cs="Liberation Serif"/>
          <w:b/>
          <w:bCs/>
          <w:color w:val="000000" w:themeColor="text1"/>
          <w:sz w:val="24"/>
          <w:szCs w:val="24"/>
          <w:highlight w:val="white"/>
        </w:rPr>
      </w:pPr>
    </w:p>
    <w:p w:rsidR="00DC02EA" w:rsidRDefault="00D9227D">
      <w:pPr>
        <w:pStyle w:val="2230"/>
        <w:ind w:left="0" w:firstLine="709"/>
        <w:jc w:val="both"/>
        <w:outlineLvl w:val="0"/>
        <w:rPr>
          <w:rFonts w:ascii="Liberation Sans" w:hAnsi="Liberation Sans" w:hint="eastAsia"/>
          <w:sz w:val="24"/>
          <w:szCs w:val="24"/>
        </w:rPr>
      </w:pPr>
      <w:r>
        <w:rPr>
          <w:rFonts w:ascii="Liberation Sans" w:eastAsia="Calibri" w:hAnsi="Liberation Sans" w:cs="Liberation Serif"/>
          <w:b/>
          <w:color w:val="000000" w:themeColor="text1"/>
          <w:sz w:val="24"/>
          <w:szCs w:val="24"/>
          <w:highlight w:val="white"/>
          <w:lang w:eastAsia="ar-SA"/>
        </w:rPr>
        <w:t xml:space="preserve">11. Рабочая и исполнительная документация, которую должен подготовить Подрядчик. </w:t>
      </w:r>
    </w:p>
    <w:p w:rsidR="00DC02EA" w:rsidRDefault="00D9227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Для монтажа оборудования КФВФ Подрядчик осуществляет:</w:t>
      </w:r>
    </w:p>
    <w:p w:rsidR="00DC02EA" w:rsidRDefault="00D9227D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 xml:space="preserve">сбор исходных данных, необходимых для монтажа и </w:t>
      </w:r>
      <w:proofErr w:type="spellStart"/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пусконаладки</w:t>
      </w:r>
      <w:proofErr w:type="spellEnd"/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;</w:t>
      </w:r>
    </w:p>
    <w:p w:rsidR="00DC02EA" w:rsidRDefault="00D9227D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согласование схемы размещения оборудования на местах установки КФВФ с Заказчиком, а также с организациями (лицами), интересы и полномочия которых затрагиваются при исполнении Договора до начала проектирования;</w:t>
      </w:r>
    </w:p>
    <w:p w:rsidR="00DC02EA" w:rsidRDefault="00D9227D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разработку схем организации дорожного движения на период производства работ, согласование их со всеми организациями (лицами), интересы и полномочия которых затрагиваются при исполнении Договора, а также установку временных дорожных знаков и иных технических средств организации дорожного движения на период производства работ.</w:t>
      </w:r>
    </w:p>
    <w:p w:rsidR="00DC02EA" w:rsidRDefault="00D9227D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подготовку рабочей документации на монтаж, настройку и подключение оборудования КФВФ, согласование её со всеми организациями (лицами), интересы и полномочия которых затрагиваются при исполнении Договора;</w:t>
      </w:r>
    </w:p>
    <w:p w:rsidR="00DC02EA" w:rsidRDefault="00D9227D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подготовку исполнительной документации.</w:t>
      </w:r>
    </w:p>
    <w:p w:rsidR="00DC02EA" w:rsidRDefault="00D9227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До начала подготовки рабочей документации Подрядчик запрашивает технические условия и иные исходные данные, необходимые для проектирования, у организаций (лиц), интересы и полномочия которых затрагиваются при исполнении Договора.</w:t>
      </w:r>
    </w:p>
    <w:p w:rsidR="00DC02EA" w:rsidRDefault="00D9227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Подготовка рабочей документации на монтаж, настройку и подключение КФВФ производится до начала выполнения соответствующих работ.</w:t>
      </w:r>
    </w:p>
    <w:p w:rsidR="00DC02EA" w:rsidRDefault="00D9227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lastRenderedPageBreak/>
        <w:t>Рабочая документация на монтаж, настройку и подключение КФВФ согласуется с Заказчиком, а также с организациями (лицами), интересы и полномочия которых затрагиваются при исполнении Договора.</w:t>
      </w:r>
    </w:p>
    <w:p w:rsidR="00DC02EA" w:rsidRDefault="00D9227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Рабочая документация на монтаж, настройку и подключение КФВФ направляется Подрядчиком Заказчику на согласование до начала выполнения соответствующих работ.</w:t>
      </w:r>
    </w:p>
    <w:p w:rsidR="00DC02EA" w:rsidRDefault="00D9227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Заказчик рассматривает рабочую документацию в срок не более 5 рабочих дней со дня ее получения. Согласование Заказчиком рабочей документации осуществляется в части соответствия предусмотренных решений местам установки КФВФ, требованиям настоящего Технического задания и условиям Договора.</w:t>
      </w:r>
    </w:p>
    <w:p w:rsidR="00DC02EA" w:rsidRDefault="00D9227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При наличии замечаний Заказчик направляет их Подрядчику в письменной форме. Подрядчик устраняет замечания и повторно направляет рабочую документацию Заказчику на согласование. Повторное рассмотрение Заказчиком осуществляется в срок не более 3 рабочих дней со дня получения доработанной рабочей документации.</w:t>
      </w:r>
    </w:p>
    <w:p w:rsidR="00DC02EA" w:rsidRDefault="00D9227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Согласование рабочей документации с организациями и лицами, интересы и полномочия которых затрагиваются при исполнении Договора, осуществляется Подрядчиком самостоятельно в пределах общего срока исполнения Договора.</w:t>
      </w:r>
    </w:p>
    <w:p w:rsidR="00DC02EA" w:rsidRDefault="00D9227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Рабочая документация выполняется в соответствии с требованиями действующих нормативных документов.</w:t>
      </w:r>
    </w:p>
    <w:p w:rsidR="00DC02EA" w:rsidRDefault="00D9227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В состав рабочей документации входят следующие описания, структурированные в виде разделов:</w:t>
      </w:r>
    </w:p>
    <w:p w:rsidR="00DC02EA" w:rsidRDefault="00D9227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 xml:space="preserve">Общие положения (включая наименования объектов, точек размещения оборудования, видов оборудования и их назначения, описание алгоритма работы комплексов в процессе фиксации каждого вида нарушения и т.д.); </w:t>
      </w:r>
    </w:p>
    <w:p w:rsidR="00DC02EA" w:rsidRDefault="00D9227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Сводные спецификации оборудования, детализированные технические характеристики оборудования и программного обеспечения с распределением по каждому виду;</w:t>
      </w:r>
    </w:p>
    <w:p w:rsidR="00DC02EA" w:rsidRDefault="00D9227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Схематичные исполнения (структурные, функциональные, принципиальные схемы) с географической привязкой к местам установки;</w:t>
      </w:r>
    </w:p>
    <w:p w:rsidR="00DC02EA" w:rsidRDefault="00D9227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сведения, необходимые для последующей эксплуатации и технического обслуживания КФВФ, включая сетевые параметры, схемы адресации, настройки взаимодействия с ЦАФАП и перечень предоставляемых Заказчику доступов</w:t>
      </w:r>
      <w:r>
        <w:rPr>
          <w:rFonts w:ascii="Liberation Sans" w:hAnsi="Liberation Sans"/>
          <w:color w:val="000000" w:themeColor="text1"/>
          <w:sz w:val="24"/>
          <w:szCs w:val="24"/>
          <w:highlight w:val="white"/>
        </w:rPr>
        <w:t>.</w:t>
      </w:r>
    </w:p>
    <w:p w:rsidR="00DC02EA" w:rsidRDefault="00D9227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Конфигурационные параметры установленного оборудования и программного обеспечения (включая карты сетевой маршрутизации);</w:t>
      </w:r>
    </w:p>
    <w:p w:rsidR="00DC02EA" w:rsidRDefault="00D9227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Иные разделы, необходимые для выполнения работ и последующей эксплуатации КФВФ.</w:t>
      </w:r>
    </w:p>
    <w:p w:rsidR="00DC02EA" w:rsidRDefault="00D9227D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Исполнительная документация содержит:</w:t>
      </w:r>
    </w:p>
    <w:p w:rsidR="00DC02EA" w:rsidRDefault="00D9227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Ведомость технической документации, предъявляемой при сдаче-приёмке;</w:t>
      </w:r>
    </w:p>
    <w:p w:rsidR="00DC02EA" w:rsidRDefault="00D9227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Экземпляр согласованной сторонами рабочей документации на бумажном носителе;</w:t>
      </w:r>
    </w:p>
    <w:p w:rsidR="00DC02EA" w:rsidRDefault="00D9227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Экземпляр согласованной сторонами рабочей документации на электронном носителе на русском языке;</w:t>
      </w:r>
    </w:p>
    <w:p w:rsidR="00DC02EA" w:rsidRDefault="00D9227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Акты скрытых работ (при наличии таких работ);</w:t>
      </w:r>
    </w:p>
    <w:p w:rsidR="00DC02EA" w:rsidRDefault="00D9227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Акт технической готовности электромонтажных работ;</w:t>
      </w:r>
    </w:p>
    <w:p w:rsidR="00DC02EA" w:rsidRDefault="00D9227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Акт приёмки-передачи оборудования КФВФ;</w:t>
      </w:r>
    </w:p>
    <w:p w:rsidR="00DC02EA" w:rsidRDefault="00D9227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 xml:space="preserve">Ведомость смонтированного электрооборудования; </w:t>
      </w:r>
    </w:p>
    <w:p w:rsidR="00DC02EA" w:rsidRDefault="00D9227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Протокол измерения сопротивления изоляции;</w:t>
      </w:r>
    </w:p>
    <w:p w:rsidR="00DC02EA" w:rsidRDefault="00D9227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Протокол измерения сопротивления растеканию тока заземляющего устройства;</w:t>
      </w:r>
    </w:p>
    <w:p w:rsidR="00DC02EA" w:rsidRDefault="00D9227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Сертификаты качества использованных материалов (при наличии);</w:t>
      </w:r>
    </w:p>
    <w:p w:rsidR="00DC02EA" w:rsidRDefault="00D9227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 xml:space="preserve">Паспорта оборудования и паспорт на </w:t>
      </w: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КФВФ</w:t>
      </w: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;</w:t>
      </w:r>
    </w:p>
    <w:p w:rsidR="00DC02EA" w:rsidRDefault="00D9227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lastRenderedPageBreak/>
        <w:t>Одновременно с исполнительной документацией Подрядчик передаёт Заказчику учётные данные доступа, параметры конфигурирования и инструкции, необходимые для эксплуатации, диагностики и последующего обслуживания КФВФ. Использование скрытых или недокументированных учётных записей не допускается.</w:t>
      </w:r>
    </w:p>
    <w:p w:rsidR="00DC02EA" w:rsidRDefault="00D9227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</w:rPr>
        <w:t>Свидетельства о поверке смонтированного измерительного оборудования;</w:t>
      </w:r>
    </w:p>
    <w:p w:rsidR="00DC02EA" w:rsidRDefault="00D9227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Конфигурационные параметры установленного оборудования и программного обеспечения.</w:t>
      </w:r>
    </w:p>
    <w:p w:rsidR="00DC02EA" w:rsidRDefault="00D922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Качество выполняемых работ должно соответствовать техническим требованиям, нормам и правилам, установленным законодательством Российской Федерации. При сдаче выполненных мероприятий Подрядчик передаёт Заказчику всю исполнительную и рабочую документацию.</w:t>
      </w:r>
    </w:p>
    <w:p w:rsidR="00DC02EA" w:rsidRDefault="00D922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 w:cs="Liberation Serif"/>
          <w:color w:val="000000" w:themeColor="text1"/>
          <w:sz w:val="24"/>
          <w:szCs w:val="24"/>
          <w:highlight w:val="white"/>
          <w:lang w:eastAsia="ar-SA"/>
        </w:rPr>
        <w:t>На период производства работ по монтажу КФВФ Подрядчик обеспечивает установку временных дорожных знаков, ограждений и иных технических средств организации дорожного движения, а также выполнение мероприятий по обеспечению безопасности участников дорожного движения в соответствии с согласованной схемой организации дорожного движения на период производства работ и ОДМ 218.6.019-2016.</w:t>
      </w:r>
    </w:p>
    <w:p w:rsidR="00DC02EA" w:rsidRDefault="00DC02EA">
      <w:pPr>
        <w:spacing w:after="0" w:line="240" w:lineRule="auto"/>
        <w:ind w:firstLine="709"/>
        <w:jc w:val="both"/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</w:pP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b/>
          <w:color w:val="000000" w:themeColor="text1"/>
          <w:sz w:val="24"/>
          <w:szCs w:val="24"/>
          <w:highlight w:val="white"/>
        </w:rPr>
        <w:t xml:space="preserve">12. Требования к выполнению работ по монтажу, </w:t>
      </w:r>
      <w:proofErr w:type="spellStart"/>
      <w:r>
        <w:rPr>
          <w:rFonts w:ascii="Liberation Sans" w:eastAsia="Calibri" w:hAnsi="Liberation Sans"/>
          <w:b/>
          <w:color w:val="000000" w:themeColor="text1"/>
          <w:sz w:val="24"/>
          <w:szCs w:val="24"/>
          <w:highlight w:val="white"/>
        </w:rPr>
        <w:t>пусконаладке</w:t>
      </w:r>
      <w:proofErr w:type="spellEnd"/>
      <w:r>
        <w:rPr>
          <w:rFonts w:ascii="Liberation Sans" w:eastAsia="Calibri" w:hAnsi="Liberation Sans"/>
          <w:b/>
          <w:color w:val="000000" w:themeColor="text1"/>
          <w:sz w:val="24"/>
          <w:szCs w:val="24"/>
          <w:highlight w:val="white"/>
        </w:rPr>
        <w:t xml:space="preserve"> и интеграции. 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12.1. До проведения монтажных и пусконаладочных работ Подрядчик предоставляет Заказчику подлежащие установке КФВФ для осмотра, проверки комплектности и соответствия их техническим характеристикам, указанным в </w:t>
      </w:r>
      <w:proofErr w:type="spellStart"/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Cпецификации</w:t>
      </w:r>
      <w:proofErr w:type="spellEnd"/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 (Приложение № 3 к Техническому заданию). 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В ходе осмотра Заказчик проверяет марку (модель) КФВФ, их заводские (серийные номера), комплектность, технические и метрологические характеристики в соответствии с паспортами (формулярами). 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В рамках предварительной проверки работоспособности КФВФ до начала монтажных и пусконаладочных работ Сторонами проводится проверка технической возможности эксплуатации одного КФВФ Тип 3 в мобильном режиме. Этот КФВФ Тип 3, подлежащий проверке, определяется Заказчиком.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Для проведения проверки Подрядчик устанавливает определённый Заказчиком КФВФ Тип 3 в легковой автомобиль, предоставляемый Заказчиком, и демонстрирует измерение скорости движения транспортных средств при мобильном размещении в процессе движения автомобиля с точностью, соответствующей описанию типа средства измерений. Результаты оформляются актом осмотра и проверки комплектности КФВФ. К акту прикладываются копии паспортов (формуляров) из комплекта КФВФ. Акт составляется в двух экземплярах по одному экземпляру для Заказчика и Подрядчика. После подписания Акта осмотра Подрядчик не вправе осуществить замену отраженного в акте оборудования без письменного согласования Заказчика.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Расходы Подрядчика, связанные с проведением указанной проверки, учитываются в цене Договора и дополнительной оплате не подлежат.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Предварительная проверка всех КФВФ на соответствие условиям настоящего Технического задания проводится Заказчиком в срок не более 5 рабочих дней со дня предоставления КФВФ Подрядчиком.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При наличии замечаний Заказчик направляет их Подрядчику в письменной форме. Подрядчик устраняет замечания и повторно предоставляет КФВФ для проверки. Повторная проверка проводится Заказчиком в срок не более 3 рабочих дней со дня повторного предоставления КФВФ.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Без прохождения предварительной проверки всех КФВФ на соответствие условиям технического задания, не допускается переход к монтажным и пусконаладочным работам.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lastRenderedPageBreak/>
        <w:t>12.2. Монтаж КФВФ и их конструктивных элементов должен осуществляться с соблюдением действующих в Российской Федерации норм и правил, в том числе правил техники безопасности, противопожарной и экологической безопасности.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12.3. КФВФ Тип 3 должны обеспечивать возможность применения в стационарном, передвижном и мобильном режимах. Конкретный состав комплектов крепежных устройств, приспособлений и оборудования, необходимых для применения КФВФ Тип 3 в указанных режимах, определяется Спецификацией.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Поставка указанных комплектов не изменяет обязанность Подрядчика по размещению, подключению, </w:t>
      </w:r>
      <w:proofErr w:type="spellStart"/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пусконаладке</w:t>
      </w:r>
      <w:proofErr w:type="spellEnd"/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 и сдаче каждого КФВФ Тип 3 в стационарном режиме на местах установки, предусмотренных настоящим Техническим заданием.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12.4. Ответственность за вред и ущерб, причинённый третьим лицам или их имуществу при выполнении работ по монтажу, </w:t>
      </w:r>
      <w:proofErr w:type="spellStart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пусконаладке</w:t>
      </w:r>
      <w:proofErr w:type="spellEnd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 и интеграции КФВФ, несёт Подрядчик, если не докажет, что вред и ущерб причинён не по его вине.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12.5. Пусконаладочные испытания считаются завершёнными только при подтверждении работоспособности КФВФ, корректного распознавания ГРЗ, фиксации предусмотренных настоящим техническим заданием событий, а также фактической передачи и обработки данных в СПО «Паутина» и передачи видеопотока в ЕСВ ЯНАО.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12.6. Подписание акта установки КФВФ в стационарном режиме допускается при условии фактической готовности комплекса к эксплуатации, подтвержденной результатами испытаний, наличием постоянного электропитания, работоспособной системы учета потребляемой электрической энергии, организованных каналов связи, интеграцией со СПО «Паутина», подтвержденной передачей видеопотока в ЕСВ ЯНАО, передачей Заказчику предусмотренных документации и доступов, а также документов, подтверждающих наличие действующих договоров и (или) соглашений, необходимых для электроснабжения КФВФ и предоставления каналов связи в течение срока, предусмотренного п</w:t>
      </w: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унктом 3.3 настоящего Технического задания.</w:t>
      </w:r>
    </w:p>
    <w:p w:rsidR="00DC02EA" w:rsidRDefault="00D9227D">
      <w:pPr>
        <w:spacing w:after="0" w:line="240" w:lineRule="auto"/>
        <w:ind w:firstLine="709"/>
        <w:jc w:val="both"/>
        <w:outlineLvl w:val="0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</w:rPr>
        <w:t xml:space="preserve">12.7. После выполнения монтажа и пусконаладочных работ, включая настройку КФВФ на фиксацию нарушений Правил дорожного движения, Подрядчик в присутствии представителя Заказчика обязан продемонстрировать (провести испытание) работоспособность КФВФ. 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ru-RU"/>
        </w:rPr>
        <w:t xml:space="preserve">12.8. По результатам указанных испытаний Заказчик подтверждает либо не подтверждает соответствие работоспособности КФВФ требованиям настоящего Договора и приложений к нему. 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ru-RU"/>
        </w:rPr>
        <w:t>12.9. Пусконаладочные испытания признаются надлежащим образом проведенными и подтверждаются Заказчиком при условии, что работоспособность и функциональные характеристики КФВФ соответствуют требованиям настоящего Договора и приложениям к нему.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ru-RU"/>
        </w:rPr>
        <w:t>12.10. Интеграция считается выполненной после подтверждения возможности приема, просмотра, обработки и использования материалов, поступающих от КФВФ, в СПО «Паутина», а также передачи видеопотока в ЕСВ ЯНАО.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Cs/>
          <w:color w:val="000000" w:themeColor="text1"/>
          <w:sz w:val="24"/>
          <w:szCs w:val="24"/>
          <w:highlight w:val="white"/>
          <w:lang w:eastAsia="ru-RU"/>
        </w:rPr>
        <w:t>12.11. Выполнение всего комплекса работ по монтажу</w:t>
      </w:r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ru-RU"/>
        </w:rPr>
        <w:t xml:space="preserve">, </w:t>
      </w:r>
      <w:proofErr w:type="spellStart"/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ru-RU"/>
        </w:rPr>
        <w:t>пусконаладке</w:t>
      </w:r>
      <w:proofErr w:type="spellEnd"/>
      <w:r>
        <w:rPr>
          <w:rFonts w:ascii="Liberation Sans" w:hAnsi="Liberation Sans"/>
          <w:color w:val="000000" w:themeColor="text1"/>
          <w:sz w:val="24"/>
          <w:szCs w:val="24"/>
          <w:highlight w:val="white"/>
          <w:lang w:eastAsia="ru-RU"/>
        </w:rPr>
        <w:t xml:space="preserve"> и интеграции в СПО «Паутина» и их соответствие условиям Договора подтверждается подписанием Сторонами актов установки КФВФ.</w:t>
      </w:r>
    </w:p>
    <w:p w:rsidR="00DC02EA" w:rsidRDefault="00D9227D">
      <w:pPr>
        <w:spacing w:after="0" w:line="240" w:lineRule="auto"/>
        <w:ind w:firstLine="709"/>
        <w:jc w:val="both"/>
        <w:outlineLvl w:val="0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</w:rPr>
        <w:t>12.12. После проведения демонстрации (испытания) работоспособности КФВФ Сторонами подписывается акт установки КФВФ, подготовленный Подрядчиком.</w:t>
      </w:r>
    </w:p>
    <w:p w:rsidR="00DC02EA" w:rsidRDefault="00D9227D">
      <w:pPr>
        <w:spacing w:after="0" w:line="240" w:lineRule="auto"/>
        <w:ind w:firstLine="709"/>
        <w:jc w:val="both"/>
        <w:outlineLvl w:val="0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 w:themeColor="text1"/>
          <w:sz w:val="24"/>
          <w:szCs w:val="24"/>
          <w:highlight w:val="white"/>
        </w:rPr>
        <w:t>Подписание акта установки КФВФ подтверждает техническую готовность соответствующего КФВФ к эксплуатации и не является итоговой приемкой исполнения обязательств Подрядчика по Договору.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12.13. Размещение КФВФ и оборудования, необходимого для их функционирования, осуществляется Подрядчиком в соответствии со схемами размещения, рабочей документацией, техническими условиями, согласованиями и иной исходно-разрешительной документацией, полученными в установленном порядке.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lastRenderedPageBreak/>
        <w:t xml:space="preserve">Подрядчик самостоятельно согласовывает с владельцами автомобильных дорог, собственниками технических средств организации дорожного движения, опор, мачт, балок, дорожных сооружений, инженерных коммуникаций и </w:t>
      </w:r>
      <w:proofErr w:type="gramStart"/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иными заинтересованными организациями</w:t>
      </w:r>
      <w:proofErr w:type="gramEnd"/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 и лицами место, способ и порядок размещения КФВФ, крепежных элементов, кабельных линий, оборудования электропитания и связи.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При наличии технической возможности размещение КФВФ осуществляется с использованием существующей инфраструктуры, включая опоры, мачты, балки, элементы технических средств организации дорожного движения, дорожные сооружения и иные конструкции, согласованные их собственниками или владельцами.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В случае отсутствия технической возможности размещения КФВФ на существующей инфраструктуре либо отказа собственника или владельца соответствующей инфраструктуры в согласовании такого размещения Подрядчик обеспечивает установку новой опоры, конструкции либо иного элемента, необходимого для размещения КФВФ и оборудования, обеспечивающего его функционирование, на основании технических условий, согласований и иной исходно-разрешительной документации, полученных в установленном порядке.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Расходы, связанные с согласованием размещения КФВФ, использованием существующей инфраструктуры, установкой новых опор, конструкций либо иных элементов, необходимых для размещения КФВФ и оборудования, обеспечивающего его функционирование, включаются в цену Договора и дополнительной оплате не подлежат.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12.14. Организация связи между КФВФ и серверным оборудованием сегмента специального программного обеспечения, размещённого в ЦАФАП, обеспечивается Подрядчиком.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Подрядчик обязан обеспечить передачу со всех стационарных КФВФ:</w:t>
      </w:r>
    </w:p>
    <w:p w:rsidR="00DC02EA" w:rsidRDefault="00D9227D">
      <w:pPr>
        <w:pStyle w:val="af9"/>
        <w:numPr>
          <w:ilvl w:val="0"/>
          <w:numId w:val="17"/>
        </w:numPr>
        <w:spacing w:after="0" w:line="240" w:lineRule="auto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в СПО «Паутина» — видеопотока в режиме реального времени, метаданных, сведений о зафиксированных нарушениях Правил дорожного движения и данных служебной телеметрии в формате, совместимом с протоколом «duplo2»;</w:t>
      </w:r>
    </w:p>
    <w:p w:rsidR="00DC02EA" w:rsidRDefault="00D9227D">
      <w:pPr>
        <w:pStyle w:val="af9"/>
        <w:numPr>
          <w:ilvl w:val="0"/>
          <w:numId w:val="17"/>
        </w:numPr>
        <w:spacing w:after="0" w:line="240" w:lineRule="auto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в ЕСВ ЯНАО — исключительно видеопотока в режиме реального времени.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Передача указанных данных осуществляется параллельно по высокоскоростным выделенным каналам связи, соответствующим требованиям, установленным пунктами 12.15 и 12.16 настоящего Технического задания.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Информация, предусмотренная подпунктом «а» пункта 2 Правил передачи, приёма и обработки информации, указанной в подпункте «б» пункта 2 части 9 и части 12 статьи 22.1 Федерального закона от 8 ноября 2007 года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утверждённых постановлением Правительства Российской Федерации от 1 июня 2024 года № 752, подлежит передаче исключительно в СПО «Паутина».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12.15. Каналы передачи данных для стационарных КФВФ должны быть организованы на базе выделенных линий связи: оптоволоконных линий связи и (или) радиорелейных линий связи прямой видимости, с организацией виртуальной частной сети уровня L2 (L2VPN), обеспечивающей защищённый режим передачи данных.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Использование сетей связи общего пользования в качестве основного канала передачи данных не допускается, за исключением случаев, прямо согласованных с Заказчиком при документально подтвержденной невозможности организации выделенной линии связи по техническим причинам и при условии соблюдения характеристик канала передачи данных, установленных пунктом 12.16 настоящего Технического задания.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12.16 Требуемые характеристики сети:</w:t>
      </w:r>
    </w:p>
    <w:p w:rsidR="00DC02EA" w:rsidRDefault="00DC02EA">
      <w:pPr>
        <w:spacing w:after="0" w:line="240" w:lineRule="auto"/>
        <w:ind w:firstLine="709"/>
        <w:jc w:val="both"/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</w:pPr>
    </w:p>
    <w:tbl>
      <w:tblPr>
        <w:tblStyle w:val="aff4"/>
        <w:tblW w:w="14598" w:type="dxa"/>
        <w:tblLayout w:type="fixed"/>
        <w:tblLook w:val="04A0" w:firstRow="1" w:lastRow="0" w:firstColumn="1" w:lastColumn="0" w:noHBand="0" w:noVBand="1"/>
      </w:tblPr>
      <w:tblGrid>
        <w:gridCol w:w="674"/>
        <w:gridCol w:w="6696"/>
        <w:gridCol w:w="7228"/>
      </w:tblGrid>
      <w:tr w:rsidR="00DC02EA">
        <w:tc>
          <w:tcPr>
            <w:tcW w:w="674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lastRenderedPageBreak/>
              <w:t>№ п/п</w:t>
            </w:r>
          </w:p>
        </w:tc>
        <w:tc>
          <w:tcPr>
            <w:tcW w:w="6696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>Наименование характеристики</w:t>
            </w:r>
          </w:p>
        </w:tc>
        <w:tc>
          <w:tcPr>
            <w:tcW w:w="7228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>Значение характеристики</w:t>
            </w:r>
          </w:p>
        </w:tc>
      </w:tr>
      <w:tr w:rsidR="00DC02EA">
        <w:trPr>
          <w:trHeight w:val="281"/>
        </w:trPr>
        <w:tc>
          <w:tcPr>
            <w:tcW w:w="674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6696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>Тип канала</w:t>
            </w:r>
          </w:p>
        </w:tc>
        <w:tc>
          <w:tcPr>
            <w:tcW w:w="7228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>Выделенная линия связи (оптоволоконная, радиорелейная прямой видимости) с организацией L2VPN, а в случае, предусмотренном абзацем вторым пункта 12.15 настоящего Технического задания, — иной согласованный Заказчиком канал связи при соблюдении характеристик, предусмотренных строками 2–6 настоящей таблицы</w:t>
            </w:r>
          </w:p>
        </w:tc>
      </w:tr>
      <w:tr w:rsidR="00DC02EA">
        <w:tc>
          <w:tcPr>
            <w:tcW w:w="674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6696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>Скорость для одного стационарного комплекса ФВФ</w:t>
            </w:r>
          </w:p>
        </w:tc>
        <w:tc>
          <w:tcPr>
            <w:tcW w:w="7228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>≥ 10 Мбит/сек</w:t>
            </w:r>
          </w:p>
        </w:tc>
      </w:tr>
      <w:tr w:rsidR="00DC02EA">
        <w:tc>
          <w:tcPr>
            <w:tcW w:w="674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6696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>Время предоставления</w:t>
            </w:r>
          </w:p>
        </w:tc>
        <w:tc>
          <w:tcPr>
            <w:tcW w:w="7228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>24 часа в сутки 7 дней в неделю</w:t>
            </w:r>
          </w:p>
        </w:tc>
      </w:tr>
      <w:tr w:rsidR="00DC02EA">
        <w:tc>
          <w:tcPr>
            <w:tcW w:w="674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6696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 xml:space="preserve">Максимальная задержка передачи единичного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>нефрагментируемого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 xml:space="preserve"> пакета</w:t>
            </w:r>
          </w:p>
        </w:tc>
        <w:tc>
          <w:tcPr>
            <w:tcW w:w="7228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 xml:space="preserve">не более 70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>мс</w:t>
            </w:r>
            <w:proofErr w:type="spellEnd"/>
          </w:p>
        </w:tc>
      </w:tr>
      <w:tr w:rsidR="00DC02EA">
        <w:tc>
          <w:tcPr>
            <w:tcW w:w="674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6696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>Вариация задержки передачи единичного фрагментируемого пакета</w:t>
            </w:r>
          </w:p>
        </w:tc>
        <w:tc>
          <w:tcPr>
            <w:tcW w:w="7228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 xml:space="preserve">не более 20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>мс</w:t>
            </w:r>
            <w:proofErr w:type="spellEnd"/>
          </w:p>
        </w:tc>
      </w:tr>
      <w:tr w:rsidR="00DC02EA">
        <w:tc>
          <w:tcPr>
            <w:tcW w:w="674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6696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>Коэффициент потери пакетов</w:t>
            </w:r>
          </w:p>
        </w:tc>
        <w:tc>
          <w:tcPr>
            <w:tcW w:w="7228" w:type="dxa"/>
            <w:vAlign w:val="center"/>
          </w:tcPr>
          <w:p w:rsidR="00DC02EA" w:rsidRDefault="00D9227D">
            <w:pPr>
              <w:spacing w:after="0" w:line="240" w:lineRule="auto"/>
              <w:jc w:val="center"/>
              <w:rPr>
                <w:rFonts w:ascii="Liberation Sans" w:eastAsia="Arial" w:hAnsi="Liberation Sans" w:cs="Arial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  <w:highlight w:val="white"/>
              </w:rPr>
              <w:t>не более 0,1 %</w:t>
            </w:r>
          </w:p>
        </w:tc>
      </w:tr>
    </w:tbl>
    <w:p w:rsidR="00DC02EA" w:rsidRDefault="00DC02EA">
      <w:pPr>
        <w:spacing w:after="0" w:line="240" w:lineRule="auto"/>
        <w:ind w:firstLine="709"/>
        <w:jc w:val="both"/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</w:pP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12.17. Требования пунктов 12.14-12.16 настоящего Технического задания распространяются на все КФВФ, подлежащие </w:t>
      </w:r>
      <w:r w:rsidR="00B83C33"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установке</w:t>
      </w: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, подключению, </w:t>
      </w:r>
      <w:proofErr w:type="spellStart"/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пусконаладке</w:t>
      </w:r>
      <w:proofErr w:type="spellEnd"/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 и сдаче в стационарном режиме по настоящему Договору, включая КФВФ Тип 3.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Использование сетей подвижной радиотелефонной связи 2G/3G/4G/5G/LTE в качестве основного канала передачи данных для КФВФ, размещаемых и сдаваемых в стационарном режиме, не допускается, за исключением случая, предусмотренного абзацем вторым пункта 12.15 настоящего Технического задания.</w:t>
      </w:r>
    </w:p>
    <w:p w:rsidR="00DC02EA" w:rsidRDefault="00DC02EA">
      <w:pPr>
        <w:spacing w:after="0" w:line="240" w:lineRule="auto"/>
        <w:ind w:firstLine="709"/>
        <w:jc w:val="both"/>
        <w:rPr>
          <w:rFonts w:ascii="Liberation Sans" w:eastAsia="Calibri" w:hAnsi="Liberation Sans"/>
          <w:strike/>
          <w:color w:val="000000" w:themeColor="text1"/>
          <w:sz w:val="24"/>
          <w:szCs w:val="24"/>
          <w:highlight w:val="white"/>
        </w:rPr>
      </w:pP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b/>
          <w:bCs/>
          <w:color w:val="000000" w:themeColor="text1"/>
          <w:sz w:val="24"/>
          <w:szCs w:val="24"/>
          <w:highlight w:val="white"/>
        </w:rPr>
        <w:t>13. Порядок обеспечения функционирования КФВФ в ходе приёмочных испытаний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13.1. В течение срока приёмки, предусмотренного пунктом 3.3 настоящего Технического задания, Подрядчик обеспечивает непрерывное функционирование всех предъявленных к приёмке КФВФ в стационарном режиме по местам их установки.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>Целью функционирования КФВФ в указанный период является проведение приёмочных испытаний и подтверждение соответствия фактических характеристик, в том числе комплектности, результатов монтажа, подключения и интеграции КФВФ, требованиям Договора.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13.2. В состав обязательств Подрядчика по обеспечению функционирования КФВФ входят: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поддержание постоянного электроснабжения КФВФ;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поддержание работоспособности линий электропитания, приборов учета электрической энергии и иного оборудования системы электроснабжения, установленного Подрядчиком при исполнении Договора;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обеспечение действия договоров, соглашений и иных правоотношений, необходимых для подачи электрической энергии на КФВФ, а также оплата электрической энергии, потребляемой КФВФ;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поддержание работоспособности каналов передачи данных, организованных в соответствии с пунктами 9.3, 9.4 и 12.14-12.17 настоящего Технического задания;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обеспечение действия договоров с операторами связи и оплата услуг связи;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lastRenderedPageBreak/>
        <w:t>– обеспечение передачи в режиме реального времени данных о проездах транспортных средств, зафиксированных нарушениях Правил дорожного движения, метаданных и служебной телеметрии в СПО «Паутина»;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обеспечение параллельной передачи видеопотока в режиме реального времени в ЕСВ ЯНАО;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обеспечение сохранности данных, не переданных по причинам временной неработоспособности каналов связи, и их передачи после восстановления связи;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– организация предварительной обработки материалов, поступающих в СПО «Паутина» от КФВФ, </w:t>
      </w:r>
      <w:r w:rsidR="00B83C33"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устанавливаемых</w:t>
      </w: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 по настоящему Договору;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выполнение предварительной обработки указанных материалов;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диагностика и устранение неисправностей, препятствующих электроснабжению КФВФ, передаче данных в СПО «Паутина», передаче видеопотока в ЕСВ ЯНАО и предварительной обработке материалов.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13.3. Обязанность Подрядчика по поддержанию электроснабжения распространяется на оборудование и линии электропитания от согласованной точки подключения до КФВФ, установленные, смонтированные или предоставленные Подрядчиком при исполнении Договора.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Подрядчик осуществляет необходимое взаимодействие с сетевыми, </w:t>
      </w:r>
      <w:proofErr w:type="spellStart"/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энергоснабжающими</w:t>
      </w:r>
      <w:proofErr w:type="spellEnd"/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 и иными организациями, включая направление заявок и обращений, необходимых для восстановления электроснабжения.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13.4. Каналы передачи данных в течение срока, установленного пунктом 3.3 настоящего Технического задания, должны соответствовать характеристикам, предусмотренным пунктами 12.15 и 12.16 настоящего Технического задания.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Подрядчик обеспечивает оплату услуг операторов связи и поддержание в работоспособном состоянии активного сетевого оборудования, линий связи, коммутационного оборудования и иных элементов, организованных или установленных им при исполнении Договора.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13.5. Подрядчик осуществляет предварительную обработку материалов с каждого КФВФ в соответствии с пунктом 13.6 настоящего Технического задания в течение срока, предусмотренного пунктом 3.3 настоящего Технического задания. 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Подрядчик самостоятельно обеспечивает наличие оборудования, программных средств и персонала, необходимых для осуществления предварительной обработки материалов. 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13.6. Предварительной обработке подлежат все материалы о нарушениях Правил дорожного движения, поступившие в СПО «Паутина» от КФВФ, </w:t>
      </w:r>
      <w:r w:rsidR="00B83C33"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устанавливаемых</w:t>
      </w: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 по настоящему Договору.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Предварительная обработка включает: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мониторинг поступления материалов;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просмотр фотоизображений и видеозаписей;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проверку корректности идентификации транспортного средства;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проверку и при необходимости корректировку распознанного значения ГРЗ;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проверку соответствия зафиксированного события виду нарушения;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отбраковку материалов, не отвечающих установленным требованиям, с указанием причины отбраковки;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установление предусмотренного СПО «Паутина» результата предварительной обработки.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Предварительная обработка материалов осуществляется не позднее 2 (двух) рабочих дней с момента их поступления в СПО «Паутина».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Предварительная обработка не включает оформление дел об административных правонарушениях и принятие процессуальных решений.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lastRenderedPageBreak/>
        <w:t>13.7. Одновременно с размещением документа о приёмке в ЕИС Подрядчик предоставляет Заказчику: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номер телефона и адрес электронной почты для направления сообщений о неисправностях;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сведения об ответственном лице;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сведения о привлеченных операторах связи;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сведения об организации электроснабжения;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– сведения об операторе, </w:t>
      </w:r>
      <w:proofErr w:type="spellStart"/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осуществивляющем</w:t>
      </w:r>
      <w:proofErr w:type="spellEnd"/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 предварительную обработку материалов;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порядок регистрации и обработки сообщений о неисправностях.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13.8. При выявлении нарушения электроснабжения, работоспособности канала связи, передачи данных в СПО «Паутина» либо передачи видеопотока в ЕСВ ЯНАО Подрядчик обязан: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приступить к диагностике незамедлительно после получения информации о нарушении;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в течение одного рабочего дня сообщить Заказчику причины нарушения и планируемый срок восстановления;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принять меры по восстановлению работоспособности;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после устранения нарушения уведомить Заказчика о восстановлении функционирования КФВФ.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13.9. В течение срока, предусмотренного пунктом 3.3 настоящего Технического задания, Подрядчик представляет Заказчику еженедельный отчет в свободной форме о результатах функционирования КФВФ в ходе приёмочных испытаний, содержащий: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сведения о функционировании каждого КФВФ;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сведения о периодах отсутствия электроснабжения и передачи данных;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сведения о передаче материалов в СПО «Паутина» и видеопотока в ЕСВ ЯНАО;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количество поступивших, предварительно обработанных и отбракованных материалов;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сведения о выявленных неисправностях и принятых мерах;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подтверждение устранения замечаний, выявленных в ходе приёмочных испытаний.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На основании данных из еженедельных отчётов Заказчик принимает решение о подписании документа о приёмке либо о формировании мотивированного отказа от подписания.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13.10. Одновременно с размещением документа о приёмке в ЕИС Подрядчик передает Заказчику комплект документов и сведений, необходимых для последующего обслуживания КФВФ, включая: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документы по электроснабжению;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копии договоров и технических условий, а также сведения о точках подключения;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сведения об операторах и каналах связи;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сведения о сетевых параметрах и настройках;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сведения об учетных записях и предоставленных доступах;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– информацию о выявленных неисправностях и незавершенных восстановительных работах.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Передача документов и сведений, необходимых для последующего обслуживания КФВФ, оформляется актом.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13.11. В обязанности Подрядчика в течение срока, предусмотренного пунктом 3.3 настоящего Технического задания, не входят периодическая метрологическая поверка, передислокация КФВФ, плановые регламентные работы, не связанные с исполнением обязательств, предусмотренных настоящим разделом, а также обслуживание КФВФ в передвижном или мобильном режиме.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Вышеуказанное условие не освобождает Подрядчика от исполнения гарантийных обязательств и устранения недостатков </w:t>
      </w:r>
      <w:r w:rsidR="00B83C33"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 xml:space="preserve">устанавливаемого </w:t>
      </w:r>
      <w:r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  <w:t>оборудования и выполненных работ.</w:t>
      </w:r>
    </w:p>
    <w:p w:rsidR="00DC02EA" w:rsidRDefault="00D9227D">
      <w:pPr>
        <w:spacing w:after="0" w:line="240" w:lineRule="auto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lastRenderedPageBreak/>
        <w:t>13.12. Обязательства Подрядчика, предусмотренные настоящим разделом, прекращаются с даты подписания Заказчиком документа о приёмке.</w:t>
      </w:r>
    </w:p>
    <w:p w:rsidR="00DC02EA" w:rsidRDefault="00DC02EA">
      <w:pPr>
        <w:spacing w:after="0" w:line="240" w:lineRule="auto"/>
        <w:ind w:firstLine="709"/>
        <w:jc w:val="both"/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</w:pPr>
    </w:p>
    <w:p w:rsidR="00DC02EA" w:rsidRDefault="00DC02EA">
      <w:pPr>
        <w:spacing w:after="0" w:line="240" w:lineRule="auto"/>
        <w:ind w:firstLine="709"/>
        <w:jc w:val="both"/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</w:pPr>
    </w:p>
    <w:p w:rsidR="00DC02EA" w:rsidRDefault="00DC02EA">
      <w:pPr>
        <w:spacing w:after="0" w:line="240" w:lineRule="auto"/>
        <w:ind w:firstLine="709"/>
        <w:jc w:val="both"/>
        <w:rPr>
          <w:rFonts w:ascii="Liberation Sans" w:eastAsia="Calibri" w:hAnsi="Liberation Sans"/>
          <w:color w:val="000000" w:themeColor="text1"/>
          <w:sz w:val="24"/>
          <w:szCs w:val="24"/>
          <w:highlight w:val="white"/>
        </w:rPr>
      </w:pPr>
    </w:p>
    <w:sectPr w:rsidR="00DC02EA">
      <w:pgSz w:w="16838" w:h="11906" w:orient="landscape"/>
      <w:pgMar w:top="567" w:right="680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">
    <w:altName w:val="XO Caliburn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mpora LGC Uni">
    <w:altName w:val="Times New Roman"/>
    <w:charset w:val="01"/>
    <w:family w:val="roman"/>
    <w:pitch w:val="variable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1FF2"/>
    <w:multiLevelType w:val="multilevel"/>
    <w:tmpl w:val="90AA43E0"/>
    <w:lvl w:ilvl="0">
      <w:start w:val="1"/>
      <w:numFmt w:val="bullet"/>
      <w:isLgl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8F69B0"/>
    <w:multiLevelType w:val="multilevel"/>
    <w:tmpl w:val="8F1A46FC"/>
    <w:lvl w:ilvl="0">
      <w:start w:val="1"/>
      <w:numFmt w:val="bullet"/>
      <w:isLgl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E6DA1"/>
    <w:multiLevelType w:val="multilevel"/>
    <w:tmpl w:val="F5F44EE8"/>
    <w:lvl w:ilvl="0">
      <w:start w:val="1"/>
      <w:numFmt w:val="bullet"/>
      <w:isLgl/>
      <w:lvlText w:val=""/>
      <w:lvlJc w:val="left"/>
      <w:pPr>
        <w:tabs>
          <w:tab w:val="num" w:pos="0"/>
        </w:tabs>
        <w:ind w:left="4754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B43215"/>
    <w:multiLevelType w:val="multilevel"/>
    <w:tmpl w:val="182CC56A"/>
    <w:lvl w:ilvl="0">
      <w:start w:val="1"/>
      <w:numFmt w:val="bullet"/>
      <w:isLgl/>
      <w:lvlText w:val=""/>
      <w:lvlJc w:val="left"/>
      <w:pPr>
        <w:tabs>
          <w:tab w:val="num" w:pos="0"/>
        </w:tabs>
        <w:ind w:left="4754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16378D"/>
    <w:multiLevelType w:val="multilevel"/>
    <w:tmpl w:val="A5343536"/>
    <w:lvl w:ilvl="0">
      <w:start w:val="1"/>
      <w:numFmt w:val="bullet"/>
      <w:isLgl/>
      <w:lvlText w:val=""/>
      <w:lvlJc w:val="left"/>
      <w:pPr>
        <w:tabs>
          <w:tab w:val="num" w:pos="0"/>
        </w:tabs>
        <w:ind w:left="4754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CDE05AA"/>
    <w:multiLevelType w:val="multilevel"/>
    <w:tmpl w:val="06F2E446"/>
    <w:lvl w:ilvl="0">
      <w:start w:val="1"/>
      <w:numFmt w:val="bullet"/>
      <w:isLgl/>
      <w:lvlText w:val="–"/>
      <w:lvlJc w:val="left"/>
      <w:pPr>
        <w:tabs>
          <w:tab w:val="num" w:pos="0"/>
        </w:tabs>
        <w:ind w:left="1418" w:hanging="360"/>
      </w:pPr>
      <w:rPr>
        <w:rFonts w:ascii="Liberation Sans" w:hAnsi="Liberation Sans" w:cs="Liberation Sans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2138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§"/>
      <w:lvlJc w:val="left"/>
      <w:pPr>
        <w:tabs>
          <w:tab w:val="num" w:pos="0"/>
        </w:tabs>
        <w:ind w:left="2858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·"/>
      <w:lvlJc w:val="left"/>
      <w:pPr>
        <w:tabs>
          <w:tab w:val="num" w:pos="0"/>
        </w:tabs>
        <w:ind w:left="3578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4298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§"/>
      <w:lvlJc w:val="left"/>
      <w:pPr>
        <w:tabs>
          <w:tab w:val="num" w:pos="0"/>
        </w:tabs>
        <w:ind w:left="5018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·"/>
      <w:lvlJc w:val="left"/>
      <w:pPr>
        <w:tabs>
          <w:tab w:val="num" w:pos="0"/>
        </w:tabs>
        <w:ind w:left="5738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6458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§"/>
      <w:lvlJc w:val="left"/>
      <w:pPr>
        <w:tabs>
          <w:tab w:val="num" w:pos="0"/>
        </w:tabs>
        <w:ind w:left="717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4492542"/>
    <w:multiLevelType w:val="multilevel"/>
    <w:tmpl w:val="14DC8C84"/>
    <w:lvl w:ilvl="0">
      <w:start w:val="1"/>
      <w:numFmt w:val="bullet"/>
      <w:isLgl/>
      <w:lvlText w:val="·"/>
      <w:lvlJc w:val="left"/>
      <w:pPr>
        <w:tabs>
          <w:tab w:val="num" w:pos="0"/>
        </w:tabs>
        <w:ind w:left="4754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69E1BB6"/>
    <w:multiLevelType w:val="multilevel"/>
    <w:tmpl w:val="79DC76D6"/>
    <w:lvl w:ilvl="0">
      <w:start w:val="1"/>
      <w:numFmt w:val="bullet"/>
      <w:isLgl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AEB0D50"/>
    <w:multiLevelType w:val="multilevel"/>
    <w:tmpl w:val="F1C4770A"/>
    <w:lvl w:ilvl="0">
      <w:start w:val="1"/>
      <w:numFmt w:val="bullet"/>
      <w:isLgl/>
      <w:lvlText w:val=""/>
      <w:lvlJc w:val="left"/>
      <w:pPr>
        <w:tabs>
          <w:tab w:val="num" w:pos="0"/>
        </w:tabs>
        <w:ind w:left="4754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7793A91"/>
    <w:multiLevelType w:val="multilevel"/>
    <w:tmpl w:val="0BD8BF70"/>
    <w:lvl w:ilvl="0">
      <w:start w:val="1"/>
      <w:numFmt w:val="bullet"/>
      <w:isLgl/>
      <w:lvlText w:val=""/>
      <w:lvlJc w:val="left"/>
      <w:pPr>
        <w:tabs>
          <w:tab w:val="num" w:pos="0"/>
        </w:tabs>
        <w:ind w:left="4754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8203CC2"/>
    <w:multiLevelType w:val="multilevel"/>
    <w:tmpl w:val="634012C4"/>
    <w:lvl w:ilvl="0">
      <w:start w:val="1"/>
      <w:numFmt w:val="bullet"/>
      <w:isLgl/>
      <w:lvlText w:val=""/>
      <w:lvlJc w:val="left"/>
      <w:pPr>
        <w:tabs>
          <w:tab w:val="num" w:pos="0"/>
        </w:tabs>
        <w:ind w:left="4754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A5D1D1D"/>
    <w:multiLevelType w:val="multilevel"/>
    <w:tmpl w:val="11F07F14"/>
    <w:lvl w:ilvl="0">
      <w:start w:val="1"/>
      <w:numFmt w:val="bullet"/>
      <w:isLgl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2BC3480"/>
    <w:multiLevelType w:val="multilevel"/>
    <w:tmpl w:val="85F21160"/>
    <w:lvl w:ilvl="0">
      <w:start w:val="1"/>
      <w:numFmt w:val="bullet"/>
      <w:isLgl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93C12BC"/>
    <w:multiLevelType w:val="multilevel"/>
    <w:tmpl w:val="CF58F206"/>
    <w:lvl w:ilvl="0">
      <w:start w:val="1"/>
      <w:numFmt w:val="bullet"/>
      <w:isLgl/>
      <w:lvlText w:val=""/>
      <w:lvlJc w:val="left"/>
      <w:pPr>
        <w:tabs>
          <w:tab w:val="num" w:pos="0"/>
        </w:tabs>
        <w:ind w:left="4754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D5251A1"/>
    <w:multiLevelType w:val="multilevel"/>
    <w:tmpl w:val="A088F188"/>
    <w:lvl w:ilvl="0">
      <w:start w:val="1"/>
      <w:numFmt w:val="bullet"/>
      <w:isLgl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BFE505E"/>
    <w:multiLevelType w:val="multilevel"/>
    <w:tmpl w:val="C85C18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16A5256"/>
    <w:multiLevelType w:val="multilevel"/>
    <w:tmpl w:val="D33C4084"/>
    <w:lvl w:ilvl="0">
      <w:start w:val="1"/>
      <w:numFmt w:val="bullet"/>
      <w:isLgl/>
      <w:lvlText w:val="–"/>
      <w:lvlJc w:val="left"/>
      <w:pPr>
        <w:tabs>
          <w:tab w:val="num" w:pos="0"/>
        </w:tabs>
        <w:ind w:left="1418" w:hanging="360"/>
      </w:pPr>
      <w:rPr>
        <w:rFonts w:ascii="Arial" w:hAnsi="Arial" w:cs="Aria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2138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§"/>
      <w:lvlJc w:val="left"/>
      <w:pPr>
        <w:tabs>
          <w:tab w:val="num" w:pos="0"/>
        </w:tabs>
        <w:ind w:left="2858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·"/>
      <w:lvlJc w:val="left"/>
      <w:pPr>
        <w:tabs>
          <w:tab w:val="num" w:pos="0"/>
        </w:tabs>
        <w:ind w:left="3578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4298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§"/>
      <w:lvlJc w:val="left"/>
      <w:pPr>
        <w:tabs>
          <w:tab w:val="num" w:pos="0"/>
        </w:tabs>
        <w:ind w:left="5018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·"/>
      <w:lvlJc w:val="left"/>
      <w:pPr>
        <w:tabs>
          <w:tab w:val="num" w:pos="0"/>
        </w:tabs>
        <w:ind w:left="5738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6458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§"/>
      <w:lvlJc w:val="left"/>
      <w:pPr>
        <w:tabs>
          <w:tab w:val="num" w:pos="0"/>
        </w:tabs>
        <w:ind w:left="7178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3F25B66"/>
    <w:multiLevelType w:val="multilevel"/>
    <w:tmpl w:val="5EE62102"/>
    <w:lvl w:ilvl="0">
      <w:start w:val="1"/>
      <w:numFmt w:val="bullet"/>
      <w:isLgl/>
      <w:lvlText w:val=""/>
      <w:lvlJc w:val="left"/>
      <w:pPr>
        <w:tabs>
          <w:tab w:val="num" w:pos="0"/>
        </w:tabs>
        <w:ind w:left="4754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8"/>
  </w:num>
  <w:num w:numId="3">
    <w:abstractNumId w:val="3"/>
  </w:num>
  <w:num w:numId="4">
    <w:abstractNumId w:val="2"/>
  </w:num>
  <w:num w:numId="5">
    <w:abstractNumId w:val="13"/>
  </w:num>
  <w:num w:numId="6">
    <w:abstractNumId w:val="10"/>
  </w:num>
  <w:num w:numId="7">
    <w:abstractNumId w:val="6"/>
  </w:num>
  <w:num w:numId="8">
    <w:abstractNumId w:val="1"/>
  </w:num>
  <w:num w:numId="9">
    <w:abstractNumId w:val="11"/>
  </w:num>
  <w:num w:numId="10">
    <w:abstractNumId w:val="12"/>
  </w:num>
  <w:num w:numId="11">
    <w:abstractNumId w:val="0"/>
  </w:num>
  <w:num w:numId="12">
    <w:abstractNumId w:val="7"/>
  </w:num>
  <w:num w:numId="13">
    <w:abstractNumId w:val="4"/>
  </w:num>
  <w:num w:numId="14">
    <w:abstractNumId w:val="17"/>
  </w:num>
  <w:num w:numId="15">
    <w:abstractNumId w:val="9"/>
  </w:num>
  <w:num w:numId="16">
    <w:abstractNumId w:val="16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2EA"/>
    <w:rsid w:val="003A1935"/>
    <w:rsid w:val="00B056B0"/>
    <w:rsid w:val="00B83C33"/>
    <w:rsid w:val="00D55357"/>
    <w:rsid w:val="00D9227D"/>
    <w:rsid w:val="00DC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6BE4B"/>
  <w15:docId w15:val="{A26B4A53-12ED-4FE1-BE4E-CA99D148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qFormat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basedOn w:val="a0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b">
    <w:name w:val="Название объекта Знак"/>
    <w:link w:val="ac"/>
    <w:uiPriority w:val="99"/>
    <w:qFormat/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character" w:customStyle="1" w:styleId="ae">
    <w:name w:val="Текст сноски Знак"/>
    <w:link w:val="af"/>
    <w:uiPriority w:val="99"/>
    <w:qFormat/>
    <w:rPr>
      <w:sz w:val="18"/>
    </w:rPr>
  </w:style>
  <w:style w:type="character" w:customStyle="1" w:styleId="af0">
    <w:name w:val="Символ сноски"/>
    <w:uiPriority w:val="99"/>
    <w:unhideWhenUsed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af2">
    <w:name w:val="Текст концевой сноски Знак"/>
    <w:link w:val="af3"/>
    <w:uiPriority w:val="99"/>
    <w:qFormat/>
    <w:rPr>
      <w:sz w:val="20"/>
    </w:rPr>
  </w:style>
  <w:style w:type="character" w:customStyle="1" w:styleId="af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5">
    <w:name w:val="endnote reference"/>
    <w:rPr>
      <w:vertAlign w:val="superscript"/>
    </w:rPr>
  </w:style>
  <w:style w:type="character" w:customStyle="1" w:styleId="af6">
    <w:name w:val="Текст выноски Знак"/>
    <w:basedOn w:val="a0"/>
    <w:link w:val="af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8">
    <w:name w:val="Абзац списка Знак"/>
    <w:basedOn w:val="a0"/>
    <w:link w:val="af9"/>
    <w:uiPriority w:val="34"/>
    <w:qFormat/>
  </w:style>
  <w:style w:type="paragraph" w:styleId="a4">
    <w:name w:val="Title"/>
    <w:basedOn w:val="a"/>
    <w:next w:val="afa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fa">
    <w:name w:val="Body Text"/>
    <w:basedOn w:val="a"/>
    <w:pPr>
      <w:spacing w:after="140"/>
    </w:pPr>
  </w:style>
  <w:style w:type="paragraph" w:styleId="afb">
    <w:name w:val="List"/>
    <w:basedOn w:val="afa"/>
    <w:rPr>
      <w:rFonts w:cs="Droid Sans"/>
    </w:rPr>
  </w:style>
  <w:style w:type="paragraph" w:styleId="ac">
    <w:name w:val="caption"/>
    <w:basedOn w:val="a"/>
    <w:next w:val="a"/>
    <w:link w:val="ab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fc">
    <w:name w:val="index heading"/>
    <w:basedOn w:val="a4"/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d">
    <w:name w:val="Колонтитулы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e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paragraph" w:styleId="af3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  <w:qFormat/>
    <w:pPr>
      <w:spacing w:after="200" w:line="276" w:lineRule="auto"/>
    </w:pPr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paragraph" w:styleId="aff1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link w:val="af8"/>
    <w:uiPriority w:val="34"/>
    <w:qFormat/>
    <w:pPr>
      <w:ind w:left="720"/>
      <w:contextualSpacing/>
    </w:p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uiPriority w:val="1"/>
    <w:qFormat/>
    <w:pPr>
      <w:widowControl w:val="0"/>
      <w:ind w:left="11"/>
      <w:jc w:val="center"/>
    </w:pPr>
    <w:rPr>
      <w:rFonts w:ascii="Liberation Serif" w:eastAsia="Liberation Serif" w:hAnsi="Liberation Serif" w:cs="Liberation Serif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Standard">
    <w:name w:val="Standard"/>
    <w:qFormat/>
    <w:pPr>
      <w:widowControl w:val="0"/>
    </w:pPr>
    <w:rPr>
      <w:rFonts w:ascii="Tempora LGC Uni" w:eastAsia="Tempora LGC Uni" w:hAnsi="Tempora LGC Uni" w:cs="Tempora LGC Uni"/>
      <w:color w:val="000000"/>
      <w:sz w:val="24"/>
      <w:lang w:eastAsia="ru-RU"/>
    </w:rPr>
  </w:style>
  <w:style w:type="paragraph" w:customStyle="1" w:styleId="2230">
    <w:name w:val="Стиль Список22_3 уровень + По левому краю Слева:  0 см"/>
    <w:qFormat/>
    <w:pPr>
      <w:tabs>
        <w:tab w:val="left" w:pos="-37"/>
      </w:tabs>
      <w:ind w:left="-37" w:hanging="360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customStyle="1" w:styleId="aff2">
    <w:name w:val="Главный #"/>
    <w:qFormat/>
    <w:pPr>
      <w:ind w:firstLine="709"/>
      <w:jc w:val="both"/>
    </w:pPr>
    <w:rPr>
      <w:rFonts w:ascii="Times New Roman" w:eastAsia="Calibri" w:hAnsi="Times New Roman" w:cs="Times New Roman"/>
      <w:b/>
      <w:sz w:val="24"/>
      <w:szCs w:val="24"/>
      <w:lang w:val="en-US"/>
    </w:rPr>
  </w:style>
  <w:style w:type="paragraph" w:customStyle="1" w:styleId="parametervalue">
    <w:name w:val="parametervalue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aff3">
    <w:name w:val="Без списка"/>
    <w:uiPriority w:val="99"/>
    <w:semiHidden/>
    <w:unhideWhenUsed/>
    <w:qFormat/>
  </w:style>
  <w:style w:type="table" w:styleId="12">
    <w:name w:val="Plain Table 1"/>
    <w:basedOn w:val="a1"/>
    <w:uiPriority w:val="59"/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4">
    <w:name w:val="Plain Table 2"/>
    <w:basedOn w:val="a1"/>
    <w:uiPriority w:val="59"/>
    <w:tblPr>
      <w:tblInd w:w="0" w:type="nil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aff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43">
    <w:name w:val="Сетка таблицы4"/>
    <w:uiPriority w:val="59"/>
    <w:qFormat/>
    <w:rPr>
      <w:sz w:val="24"/>
      <w:szCs w:val="24"/>
      <w:lang w:eastAsia="zh-CN" w:bidi="hi-I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20</Pages>
  <Words>8102</Words>
  <Characters>46182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54176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Григорьева Светлана Вячеславовна</cp:lastModifiedBy>
  <cp:revision>38</cp:revision>
  <dcterms:created xsi:type="dcterms:W3CDTF">2026-05-04T15:38:00Z</dcterms:created>
  <dcterms:modified xsi:type="dcterms:W3CDTF">2026-08-18T12:07:00Z</dcterms:modified>
  <dc:language>ru-RU</dc:language>
</cp:coreProperties>
</file>