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oter3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  <w:sz w:val="26"/>
          <w:szCs w:val="26"/>
          <w:lang w:val="en-US"/>
        </w:rPr>
      </w:pPr>
      <w:r>
        <w:rPr>
          <w:b/>
          <w:bCs/>
          <w:sz w:val="26"/>
          <w:szCs w:val="26"/>
          <w:lang w:val="en-US"/>
        </w:rPr>
      </w:r>
      <w:bookmarkStart w:id="0" w:name="_Toc75446582"/>
      <w:bookmarkStart w:id="1" w:name="_Toc75446582"/>
      <w:bookmarkEnd w:id="1"/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jc w:val="center"/>
        <w:outlineLvl w:val="0"/>
        <w:rPr>
          <w:b/>
          <w:szCs w:val="24"/>
        </w:rPr>
      </w:pPr>
      <w:r>
        <w:rPr>
          <w:b/>
          <w:szCs w:val="24"/>
        </w:rPr>
        <w:t>ТЕХНИЧЕСКИЕ ТРЕБОВАНИЯ</w:t>
      </w:r>
    </w:p>
    <w:p>
      <w:pPr>
        <w:pStyle w:val="Normal"/>
        <w:jc w:val="center"/>
        <w:rPr>
          <w:rFonts w:eastAsia="Times New Roman" w:cs="Times New Roman"/>
          <w:bCs/>
          <w:color w:val="000000"/>
          <w:spacing w:val="-6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pacing w:val="-6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-6"/>
          <w:sz w:val="28"/>
          <w:szCs w:val="28"/>
        </w:rPr>
        <w:t xml:space="preserve">ОКПД2 25.11.23.110 Поставка винтовых свай для нужд Производственного участка АО "Гидроремонт-ВКК" </w:t>
      </w:r>
      <w:r>
        <w:rPr>
          <w:rFonts w:eastAsia="Times New Roman" w:cs="Times New Roman" w:ascii="Times New Roman" w:hAnsi="Times New Roman"/>
          <w:bCs/>
          <w:color w:val="000000"/>
          <w:spacing w:val="-6"/>
          <w:sz w:val="28"/>
          <w:szCs w:val="28"/>
        </w:rPr>
        <w:t>» на</w:t>
      </w:r>
      <w:r>
        <w:rPr>
          <w:rFonts w:eastAsia="Times New Roman" w:cs="Times New Roman"/>
          <w:bCs/>
          <w:color w:val="000000"/>
          <w:spacing w:val="-6"/>
          <w:szCs w:val="24"/>
        </w:rPr>
        <w:t xml:space="preserve"> Нерюнгринской ГРЭС</w:t>
      </w:r>
    </w:p>
    <w:p>
      <w:pPr>
        <w:sectPr>
          <w:type w:val="nextPage"/>
          <w:pgSz w:w="11906" w:h="16838"/>
          <w:pgMar w:left="1276" w:right="707" w:gutter="0" w:header="0" w:top="426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jc w:val="center"/>
        <w:rPr>
          <w:szCs w:val="24"/>
        </w:rPr>
      </w:pPr>
      <w:r>
        <w:rPr>
          <w:szCs w:val="24"/>
        </w:rPr>
        <w:t>(лот № _________________________________)</w:t>
      </w:r>
    </w:p>
    <w:p>
      <w:pPr>
        <w:pStyle w:val="Heading4"/>
        <w:tabs>
          <w:tab w:val="clear" w:pos="0"/>
          <w:tab w:val="clear" w:pos="709"/>
          <w:tab w:val="left" w:pos="284" w:leader="none"/>
        </w:tabs>
        <w:rPr/>
      </w:pPr>
      <w:r>
        <w:rPr/>
        <w:t>1.</w:t>
        <w:tab/>
        <w:t>Общие сведения</w:t>
      </w:r>
    </w:p>
    <w:p>
      <w:pPr>
        <w:pStyle w:val="Heading4"/>
        <w:numPr>
          <w:ilvl w:val="1"/>
          <w:numId w:val="1"/>
        </w:numPr>
        <w:tabs>
          <w:tab w:val="clear" w:pos="709"/>
          <w:tab w:val="left" w:pos="0" w:leader="none"/>
          <w:tab w:val="left" w:pos="567" w:leader="none"/>
        </w:tabs>
        <w:ind w:left="0" w:hanging="0"/>
        <w:rPr/>
      </w:pPr>
      <w:bookmarkStart w:id="2" w:name="_Toc46743506"/>
      <w:bookmarkStart w:id="3" w:name="_Toc75446568"/>
      <w:r>
        <w:rPr/>
        <w:t>Наименование закупаемой продукции</w:t>
      </w:r>
      <w:bookmarkEnd w:id="2"/>
      <w:bookmarkEnd w:id="3"/>
    </w:p>
    <w:p>
      <w:pPr>
        <w:pStyle w:val="Normal"/>
        <w:jc w:val="both"/>
        <w:rPr/>
      </w:pP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-6"/>
          <w:sz w:val="28"/>
          <w:szCs w:val="28"/>
        </w:rPr>
        <w:t xml:space="preserve">ОКПД2 25.11.23.110 Поставка винтовых свай для нужд Производственного участка АО "Гидроремонт-ВКК" </w:t>
      </w:r>
      <w:r>
        <w:rPr>
          <w:rFonts w:eastAsia="Times New Roman" w:cs="Times New Roman" w:ascii="Times New Roman" w:hAnsi="Times New Roman"/>
          <w:bCs/>
          <w:color w:val="000000"/>
          <w:spacing w:val="-6"/>
          <w:sz w:val="28"/>
          <w:szCs w:val="28"/>
        </w:rPr>
        <w:t>» на</w:t>
      </w:r>
      <w:r>
        <w:rPr>
          <w:rFonts w:eastAsia="Times New Roman" w:cs="Times New Roman"/>
          <w:bCs/>
          <w:color w:val="000000"/>
          <w:spacing w:val="-6"/>
          <w:szCs w:val="24"/>
        </w:rPr>
        <w:t xml:space="preserve"> Нерюнгринской ГРЭС </w:t>
      </w:r>
      <w:r>
        <w:rPr>
          <w:rFonts w:cs="Times New Roman"/>
          <w:szCs w:val="24"/>
        </w:rPr>
        <w:t>(далее – Продукция)</w:t>
      </w:r>
      <w:bookmarkStart w:id="4" w:name="_Toc75446569"/>
      <w:r>
        <w:rPr/>
        <w:t>.</w:t>
      </w:r>
    </w:p>
    <w:p>
      <w:pPr>
        <w:pStyle w:val="Normal"/>
        <w:ind w:firstLine="419"/>
        <w:rPr/>
      </w:pPr>
      <w:r>
        <w:rPr/>
      </w:r>
    </w:p>
    <w:p>
      <w:pPr>
        <w:pStyle w:val="Heading4"/>
        <w:numPr>
          <w:ilvl w:val="1"/>
          <w:numId w:val="1"/>
        </w:numPr>
        <w:tabs>
          <w:tab w:val="clear" w:pos="709"/>
          <w:tab w:val="left" w:pos="0" w:leader="none"/>
          <w:tab w:val="left" w:pos="426" w:leader="none"/>
        </w:tabs>
        <w:ind w:left="0" w:hanging="0"/>
        <w:rPr/>
      </w:pPr>
      <w:bookmarkStart w:id="5" w:name="_Toc46743507"/>
      <w:r>
        <w:rPr/>
        <w:t xml:space="preserve">Цель </w:t>
      </w:r>
      <w:bookmarkEnd w:id="5"/>
      <w:r>
        <w:rPr/>
        <w:t xml:space="preserve">использования закупаемой продукции </w:t>
      </w:r>
      <w:bookmarkEnd w:id="4"/>
      <w:r>
        <w:rPr/>
        <w:t xml:space="preserve"> </w:t>
      </w:r>
    </w:p>
    <w:p>
      <w:pPr>
        <w:pStyle w:val="BodyText21"/>
        <w:ind w:hanging="0"/>
        <w:rPr>
          <w:bCs/>
          <w:szCs w:val="24"/>
          <w:shd w:fill="FFFF99" w:val="clear"/>
        </w:rPr>
      </w:pPr>
      <w:r>
        <w:rPr>
          <w:rStyle w:val="Style"/>
          <w:b w:val="false"/>
          <w:bCs/>
          <w:i w:val="false"/>
          <w:color w:val="000000"/>
          <w:szCs w:val="24"/>
          <w:shd w:fill="FFFFFF" w:val="clear"/>
        </w:rPr>
        <w:t>Исполнение доходного договора:</w:t>
      </w:r>
    </w:p>
    <w:p>
      <w:pPr>
        <w:pStyle w:val="BodyText21"/>
        <w:ind w:hanging="0"/>
        <w:rPr/>
      </w:pPr>
      <w:r>
        <w:rPr>
          <w:rStyle w:val="Style"/>
          <w:b w:val="false"/>
          <w:bCs/>
          <w:i w:val="false"/>
          <w:color w:val="000000"/>
          <w:spacing w:val="-6"/>
          <w:szCs w:val="24"/>
          <w:shd w:fill="auto" w:val="clear"/>
          <w:lang w:eastAsia="en-US"/>
        </w:rPr>
        <w:t xml:space="preserve">№ </w:t>
      </w:r>
      <w:r>
        <w:rPr>
          <w:rStyle w:val="Style"/>
          <w:b w:val="false"/>
          <w:bCs/>
          <w:i w:val="false"/>
          <w:color w:val="000000"/>
          <w:spacing w:val="-6"/>
          <w:szCs w:val="24"/>
          <w:shd w:fill="auto" w:val="clear"/>
          <w:lang w:eastAsia="en-US"/>
        </w:rPr>
        <w:t xml:space="preserve">1510-3500-2026, </w:t>
      </w:r>
      <w:r>
        <w:rPr>
          <w:szCs w:val="24"/>
        </w:rPr>
        <w:t>ОКПД-2: 26.30.50.131 на</w:t>
      </w:r>
      <w:r>
        <w:rPr>
          <w:rStyle w:val="Style"/>
          <w:b w:val="false"/>
          <w:bCs/>
          <w:i w:val="false"/>
          <w:color w:val="000000"/>
          <w:spacing w:val="-6"/>
          <w:szCs w:val="24"/>
          <w:shd w:fill="auto" w:val="clear"/>
          <w:lang w:eastAsia="en-US"/>
        </w:rPr>
        <w:t xml:space="preserve"> Выполнение </w:t>
      </w:r>
      <w:r>
        <w:rPr>
          <w:bCs/>
          <w:szCs w:val="24"/>
        </w:rPr>
        <w:t xml:space="preserve">строительно-монтажных работ по созданию инженерно-технических средств охраны в рамках 1-го этапа строительства инвестиционного проекта «Строительство 2-ой очереди Нерюнгринской ГРЭС» </w:t>
      </w:r>
      <w:r>
        <w:rPr>
          <w:szCs w:val="24"/>
        </w:rPr>
        <w:t>для нужд Филиала ПАО «РусГидро» – «Хабаровский».</w:t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Heading1"/>
        <w:numPr>
          <w:ilvl w:val="0"/>
          <w:numId w:val="1"/>
        </w:numPr>
        <w:tabs>
          <w:tab w:val="clear" w:pos="709"/>
          <w:tab w:val="left" w:pos="0" w:leader="none"/>
          <w:tab w:val="left" w:pos="284" w:leader="none"/>
        </w:tabs>
        <w:ind w:left="0" w:hanging="0"/>
        <w:rPr>
          <w:caps/>
          <w:sz w:val="24"/>
          <w:szCs w:val="24"/>
          <w:lang w:val="ru-RU"/>
        </w:rPr>
      </w:pPr>
      <w:bookmarkStart w:id="6" w:name="_Toc51339693"/>
      <w:bookmarkStart w:id="7" w:name="_Toc75446573"/>
      <w:r>
        <w:rPr>
          <w:sz w:val="24"/>
          <w:szCs w:val="24"/>
        </w:rPr>
        <w:t>Требования к продукции</w:t>
      </w:r>
      <w:bookmarkEnd w:id="6"/>
      <w:bookmarkEnd w:id="7"/>
    </w:p>
    <w:p>
      <w:pPr>
        <w:pStyle w:val="Heading4"/>
        <w:numPr>
          <w:ilvl w:val="1"/>
          <w:numId w:val="1"/>
        </w:numPr>
        <w:tabs>
          <w:tab w:val="clear" w:pos="709"/>
          <w:tab w:val="left" w:pos="0" w:leader="none"/>
          <w:tab w:val="left" w:pos="426" w:leader="none"/>
        </w:tabs>
        <w:ind w:left="0" w:hanging="0"/>
        <w:rPr>
          <w:lang w:val="ru-RU"/>
        </w:rPr>
      </w:pPr>
      <w:bookmarkStart w:id="8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8"/>
    </w:p>
    <w:p>
      <w:pPr>
        <w:pStyle w:val="Heading3"/>
        <w:numPr>
          <w:ilvl w:val="2"/>
          <w:numId w:val="1"/>
        </w:numPr>
        <w:ind w:left="0" w:hanging="0"/>
        <w:rPr/>
      </w:pPr>
      <w:bookmarkStart w:id="9" w:name="_Toc75446575"/>
      <w:r>
        <w:rPr/>
        <w:t>Перечень и объем закупаемой продукции</w:t>
      </w:r>
      <w:bookmarkEnd w:id="9"/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jc w:val="both"/>
        <w:rPr>
          <w:szCs w:val="24"/>
        </w:rPr>
      </w:pPr>
      <w:bookmarkStart w:id="10" w:name="_Toc75446578"/>
      <w:bookmarkStart w:id="11" w:name="_Toc51339695"/>
      <w:bookmarkStart w:id="12" w:name="_Toc75446576"/>
      <w:r>
        <w:rPr>
          <w:szCs w:val="24"/>
        </w:rPr>
        <w:t xml:space="preserve">Таблица 2.1. Перечень </w:t>
      </w:r>
      <w:bookmarkEnd w:id="11"/>
      <w:r>
        <w:rPr>
          <w:szCs w:val="24"/>
        </w:rPr>
        <w:t>и объем закупаемой продукци</w:t>
      </w:r>
      <w:bookmarkEnd w:id="12"/>
      <w:r>
        <w:rPr>
          <w:szCs w:val="24"/>
        </w:rPr>
        <w:t>и</w:t>
      </w:r>
    </w:p>
    <w:tbl>
      <w:tblPr>
        <w:tblW w:w="982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75"/>
        <w:gridCol w:w="6550"/>
        <w:gridCol w:w="1251"/>
        <w:gridCol w:w="1352"/>
      </w:tblGrid>
      <w:tr>
        <w:trPr>
          <w:trHeight w:val="567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п/п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 продукции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Единица измерения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Количество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4</w:t>
            </w:r>
          </w:p>
        </w:tc>
      </w:tr>
      <w:tr>
        <w:trPr>
          <w:trHeight w:val="20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rPr>
                <w:sz w:val="22"/>
                <w:lang w:eastAsia="x-none"/>
              </w:rPr>
            </w:pPr>
            <w:r>
              <w:rPr>
                <w:sz w:val="22"/>
                <w:lang w:eastAsia="x-none"/>
              </w:rPr>
            </w:r>
          </w:p>
        </w:tc>
        <w:tc>
          <w:tcPr>
            <w:tcW w:w="65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/>
            </w:pPr>
            <w:r>
              <w:rPr>
                <w:color w:val="000000"/>
              </w:rPr>
              <w:t>Винтовая опора 4500 мм, D76х3 мм, фланец D210x8 под столб 80x80 14230</w:t>
            </w:r>
          </w:p>
        </w:tc>
        <w:tc>
          <w:tcPr>
            <w:tcW w:w="12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/>
            </w:pPr>
            <w:r>
              <w:rPr/>
              <w:t>шт.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2 132</w:t>
            </w:r>
          </w:p>
        </w:tc>
      </w:tr>
      <w:tr>
        <w:trPr>
          <w:trHeight w:val="20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rPr>
                <w:sz w:val="22"/>
                <w:lang w:eastAsia="x-none"/>
              </w:rPr>
            </w:pPr>
            <w:r>
              <w:rPr>
                <w:sz w:val="22"/>
                <w:lang w:eastAsia="x-none"/>
              </w:rPr>
            </w:r>
          </w:p>
        </w:tc>
        <w:tc>
          <w:tcPr>
            <w:tcW w:w="65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/>
            </w:pPr>
            <w:r>
              <w:rPr>
                <w:color w:val="000000"/>
              </w:rPr>
              <w:t>Винтовая опора 4500 мм, D89х3,5 мм, фланец D210x8 под столб 80x80</w:t>
            </w:r>
          </w:p>
        </w:tc>
        <w:tc>
          <w:tcPr>
            <w:tcW w:w="12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/>
            </w:pPr>
            <w:r>
              <w:rPr/>
              <w:t>шт.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</w:tr>
      <w:tr>
        <w:trPr>
          <w:trHeight w:val="20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rPr>
                <w:sz w:val="22"/>
                <w:lang w:eastAsia="x-none"/>
              </w:rPr>
            </w:pPr>
            <w:r>
              <w:rPr>
                <w:sz w:val="22"/>
                <w:lang w:eastAsia="x-none"/>
              </w:rPr>
            </w:r>
          </w:p>
        </w:tc>
        <w:tc>
          <w:tcPr>
            <w:tcW w:w="65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/>
            </w:pPr>
            <w:r>
              <w:rPr/>
              <w:t>Винтовая опора без фланца 4500 мм, D76х3 мм,   14230</w:t>
            </w:r>
          </w:p>
        </w:tc>
        <w:tc>
          <w:tcPr>
            <w:tcW w:w="12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/>
            </w:pPr>
            <w:r>
              <w:rPr/>
              <w:t>шт.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/>
            </w:pPr>
            <w:r>
              <w:rPr/>
              <w:t xml:space="preserve">1 </w:t>
            </w:r>
            <w:r>
              <w:rPr/>
              <w:t>178</w:t>
            </w:r>
          </w:p>
        </w:tc>
      </w:tr>
      <w:tr>
        <w:trPr>
          <w:trHeight w:val="20" w:hRule="atLeast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rPr>
                <w:sz w:val="22"/>
                <w:lang w:eastAsia="x-none"/>
              </w:rPr>
            </w:pPr>
            <w:r>
              <w:rPr>
                <w:sz w:val="22"/>
                <w:lang w:eastAsia="x-none"/>
              </w:rPr>
            </w:r>
          </w:p>
        </w:tc>
        <w:tc>
          <w:tcPr>
            <w:tcW w:w="65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/>
            </w:pPr>
            <w:r>
              <w:rPr>
                <w:color w:val="000000"/>
              </w:rPr>
              <w:t>Фланец круглый под столб D76 4392</w:t>
            </w:r>
          </w:p>
        </w:tc>
        <w:tc>
          <w:tcPr>
            <w:tcW w:w="12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/>
            </w:pPr>
            <w:r>
              <w:rPr/>
              <w:t>шт.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 </w:t>
            </w:r>
            <w:r>
              <w:rPr>
                <w:lang w:val="en-US"/>
              </w:rPr>
              <w:t>178</w:t>
            </w:r>
          </w:p>
        </w:tc>
      </w:tr>
      <w:tr>
        <w:trPr>
          <w:trHeight w:val="20" w:hRule="atLeast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rPr>
                <w:sz w:val="22"/>
                <w:lang w:eastAsia="x-none"/>
              </w:rPr>
            </w:pPr>
            <w:r>
              <w:rPr>
                <w:sz w:val="22"/>
                <w:lang w:eastAsia="x-none"/>
              </w:rPr>
            </w:r>
          </w:p>
        </w:tc>
        <w:tc>
          <w:tcPr>
            <w:tcW w:w="65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/>
            </w:pPr>
            <w:r>
              <w:rPr>
                <w:color w:val="000000"/>
              </w:rPr>
              <w:t>Винтовая опора без фланца 4500 мм, D133х4 мм 14236_1</w:t>
            </w:r>
          </w:p>
        </w:tc>
        <w:tc>
          <w:tcPr>
            <w:tcW w:w="12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/>
            </w:pPr>
            <w:r>
              <w:rPr/>
              <w:t>шт.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</w:tr>
      <w:tr>
        <w:trPr>
          <w:trHeight w:val="20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rPr>
                <w:sz w:val="22"/>
                <w:lang w:eastAsia="x-none"/>
              </w:rPr>
            </w:pPr>
            <w:r>
              <w:rPr>
                <w:sz w:val="22"/>
                <w:lang w:eastAsia="x-none"/>
              </w:rPr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2"/>
              <w:widowControl w:val="false"/>
              <w:rPr/>
            </w:pPr>
            <w:r>
              <w:rPr>
                <w:color w:val="000000"/>
              </w:rPr>
              <w:t>Оголовок для сваи d=133 мм, размер фланца 300х300х10 мм 27300_45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/>
            </w:pPr>
            <w:r>
              <w:rPr/>
              <w:t>шт.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</w:tr>
      <w:tr>
        <w:trPr>
          <w:trHeight w:val="20" w:hRule="atLeast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rPr>
                <w:sz w:val="22"/>
                <w:lang w:eastAsia="x-none"/>
              </w:rPr>
            </w:pPr>
            <w:r>
              <w:rPr>
                <w:sz w:val="22"/>
                <w:lang w:eastAsia="x-none"/>
              </w:rPr>
            </w:r>
          </w:p>
        </w:tc>
        <w:tc>
          <w:tcPr>
            <w:tcW w:w="65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/>
            </w:pPr>
            <w:r>
              <w:rPr>
                <w:color w:val="000000"/>
              </w:rPr>
              <w:t>Винтовая опора без фланца 4500 мм, D159 14258</w:t>
            </w:r>
          </w:p>
        </w:tc>
        <w:tc>
          <w:tcPr>
            <w:tcW w:w="12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/>
            </w:pPr>
            <w:r>
              <w:rPr/>
              <w:t>шт.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72</w:t>
            </w:r>
          </w:p>
        </w:tc>
      </w:tr>
      <w:tr>
        <w:trPr>
          <w:trHeight w:val="20" w:hRule="atLeast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rPr>
                <w:sz w:val="22"/>
                <w:lang w:eastAsia="x-none"/>
              </w:rPr>
            </w:pPr>
            <w:r>
              <w:rPr>
                <w:sz w:val="22"/>
                <w:lang w:eastAsia="x-none"/>
              </w:rPr>
            </w:r>
          </w:p>
        </w:tc>
        <w:tc>
          <w:tcPr>
            <w:tcW w:w="65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/>
            </w:pPr>
            <w:r>
              <w:rPr>
                <w:color w:val="000000"/>
              </w:rPr>
              <w:t>Фланец столба ворот серии L 400х400х10 4309_3</w:t>
            </w:r>
          </w:p>
        </w:tc>
        <w:tc>
          <w:tcPr>
            <w:tcW w:w="12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/>
            </w:pPr>
            <w:r>
              <w:rPr/>
              <w:t>шт.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</w:tr>
      <w:tr>
        <w:trPr>
          <w:trHeight w:val="20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rPr>
                <w:sz w:val="22"/>
                <w:lang w:eastAsia="x-none"/>
              </w:rPr>
            </w:pPr>
            <w:r>
              <w:rPr>
                <w:sz w:val="22"/>
                <w:lang w:eastAsia="x-none"/>
              </w:rPr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2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Винтовая опора без фланца 4000 мм, D89х6,5 мм 14236_1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/>
            </w:pPr>
            <w:r>
              <w:rPr/>
              <w:t>шт.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>
        <w:trPr>
          <w:trHeight w:val="20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rPr>
                <w:sz w:val="22"/>
                <w:lang w:eastAsia="x-none"/>
              </w:rPr>
            </w:pPr>
            <w:r>
              <w:rPr>
                <w:sz w:val="22"/>
                <w:lang w:eastAsia="x-none"/>
              </w:rPr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/>
            </w:pPr>
            <w:r>
              <w:rPr>
                <w:color w:val="000000"/>
              </w:rPr>
              <w:t>Свая винтовая 7,0 м ВСВ-325-7000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/>
            </w:pPr>
            <w:r>
              <w:rPr/>
              <w:t>шт.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/>
            </w:pPr>
            <w:r>
              <w:rPr/>
              <w:t>82</w:t>
            </w:r>
          </w:p>
        </w:tc>
      </w:tr>
      <w:tr>
        <w:trPr>
          <w:trHeight w:val="20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rPr>
                <w:sz w:val="22"/>
                <w:lang w:eastAsia="x-none"/>
              </w:rPr>
            </w:pPr>
            <w:r>
              <w:rPr>
                <w:sz w:val="22"/>
                <w:lang w:eastAsia="x-none"/>
              </w:rPr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2"/>
              <w:widowControl w:val="false"/>
              <w:rPr/>
            </w:pPr>
            <w:r>
              <w:rPr>
                <w:color w:val="000000"/>
              </w:rPr>
              <w:t>Оголовок сваи винтовой, состоящий из: пластина 370х370х10 мм - 38 шт., ребро Ст.3 толщина 5 мм L1=400 мм L2=100 мм угол 74,5 - 152 шт., труба горячедеформированная 146х5, L=410 мм - 38 шт.   Метизы для крепления винтовой опоры к опоре освещения - 5 шт.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/>
            </w:pPr>
            <w:r>
              <w:rPr/>
              <w:t>шт.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/>
            </w:pPr>
            <w:r>
              <w:rPr/>
              <w:t>38</w:t>
            </w:r>
          </w:p>
        </w:tc>
      </w:tr>
      <w:tr>
        <w:trPr>
          <w:trHeight w:val="20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rPr>
                <w:sz w:val="22"/>
                <w:lang w:eastAsia="x-none"/>
              </w:rPr>
            </w:pPr>
            <w:r>
              <w:rPr>
                <w:sz w:val="22"/>
                <w:lang w:eastAsia="x-none"/>
              </w:rPr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2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Винтовая опора, L=4,5 м, Д76х3 мм, </w:t>
            </w:r>
            <w:r>
              <w:rPr>
                <w:color w:val="000000"/>
                <w:szCs w:val="24"/>
              </w:rPr>
              <w:t>(под опору освещения)</w:t>
            </w:r>
            <w:r>
              <w:rPr>
                <w:color w:val="000000"/>
              </w:rPr>
              <w:t xml:space="preserve"> 14230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/>
            </w:pPr>
            <w:r>
              <w:rPr/>
              <w:t>шт.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/>
            </w:pPr>
            <w:r>
              <w:rPr/>
              <w:t>12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Heading3"/>
        <w:numPr>
          <w:ilvl w:val="2"/>
          <w:numId w:val="1"/>
        </w:numPr>
        <w:ind w:left="0" w:hanging="0"/>
        <w:rPr/>
      </w:pPr>
      <w:bookmarkStart w:id="13" w:name="_Toc51339696"/>
      <w:r>
        <w:rPr/>
        <w:t xml:space="preserve">Требования </w:t>
      </w:r>
      <w:bookmarkEnd w:id="13"/>
      <w:r>
        <w:rPr/>
        <w:t xml:space="preserve">к срокам поставки продукции </w:t>
      </w:r>
      <w:bookmarkEnd w:id="10"/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szCs w:val="24"/>
          <w:lang w:eastAsia="x-none"/>
        </w:rPr>
      </w:pPr>
      <w:bookmarkStart w:id="14" w:name="_Toc75446579"/>
      <w:bookmarkStart w:id="15" w:name="_Toc50125127"/>
      <w:bookmarkStart w:id="16" w:name="_Toc51339697"/>
      <w:r>
        <w:rPr>
          <w:szCs w:val="24"/>
          <w:lang w:eastAsia="x-none"/>
        </w:rPr>
        <w:t xml:space="preserve">Таблица 2.2. </w:t>
      </w:r>
      <w:bookmarkStart w:id="17" w:name="_Hlk50465284"/>
      <w:r>
        <w:rPr>
          <w:szCs w:val="24"/>
          <w:lang w:eastAsia="x-none"/>
        </w:rPr>
        <w:t xml:space="preserve">Требования по срокам </w:t>
      </w:r>
      <w:bookmarkEnd w:id="15"/>
      <w:bookmarkEnd w:id="16"/>
      <w:bookmarkEnd w:id="17"/>
      <w:r>
        <w:rPr>
          <w:szCs w:val="24"/>
          <w:lang w:eastAsia="x-none"/>
        </w:rPr>
        <w:t>поставки продукции</w:t>
      </w:r>
      <w:bookmarkEnd w:id="14"/>
      <w:r>
        <w:rPr>
          <w:szCs w:val="24"/>
          <w:lang w:eastAsia="x-none"/>
        </w:rPr>
        <w:t xml:space="preserve"> </w:t>
      </w:r>
    </w:p>
    <w:tbl>
      <w:tblPr>
        <w:tblW w:w="991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263"/>
        <w:gridCol w:w="2985"/>
        <w:gridCol w:w="2827"/>
        <w:gridCol w:w="2840"/>
      </w:tblGrid>
      <w:tr>
        <w:trPr/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№ </w:t>
            </w:r>
            <w:r>
              <w:rPr>
                <w:szCs w:val="24"/>
              </w:rPr>
              <w:t>п/п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продукции / партии продукции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>
        <w:trPr/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rPr>
                <w:lang w:val="en-US"/>
              </w:rPr>
            </w:pPr>
            <w:r>
              <w:rPr>
                <w:lang w:val="en-US"/>
              </w:rPr>
              <w:t xml:space="preserve">- </w:t>
            </w:r>
            <w:r>
              <w:rPr/>
              <w:t>1.1</w:t>
            </w:r>
            <w:r>
              <w:rPr>
                <w:lang w:val="en-US"/>
              </w:rPr>
              <w:t>0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/>
                <w:i w:val="false"/>
                <w:caps w:val="false"/>
                <w:smallCaps w:val="false"/>
                <w:color w:val="000000"/>
                <w:spacing w:val="-6"/>
                <w:sz w:val="24"/>
                <w:szCs w:val="24"/>
              </w:rPr>
              <w:t xml:space="preserve">ОКПД2 25.11.23.110 Поставка винтовых свай для нужд Производственного участка АО "Гидроремонт-ВКК"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pacing w:val="-6"/>
                <w:sz w:val="24"/>
                <w:szCs w:val="24"/>
              </w:rPr>
              <w:t>» на Нерюнгринской ГРЭС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С даты подписания договора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до 3</w:t>
            </w:r>
            <w:r>
              <w:rPr>
                <w:szCs w:val="24"/>
                <w:lang w:val="en-US"/>
              </w:rPr>
              <w:t>0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09</w:t>
            </w:r>
            <w:r>
              <w:rPr>
                <w:szCs w:val="24"/>
              </w:rPr>
              <w:t>.2026</w:t>
            </w:r>
          </w:p>
        </w:tc>
      </w:tr>
    </w:tbl>
    <w:p>
      <w:pPr>
        <w:sectPr>
          <w:footerReference w:type="default" r:id="rId2"/>
          <w:type w:val="nextPage"/>
          <w:pgSz w:w="11906" w:h="16838"/>
          <w:pgMar w:left="1276" w:right="707" w:gutter="0" w:header="0" w:top="911" w:footer="788" w:bottom="1213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szCs w:val="24"/>
          <w:lang w:eastAsia="x-none"/>
        </w:rPr>
      </w:pPr>
      <w:r>
        <w:rPr>
          <w:szCs w:val="24"/>
          <w:lang w:eastAsia="x-none"/>
        </w:rPr>
        <w:t>Таблица 2.3. Требования к продукции</w:t>
      </w:r>
    </w:p>
    <w:tbl>
      <w:tblPr>
        <w:tblW w:w="20069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38"/>
        <w:gridCol w:w="2730"/>
        <w:gridCol w:w="2494"/>
        <w:gridCol w:w="1975"/>
        <w:gridCol w:w="2782"/>
        <w:gridCol w:w="3688"/>
        <w:gridCol w:w="2780"/>
        <w:gridCol w:w="2781"/>
      </w:tblGrid>
      <w:tr>
        <w:trPr>
          <w:trHeight w:val="504" w:hRule="atLeast"/>
        </w:trPr>
        <w:tc>
          <w:tcPr>
            <w:tcW w:w="1450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rPr>
                <w:rFonts w:eastAsia="Times New Roman" w:cs="Times New Roman"/>
                <w:b/>
                <w:bCs/>
                <w:color w:val="000000"/>
                <w:spacing w:val="-6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pacing w:val="-6"/>
                <w:szCs w:val="24"/>
              </w:rPr>
              <w:t>Наименование продукции (позиции № 1.1 - 1.12 Таблицы 2.1): Поставка  материалов ИТСЗ (винтовые опоры и сваи) для  нужд Производственного участка Саяно-Шушенского филиала АО «Гидроремонт-ВКК» на Нерюнгринской ГРЭС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86" w:hRule="atLeast"/>
        </w:trPr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 xml:space="preserve">№ </w:t>
            </w:r>
            <w:r>
              <w:rPr>
                <w:b/>
                <w:bCs/>
                <w:color w:val="000000"/>
                <w:sz w:val="22"/>
              </w:rPr>
              <w:t>п/п</w:t>
            </w:r>
          </w:p>
        </w:tc>
        <w:tc>
          <w:tcPr>
            <w:tcW w:w="5224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Наименование продукции</w:t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Наименование параметра</w:t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Требование заказчика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Соответствие стандартам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1.1</w:t>
            </w:r>
          </w:p>
        </w:tc>
        <w:tc>
          <w:tcPr>
            <w:tcW w:w="522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Винтовая опора 4500 мм, D76х3 мм, фланец D210x8 под столб 80x80   14230</w:t>
            </w:r>
          </w:p>
        </w:tc>
        <w:tc>
          <w:tcPr>
            <w:tcW w:w="197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Тип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Винтовая опора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22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Длина, мм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4500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22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Диаметр, мм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22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Габаритные размеры фланца, мм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D210x8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22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Под столб 80х80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Да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1.2</w:t>
            </w:r>
          </w:p>
        </w:tc>
        <w:tc>
          <w:tcPr>
            <w:tcW w:w="522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  <w:sz w:val="22"/>
              </w:rPr>
              <w:t>Винтовая опора 4500 мм, D89х3,5 мм, фланец D210x8 под столб 80x80</w:t>
            </w:r>
          </w:p>
        </w:tc>
        <w:tc>
          <w:tcPr>
            <w:tcW w:w="197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Тип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Винтовая опора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continue"/>
            <w:tcBorders>
              <w:lef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224" w:type="dxa"/>
            <w:gridSpan w:val="2"/>
            <w:vMerge w:val="continue"/>
            <w:tcBorders>
              <w:lef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vMerge w:val="continue"/>
            <w:tcBorders>
              <w:lef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Длина, мм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4500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continue"/>
            <w:tcBorders>
              <w:lef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224" w:type="dxa"/>
            <w:gridSpan w:val="2"/>
            <w:vMerge w:val="continue"/>
            <w:tcBorders>
              <w:lef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vMerge w:val="continue"/>
            <w:tcBorders>
              <w:lef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Диаметр, мм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89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continue"/>
            <w:tcBorders>
              <w:lef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224" w:type="dxa"/>
            <w:gridSpan w:val="2"/>
            <w:vMerge w:val="continue"/>
            <w:tcBorders>
              <w:lef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vMerge w:val="continue"/>
            <w:tcBorders>
              <w:lef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Габаритные размеры фланца, мм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D210x8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22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Под столб 80х80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Да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1.3</w:t>
            </w:r>
          </w:p>
        </w:tc>
        <w:tc>
          <w:tcPr>
            <w:tcW w:w="522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Винтовая опора без фланца 4500 мм, D76х3 мм,   14230</w:t>
            </w:r>
          </w:p>
        </w:tc>
        <w:tc>
          <w:tcPr>
            <w:tcW w:w="197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Тип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Винтовая опора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22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Материал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4500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22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Габаритные размеры, мм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76х3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22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Круглый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да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22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Под столб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да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restart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1.4</w:t>
            </w:r>
          </w:p>
        </w:tc>
        <w:tc>
          <w:tcPr>
            <w:tcW w:w="5224" w:type="dxa"/>
            <w:gridSpan w:val="2"/>
            <w:vMerge w:val="restart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rPr>
                <w:color w:val="000000"/>
                <w:sz w:val="22"/>
              </w:rPr>
            </w:pPr>
            <w:bookmarkStart w:id="18" w:name="_GoBack"/>
            <w:bookmarkEnd w:id="18"/>
            <w:r>
              <w:rPr>
                <w:color w:val="000000"/>
                <w:sz w:val="22"/>
              </w:rPr>
              <w:t>Фланец круглый под столб D76   4392</w:t>
            </w:r>
          </w:p>
        </w:tc>
        <w:tc>
          <w:tcPr>
            <w:tcW w:w="1975" w:type="dxa"/>
            <w:vMerge w:val="restart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Тип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Фланец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22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Материал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Металл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22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Габаритные размеры, мм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D76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22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Круглый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Да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continue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224" w:type="dxa"/>
            <w:gridSpan w:val="2"/>
            <w:vMerge w:val="continue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vMerge w:val="continue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Под столб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Да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1.5</w:t>
            </w:r>
          </w:p>
        </w:tc>
        <w:tc>
          <w:tcPr>
            <w:tcW w:w="522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Винтовая опора без фланца 4500 мм, D133х4 мм   14236_1</w:t>
            </w:r>
          </w:p>
        </w:tc>
        <w:tc>
          <w:tcPr>
            <w:tcW w:w="197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Тип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Винтовая опора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22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Без фланца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Да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22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Длина, мм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4500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22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Диаметр, мм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133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22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Материал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Металл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1.6</w:t>
            </w:r>
          </w:p>
        </w:tc>
        <w:tc>
          <w:tcPr>
            <w:tcW w:w="522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Оголовок для сваи d=133 мм, размер фланца 300х300х10 мм     27300_45</w:t>
            </w:r>
          </w:p>
        </w:tc>
        <w:tc>
          <w:tcPr>
            <w:tcW w:w="197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Тип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Оголовок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22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Для сваи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Да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continue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224" w:type="dxa"/>
            <w:gridSpan w:val="2"/>
            <w:vMerge w:val="continue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vMerge w:val="continue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Диаметр, мм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133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22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Размер фланца, мм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300х300х10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224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Материал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Металл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1.7</w:t>
            </w:r>
          </w:p>
        </w:tc>
        <w:tc>
          <w:tcPr>
            <w:tcW w:w="52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Винтовая опора без фланца 4500 мм, D159 14258</w:t>
            </w:r>
          </w:p>
        </w:tc>
        <w:tc>
          <w:tcPr>
            <w:tcW w:w="1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Тип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Винтовая опора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224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Без фланца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Да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continue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224" w:type="dxa"/>
            <w:gridSpan w:val="2"/>
            <w:vMerge w:val="continue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vMerge w:val="continue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Длина, мм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4500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22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Диаметр, мм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159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1.8</w:t>
            </w:r>
          </w:p>
        </w:tc>
        <w:tc>
          <w:tcPr>
            <w:tcW w:w="52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Фланец столба ворот серии L 400х400х10   4309_3</w:t>
            </w:r>
          </w:p>
        </w:tc>
        <w:tc>
          <w:tcPr>
            <w:tcW w:w="1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Тип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Фланец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224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Материал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Металл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22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Для столба ворот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Да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22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Габаритные размеры, мм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400х400х10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1.9</w:t>
            </w:r>
          </w:p>
        </w:tc>
        <w:tc>
          <w:tcPr>
            <w:tcW w:w="522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Винтовая опора без фланца 4000 мм, D89х6,5 мм 14236_1</w:t>
            </w:r>
          </w:p>
        </w:tc>
        <w:tc>
          <w:tcPr>
            <w:tcW w:w="197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Тип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Винтовая опора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continue"/>
            <w:tcBorders>
              <w:lef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224" w:type="dxa"/>
            <w:gridSpan w:val="2"/>
            <w:vMerge w:val="continue"/>
            <w:tcBorders>
              <w:lef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vMerge w:val="continue"/>
            <w:tcBorders>
              <w:lef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Без фланца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Да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continue"/>
            <w:tcBorders>
              <w:lef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224" w:type="dxa"/>
            <w:gridSpan w:val="2"/>
            <w:vMerge w:val="continue"/>
            <w:tcBorders>
              <w:lef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vMerge w:val="continue"/>
            <w:tcBorders>
              <w:lef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Длина, мм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4000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continue"/>
            <w:tcBorders>
              <w:lef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224" w:type="dxa"/>
            <w:gridSpan w:val="2"/>
            <w:vMerge w:val="continue"/>
            <w:tcBorders>
              <w:lef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vMerge w:val="continue"/>
            <w:tcBorders>
              <w:lef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Диаметр, мм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89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22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Материал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Металл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1.10</w:t>
            </w:r>
          </w:p>
        </w:tc>
        <w:tc>
          <w:tcPr>
            <w:tcW w:w="522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Свая винтовая 7,0 м ВСВ-325-7000</w:t>
            </w:r>
          </w:p>
        </w:tc>
        <w:tc>
          <w:tcPr>
            <w:tcW w:w="197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Тип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Свая винтовая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22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</w:r>
          </w:p>
        </w:tc>
        <w:tc>
          <w:tcPr>
            <w:tcW w:w="197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Длина, мм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7000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22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</w:r>
          </w:p>
        </w:tc>
        <w:tc>
          <w:tcPr>
            <w:tcW w:w="197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Диаметр, мм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325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22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</w:r>
          </w:p>
        </w:tc>
        <w:tc>
          <w:tcPr>
            <w:tcW w:w="197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Материал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Металл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1.11</w:t>
            </w:r>
          </w:p>
        </w:tc>
        <w:tc>
          <w:tcPr>
            <w:tcW w:w="522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Оголовок сваи винтовой, состоящий из: пластина 370х370х10 мм - 38 шт., ребро Ст.3 толщина 5 мм L1=400 мм L2=100 мм угол 74,5 - 152 шт., труба горячедеформированная 146х5, L=410 мм - 38 шт. Метизы для крепления винтовой опоры к опоре освещения - 5 шт.</w:t>
            </w:r>
          </w:p>
        </w:tc>
        <w:tc>
          <w:tcPr>
            <w:tcW w:w="197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Тип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Оголовок сваи винтовой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22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Состав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пластина 370х370х10 мм - 38 шт., ребро Ст.3 толщина 5 мм L1=400 мм L2=100 мм угол 74,5 - 152 шт., труба горячедеформированная 146х5, L=410 мм - 38 шт.   Метизы для крепления винтовой опоры к опоре освещения - 5 шт.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6" w:hRule="atLeast"/>
        </w:trPr>
        <w:tc>
          <w:tcPr>
            <w:tcW w:w="8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22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Материал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металл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restart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1.12</w:t>
            </w:r>
          </w:p>
        </w:tc>
        <w:tc>
          <w:tcPr>
            <w:tcW w:w="522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Винтовая опора, L=4,5 м, Д76х3 мм, (под опору освещения)</w:t>
            </w:r>
          </w:p>
        </w:tc>
        <w:tc>
          <w:tcPr>
            <w:tcW w:w="197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Тип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Винтовая опора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continue"/>
            <w:tcBorders>
              <w:lef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224" w:type="dxa"/>
            <w:gridSpan w:val="2"/>
            <w:vMerge w:val="continue"/>
            <w:tcBorders>
              <w:lef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vMerge w:val="continue"/>
            <w:tcBorders>
              <w:lef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  фланцем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нет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continue"/>
            <w:tcBorders>
              <w:lef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224" w:type="dxa"/>
            <w:gridSpan w:val="2"/>
            <w:vMerge w:val="continue"/>
            <w:tcBorders>
              <w:lef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vMerge w:val="continue"/>
            <w:tcBorders>
              <w:lef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Длина, мм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4500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continue"/>
            <w:tcBorders>
              <w:lef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224" w:type="dxa"/>
            <w:gridSpan w:val="2"/>
            <w:vMerge w:val="continue"/>
            <w:tcBorders>
              <w:lef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vMerge w:val="continue"/>
            <w:tcBorders>
              <w:lef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Диаметр, мм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76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38" w:type="dxa"/>
            <w:vMerge w:val="continue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22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Материал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металл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2.</w:t>
            </w:r>
          </w:p>
        </w:tc>
        <w:tc>
          <w:tcPr>
            <w:tcW w:w="13669" w:type="dxa"/>
            <w:gridSpan w:val="5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  <w:vAlign w:val="center"/>
          </w:tcPr>
          <w:p>
            <w:pPr>
              <w:pStyle w:val="Style42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Материал</w:t>
            </w:r>
          </w:p>
        </w:tc>
      </w:tr>
      <w:tr>
        <w:trPr>
          <w:trHeight w:val="276" w:hRule="atLeast"/>
        </w:trPr>
        <w:tc>
          <w:tcPr>
            <w:tcW w:w="83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2.1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  <w:t>Место поставки</w:t>
            </w:r>
          </w:p>
        </w:tc>
        <w:tc>
          <w:tcPr>
            <w:tcW w:w="109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i/>
                <w:szCs w:val="24"/>
              </w:rPr>
              <w:t>678995, Российская Федерация, Республика Саха (Якутия), г. Нерюнгри, гп. Серебряный Бор, производственная площадка Нерюнгринской ГРЭС</w:t>
            </w:r>
          </w:p>
        </w:tc>
        <w:tc>
          <w:tcPr>
            <w:tcW w:w="2780" w:type="dxa"/>
            <w:tcBorders>
              <w:left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2.2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  <w:t>Приемка продукции</w:t>
            </w:r>
          </w:p>
        </w:tc>
        <w:tc>
          <w:tcPr>
            <w:tcW w:w="10939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</w:rPr>
            </w:pPr>
            <w:r>
              <w:rPr>
                <w:i/>
                <w:sz w:val="22"/>
              </w:rPr>
              <w:t>Приемка продукции осуществляется только в рабочие дни с 9-00 до 11-00 и с 13-00 до 16-00</w:t>
            </w:r>
          </w:p>
        </w:tc>
        <w:tc>
          <w:tcPr>
            <w:tcW w:w="2780" w:type="dxa"/>
            <w:tcBorders/>
            <w:vAlign w:val="center"/>
          </w:tcPr>
          <w:p>
            <w:pPr>
              <w:pStyle w:val="Style42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2.3</w:t>
            </w:r>
          </w:p>
        </w:tc>
        <w:tc>
          <w:tcPr>
            <w:tcW w:w="13669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</w:rPr>
            </w:pPr>
            <w:r>
              <w:rPr>
                <w:i/>
                <w:sz w:val="22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  <w:r>
              <w:rPr>
                <w:b/>
                <w:i/>
                <w:sz w:val="22"/>
              </w:rPr>
              <w:t xml:space="preserve"> </w:t>
            </w:r>
            <w:r>
              <w:rPr>
                <w:i/>
                <w:sz w:val="22"/>
              </w:rPr>
              <w:t xml:space="preserve">по тел.: </w:t>
            </w:r>
            <w:r>
              <w:rPr>
                <w:i/>
                <w:sz w:val="22"/>
                <w:u w:val="single"/>
              </w:rPr>
              <w:t>89134473508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3.</w:t>
            </w:r>
          </w:p>
        </w:tc>
        <w:tc>
          <w:tcPr>
            <w:tcW w:w="13669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andard"/>
              <w:widowControl w:val="false"/>
              <w:rPr>
                <w:sz w:val="22"/>
              </w:rPr>
            </w:pPr>
            <w:r>
              <w:rPr>
                <w:b/>
                <w:sz w:val="22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3.1</w:t>
            </w: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  <w:t>Сроки гарантии</w:t>
            </w:r>
          </w:p>
        </w:tc>
        <w:tc>
          <w:tcPr>
            <w:tcW w:w="10939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  <w:t>Не менее 36 месяцев с даты подписания сторонами ТОРГ-12 (УПД)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838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4.</w:t>
            </w:r>
          </w:p>
        </w:tc>
        <w:tc>
          <w:tcPr>
            <w:tcW w:w="13669" w:type="dxa"/>
            <w:gridSpan w:val="5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b/>
                <w:sz w:val="22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4.1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  <w:t>Документы, передаваемые вместе с продукцией</w:t>
            </w:r>
          </w:p>
        </w:tc>
        <w:tc>
          <w:tcPr>
            <w:tcW w:w="109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</w:rPr>
            </w:pPr>
            <w:r>
              <w:rPr>
                <w:i/>
                <w:sz w:val="22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 сертификаты качества, технические паспорта, руководства по эксплуатации со штампом отдела технического контроля (ОТК) изготовителя, товарную накладную унифицированной формы ТОРГ-12 (УПД) в 2 экз.</w:t>
            </w:r>
            <w:r>
              <w:rPr>
                <w:bCs/>
                <w:i/>
                <w:iCs/>
                <w:sz w:val="22"/>
              </w:rPr>
              <w:t>, транспортную накладную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5.</w:t>
            </w:r>
          </w:p>
        </w:tc>
        <w:tc>
          <w:tcPr>
            <w:tcW w:w="13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b/>
                <w:sz w:val="22"/>
                <w:lang w:eastAsia="ru-RU"/>
              </w:rPr>
              <w:t>Прочие (дополнительные) требования к продукции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83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5.1</w:t>
            </w:r>
          </w:p>
        </w:tc>
        <w:tc>
          <w:tcPr>
            <w:tcW w:w="13669" w:type="dxa"/>
            <w:gridSpan w:val="5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i/>
                <w:sz w:val="22"/>
              </w:rPr>
              <w:t>Продукция должна быть новой, ранее не использовавшейся.</w:t>
            </w:r>
          </w:p>
          <w:p>
            <w:pPr>
              <w:pStyle w:val="Normal"/>
              <w:widowControl w:val="false"/>
              <w:jc w:val="both"/>
              <w:rPr>
                <w:sz w:val="22"/>
              </w:rPr>
            </w:pPr>
            <w:r>
              <w:rPr>
                <w:bCs/>
                <w:i/>
                <w:sz w:val="22"/>
                <w:lang w:eastAsia="x-none"/>
              </w:rPr>
              <w:t>Продукция должна соответствовать обязательным требованиям, установленными нормативными документами, действующими в РФ.</w:t>
            </w:r>
          </w:p>
          <w:p>
            <w:pPr>
              <w:pStyle w:val="Normal"/>
              <w:widowControl w:val="false"/>
              <w:jc w:val="both"/>
              <w:rPr>
                <w:sz w:val="22"/>
              </w:rPr>
            </w:pPr>
            <w:r>
              <w:rPr>
                <w:bCs/>
                <w:i/>
                <w:sz w:val="22"/>
                <w:lang w:eastAsia="x-none"/>
              </w:rPr>
              <w:t>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</w:t>
            </w:r>
          </w:p>
        </w:tc>
        <w:tc>
          <w:tcPr>
            <w:tcW w:w="278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8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sectPr>
      <w:footerReference w:type="default" r:id="rId3"/>
      <w:footerReference w:type="first" r:id="rId4"/>
      <w:type w:val="nextPage"/>
      <w:pgSz w:orient="landscape" w:w="16838" w:h="11906"/>
      <w:pgMar w:left="1134" w:right="736" w:gutter="0" w:header="0" w:top="709" w:footer="708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24"/>
        <w:szCs w:val="24"/>
      </w:rPr>
    </w:pPr>
    <w:r>
      <w:rPr>
        <w:sz w:val="24"/>
        <w:szCs w:val="24"/>
      </w:rP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PAGE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3</w:t>
    </w:r>
    <w:r>
      <w:rPr>
        <w:sz w:val="24"/>
        <w:b/>
        <w:szCs w:val="24"/>
        <w:bCs/>
      </w:rPr>
      <w:fldChar w:fldCharType="end"/>
    </w:r>
    <w:r>
      <w:rPr>
        <w:sz w:val="24"/>
        <w:szCs w:val="24"/>
      </w:rPr>
      <w:t xml:space="preserve"> из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NUMPAGES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6</w:t>
    </w:r>
    <w:r>
      <w:rPr>
        <w:sz w:val="24"/>
        <w:b/>
        <w:szCs w:val="24"/>
        <w:bCs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24"/>
        <w:szCs w:val="24"/>
      </w:rPr>
    </w:pPr>
    <w:r>
      <w:rPr>
        <w:sz w:val="24"/>
        <w:szCs w:val="24"/>
      </w:rP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PAGE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6</w:t>
    </w:r>
    <w:r>
      <w:rPr>
        <w:sz w:val="24"/>
        <w:b/>
        <w:szCs w:val="24"/>
        <w:bCs/>
      </w:rPr>
      <w:fldChar w:fldCharType="end"/>
    </w:r>
    <w:r>
      <w:rPr>
        <w:sz w:val="24"/>
        <w:szCs w:val="24"/>
      </w:rPr>
      <w:t xml:space="preserve"> из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NUMPAGES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6</w:t>
    </w:r>
    <w:r>
      <w:rPr>
        <w:sz w:val="24"/>
        <w:b/>
        <w:szCs w:val="24"/>
        <w:bCs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1.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4">
    <w:lvl w:ilvl="0">
      <w:start w:val="1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6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7"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ahoma"/>
      <w:color w:val="auto"/>
      <w:kern w:val="0"/>
      <w:sz w:val="24"/>
      <w:szCs w:val="22"/>
      <w:lang w:val="ru-RU" w:eastAsia="en-US" w:bidi="ar-SA"/>
    </w:rPr>
  </w:style>
  <w:style w:type="paragraph" w:styleId="Heading1">
    <w:name w:val="Heading 1"/>
    <w:basedOn w:val="Heading3"/>
    <w:next w:val="Normal"/>
    <w:link w:val="1"/>
    <w:qFormat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tabs>
        <w:tab w:val="clear" w:pos="0"/>
        <w:tab w:val="clear" w:pos="709"/>
      </w:tabs>
      <w:ind w:left="432" w:hanging="432"/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pPr>
      <w:keepNext w:val="true"/>
      <w:tabs>
        <w:tab w:val="clear" w:pos="708"/>
        <w:tab w:val="left" w:pos="0" w:leader="none"/>
        <w:tab w:val="left" w:pos="709" w:leader="none"/>
      </w:tabs>
      <w:outlineLvl w:val="2"/>
    </w:pPr>
    <w:rPr>
      <w:rFonts w:cs="Times New Roman"/>
      <w:b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qFormat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qFormat/>
    <w:pPr>
      <w:keepNext w:val="true"/>
      <w:keepLines/>
      <w:spacing w:before="200" w:after="0"/>
      <w:outlineLvl w:val="5"/>
    </w:pPr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spacing w:before="200" w:after="0"/>
      <w:outlineLvl w:val="6"/>
    </w:pPr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spacing w:before="200" w:after="0"/>
      <w:outlineLvl w:val="7"/>
    </w:pPr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qFormat/>
    <w:pPr>
      <w:spacing w:before="240" w:after="60"/>
      <w:outlineLvl w:val="8"/>
    </w:pPr>
    <w:rPr>
      <w:rFonts w:ascii="Arial" w:hAnsi="Arial" w:eastAsia="Times New Roman" w:cs="Times New Roman"/>
      <w:sz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qFormat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Style" w:customStyle="1">
    <w:name w:val="комментарий"/>
    <w:qFormat/>
    <w:rPr>
      <w:b/>
      <w:i/>
      <w:shd w:fill="FFFF99" w:val="clear"/>
    </w:rPr>
  </w:style>
  <w:style w:type="character" w:styleId="2" w:customStyle="1">
    <w:name w:val="Заголовок 2 Знак"/>
    <w:basedOn w:val="DefaultParagraphFont"/>
    <w:qFormat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basedOn w:val="DefaultParagraphFont"/>
    <w:qFormat/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 w:customStyle="1">
    <w:name w:val="Заголовок 6 Знак"/>
    <w:basedOn w:val="DefaultParagraphFont"/>
    <w:qFormat/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character" w:styleId="7" w:customStyle="1">
    <w:name w:val="Заголовок 7 Знак"/>
    <w:basedOn w:val="DefaultParagraphFont"/>
    <w:qFormat/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character" w:styleId="8" w:customStyle="1">
    <w:name w:val="Заголовок 8 Знак"/>
    <w:basedOn w:val="DefaultParagraphFont"/>
    <w:qFormat/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character" w:styleId="9" w:customStyle="1">
    <w:name w:val="Заголовок 9 Знак"/>
    <w:basedOn w:val="DefaultParagraphFont"/>
    <w:qFormat/>
    <w:rPr>
      <w:rFonts w:ascii="Arial" w:hAnsi="Arial" w:eastAsia="Times New Roman" w:cs="Times New Roman"/>
      <w:lang w:val="x-none" w:eastAsia="x-none"/>
    </w:rPr>
  </w:style>
  <w:style w:type="character" w:styleId="Style1" w:customStyle="1">
    <w:name w:val="Текст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Style3" w:customStyle="1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4" w:customStyle="1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5" w:customStyle="1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6" w:customStyle="1">
    <w:name w:val="Основной текст Знак"/>
    <w:basedOn w:val="DefaultParagraphFont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1" w:customStyle="1">
    <w:name w:val="Основной текст с отступом 2 Знак"/>
    <w:basedOn w:val="DefaultParagraphFont"/>
    <w:link w:val="BodyTextIndent2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1" w:customStyle="1">
    <w:name w:val="Основной текст 3 Знак"/>
    <w:basedOn w:val="DefaultParagraphFont"/>
    <w:link w:val="BodyText3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2" w:customStyle="1">
    <w:name w:val="Основной текст 2 Знак"/>
    <w:basedOn w:val="DefaultParagraphFont"/>
    <w:link w:val="BodyText2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Pagenumber">
    <w:name w:val="page number"/>
    <w:basedOn w:val="DefaultParagraphFont"/>
    <w:qFormat/>
    <w:rPr/>
  </w:style>
  <w:style w:type="character" w:styleId="Hyperlink">
    <w:name w:val="Hyperlink"/>
    <w:rPr>
      <w:color w:val="0000FF"/>
      <w:u w:val="single"/>
    </w:rPr>
  </w:style>
  <w:style w:type="character" w:styleId="Style7" w:customStyle="1">
    <w:name w:val="Текст выноски Знак"/>
    <w:basedOn w:val="DefaultParagraphFont"/>
    <w:link w:val="BalloonText"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9" w:customStyle="1">
    <w:name w:val="Тема примечания Знак"/>
    <w:basedOn w:val="Style8"/>
    <w:link w:val="Annotationsubject"/>
    <w:qFormat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rong1" w:customStyle="1">
    <w:name w:val="Strong1"/>
    <w:qFormat/>
    <w:rPr>
      <w:b/>
      <w:bCs/>
    </w:rPr>
  </w:style>
  <w:style w:type="character" w:styleId="Style10" w:customStyle="1">
    <w:name w:val="Название Знак"/>
    <w:link w:val="15"/>
    <w:qFormat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Style11" w:customStyle="1">
    <w:name w:val="Подзаголовок Знак"/>
    <w:basedOn w:val="DefaultParagraphFont"/>
    <w:qFormat/>
    <w:rPr>
      <w:rFonts w:ascii="Cambria" w:hAnsi="Cambria" w:eastAsia="Times New Roman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23" w:customStyle="1">
    <w:name w:val="Цитата 2 Знак"/>
    <w:basedOn w:val="DefaultParagraphFont"/>
    <w:link w:val="Quote"/>
    <w:qFormat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character" w:styleId="Style12" w:customStyle="1">
    <w:name w:val="Выделенная цитата Знак"/>
    <w:basedOn w:val="DefaultParagraphFont"/>
    <w:link w:val="IntenseQuote"/>
    <w:qFormat/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13" w:customStyle="1">
    <w:name w:val="Электронная подпись Знак"/>
    <w:basedOn w:val="DefaultParagraphFont"/>
    <w:link w:val="E-mailSignature"/>
    <w:qFormat/>
    <w:rPr>
      <w:rFonts w:ascii="Times New Roman" w:hAnsi="Times New Roman" w:eastAsia="Calibri" w:cs="Times New Roman"/>
      <w:sz w:val="24"/>
      <w:szCs w:val="24"/>
      <w:lang w:val="x-none" w:eastAsia="x-none"/>
    </w:rPr>
  </w:style>
  <w:style w:type="character" w:styleId="11" w:customStyle="1">
    <w:name w:val="Подпункт Знак1"/>
    <w:link w:val="Style27"/>
    <w:qFormat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Blk" w:customStyle="1">
    <w:name w:val="blk"/>
    <w:qFormat/>
    <w:rPr/>
  </w:style>
  <w:style w:type="character" w:styleId="Style14" w:customStyle="1">
    <w:name w:val="Абзац списка Знак"/>
    <w:link w:val="ListParagraph"/>
    <w:qFormat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15" w:customStyle="1">
    <w:name w:val="Подподпункт Знак"/>
    <w:link w:val="Style34"/>
    <w:qFormat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33" w:customStyle="1">
    <w:name w:val="УРОВЕНЬ_Абзац_тип3 Знак"/>
    <w:link w:val="37"/>
    <w:qFormat/>
    <w:rPr>
      <w:rFonts w:ascii="Times New Roman" w:hAnsi="Times New Roman" w:eastAsia="Calibri" w:cs="Times New Roman"/>
      <w:sz w:val="26"/>
      <w:szCs w:val="28"/>
    </w:rPr>
  </w:style>
  <w:style w:type="character" w:styleId="Style16" w:customStyle="1">
    <w:name w:val="Текст концевой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Pr>
      <w:vertAlign w:val="superscript"/>
    </w:rPr>
  </w:style>
  <w:style w:type="character" w:styleId="24" w:customStyle="1">
    <w:name w:val="Пункт2 Знак"/>
    <w:link w:val="26"/>
    <w:qFormat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12" w:customStyle="1">
    <w:name w:val="УРОВЕНЬ_1. Знак"/>
    <w:link w:val="19"/>
    <w:qFormat/>
    <w:rPr>
      <w:rFonts w:ascii="Times New Roman" w:hAnsi="Times New Roman" w:eastAsia="Calibri" w:cs="Times New Roman"/>
      <w:caps/>
      <w:sz w:val="28"/>
      <w:szCs w:val="28"/>
    </w:rPr>
  </w:style>
  <w:style w:type="character" w:styleId="13" w:customStyle="1">
    <w:name w:val="Неразрешенное упоминание1"/>
    <w:basedOn w:val="DefaultParagraphFont"/>
    <w:qFormat/>
    <w:rPr>
      <w:color w:val="605E5C"/>
      <w:shd w:fill="E1DFDD" w:val="clear"/>
    </w:rPr>
  </w:style>
  <w:style w:type="character" w:styleId="FontStyle16" w:customStyle="1">
    <w:name w:val="Font Style16"/>
    <w:qFormat/>
    <w:rPr>
      <w:rFonts w:ascii="Times New Roman" w:hAnsi="Times New Roman" w:cs="Times New Roman"/>
      <w:sz w:val="22"/>
      <w:szCs w:val="22"/>
    </w:rPr>
  </w:style>
  <w:style w:type="character" w:styleId="Text" w:customStyle="1">
    <w:name w:val="text"/>
    <w:qFormat/>
    <w:rPr/>
  </w:style>
  <w:style w:type="character" w:styleId="Value" w:customStyle="1">
    <w:name w:val="value"/>
    <w:qFormat/>
    <w:rPr/>
  </w:style>
  <w:style w:type="character" w:styleId="Style18" w:customStyle="1">
    <w:name w:val="Текст Знак"/>
    <w:basedOn w:val="DefaultParagraphFont"/>
    <w:link w:val="PlainText"/>
    <w:qFormat/>
    <w:rPr>
      <w:rFonts w:ascii="Calibri" w:hAnsi="Calibri" w:eastAsia="Calibri" w:cs="Times New Roman"/>
      <w:szCs w:val="21"/>
      <w:lang w:val="x-none"/>
    </w:rPr>
  </w:style>
  <w:style w:type="character" w:styleId="Name" w:customStyle="1">
    <w:name w:val="name"/>
    <w:qFormat/>
    <w:rPr/>
  </w:style>
  <w:style w:type="character" w:styleId="Extended-textshort" w:customStyle="1">
    <w:name w:val="extended-text__shor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Productcode" w:customStyle="1">
    <w:name w:val="product_code"/>
    <w:qFormat/>
    <w:rPr/>
  </w:style>
  <w:style w:type="character" w:styleId="Add-data-value" w:customStyle="1">
    <w:name w:val="add-data-value"/>
    <w:basedOn w:val="DefaultParagraphFont"/>
    <w:qFormat/>
    <w:rPr/>
  </w:style>
  <w:style w:type="character" w:styleId="Extendedtext-short" w:customStyle="1">
    <w:name w:val="extendedtext-short"/>
    <w:qFormat/>
    <w:rPr/>
  </w:style>
  <w:style w:type="character" w:styleId="Style19" w:customStyle="1">
    <w:name w:val="Символ нумерации"/>
    <w:qFormat/>
    <w:rPr/>
  </w:style>
  <w:style w:type="character" w:styleId="Strong2" w:customStyle="1">
    <w:name w:val="Strong2"/>
    <w:qFormat/>
    <w:rPr>
      <w:b/>
      <w:bCs/>
    </w:rPr>
  </w:style>
  <w:style w:type="character" w:styleId="Strong">
    <w:name w:val="Strong"/>
    <w:qFormat/>
    <w:rPr>
      <w:b/>
      <w:bCs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pPr>
      <w:spacing w:before="0" w:after="120"/>
    </w:pPr>
    <w:rPr>
      <w:rFonts w:eastAsia="Times New Roman" w:cs="Times New Roman"/>
      <w:sz w:val="28"/>
      <w:szCs w:val="28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next w:val="Normal"/>
    <w:qFormat/>
    <w:pPr/>
    <w:rPr>
      <w:rFonts w:cs="Times New Roman"/>
      <w:b/>
      <w:bCs/>
      <w:color w:val="4F81BD"/>
      <w:sz w:val="18"/>
      <w:szCs w:val="18"/>
      <w:lang w:eastAsia="ru-RU"/>
    </w:rPr>
  </w:style>
  <w:style w:type="paragraph" w:styleId="Indexheading11" w:customStyle="1">
    <w:name w:val="index heading11"/>
    <w:basedOn w:val="Title"/>
    <w:qFormat/>
    <w:pPr/>
    <w:rPr/>
  </w:style>
  <w:style w:type="paragraph" w:styleId="Style22" w:customStyle="1">
    <w:name w:val="Раздел положения"/>
    <w:basedOn w:val="Normal"/>
    <w:autoRedefine/>
    <w:qFormat/>
    <w:pPr>
      <w:numPr>
        <w:ilvl w:val="0"/>
        <w:numId w:val="3"/>
      </w:numPr>
      <w:spacing w:before="80" w:after="80"/>
      <w:jc w:val="center"/>
    </w:pPr>
    <w:rPr>
      <w:rFonts w:eastAsia="Times New Roman" w:cs="Times New Roman"/>
      <w:b/>
      <w:sz w:val="32"/>
      <w:szCs w:val="32"/>
      <w:lang w:eastAsia="ru-RU"/>
    </w:rPr>
  </w:style>
  <w:style w:type="paragraph" w:styleId="Style23" w:customStyle="1">
    <w:name w:val="Подраздел раздела положения"/>
    <w:basedOn w:val="Normal"/>
    <w:autoRedefine/>
    <w:qFormat/>
    <w:pPr>
      <w:numPr>
        <w:ilvl w:val="1"/>
        <w:numId w:val="3"/>
      </w:numPr>
      <w:spacing w:before="80" w:after="80"/>
      <w:jc w:val="both"/>
    </w:pPr>
    <w:rPr>
      <w:rFonts w:eastAsia="Times New Roman" w:cs="Times New Roman"/>
      <w:sz w:val="28"/>
      <w:szCs w:val="28"/>
      <w:lang w:eastAsia="ru-RU"/>
    </w:rPr>
  </w:style>
  <w:style w:type="paragraph" w:styleId="Style24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rFonts w:eastAsia="Times New Roman" w:cs="Times New Roman"/>
      <w:sz w:val="22"/>
      <w:szCs w:val="26"/>
      <w:lang w:eastAsia="ru-RU"/>
    </w:rPr>
  </w:style>
  <w:style w:type="paragraph" w:styleId="Style25" w:customStyle="1">
    <w:name w:val="Название раздела инструкции"/>
    <w:basedOn w:val="Normal"/>
    <w:autoRedefine/>
    <w:qFormat/>
    <w:pPr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styleId="FootnoteText">
    <w:name w:val="Footnote Text"/>
    <w:basedOn w:val="Normal"/>
    <w:link w:val="Style1"/>
    <w:pPr/>
    <w:rPr>
      <w:rFonts w:eastAsia="Times New Roman" w:cs="Times New Roman"/>
      <w:sz w:val="20"/>
      <w:szCs w:val="20"/>
      <w:lang w:eastAsia="ru-RU"/>
    </w:rPr>
  </w:style>
  <w:style w:type="paragraph" w:styleId="14" w:customStyle="1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rFonts w:eastAsia="Times New Roman" w:cs="Times New Roman"/>
      <w:sz w:val="22"/>
      <w:lang w:eastAsia="ru-RU"/>
    </w:rPr>
  </w:style>
  <w:style w:type="paragraph" w:styleId="25" w:customStyle="1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rFonts w:eastAsia="Times New Roman" w:cs="Times New Roman"/>
      <w:b/>
      <w:sz w:val="22"/>
      <w:lang w:eastAsia="ru-RU"/>
    </w:rPr>
  </w:style>
  <w:style w:type="paragraph" w:styleId="34" w:customStyle="1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rFonts w:eastAsia="Times New Roman" w:cs="Times New Roman"/>
      <w:b/>
      <w:szCs w:val="24"/>
      <w:lang w:eastAsia="ru-RU"/>
    </w:rPr>
  </w:style>
  <w:style w:type="paragraph" w:styleId="15" w:customStyle="1">
    <w:name w:val="Название1"/>
    <w:basedOn w:val="Normal"/>
    <w:link w:val="Style10"/>
    <w:qFormat/>
    <w:pPr>
      <w:jc w:val="center"/>
    </w:pPr>
    <w:rPr>
      <w:rFonts w:eastAsia="Times New Roman" w:cs="Times New Roman"/>
      <w:sz w:val="28"/>
      <w:szCs w:val="20"/>
      <w:lang w:val="x-none" w:eastAsia="x-none"/>
    </w:rPr>
  </w:style>
  <w:style w:type="paragraph" w:styleId="Style26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3"/>
    <w:pPr>
      <w:tabs>
        <w:tab w:val="clear" w:pos="708"/>
        <w:tab w:val="center" w:pos="4677" w:leader="none"/>
        <w:tab w:val="right" w:pos="9355" w:leader="none"/>
      </w:tabs>
    </w:pPr>
    <w:rPr>
      <w:rFonts w:eastAsia="Times New Roman" w:cs="Times New Roman"/>
      <w:szCs w:val="24"/>
      <w:lang w:eastAsia="ru-RU"/>
    </w:rPr>
  </w:style>
  <w:style w:type="paragraph" w:styleId="BodyTextIndent">
    <w:name w:val="Body Text Indent"/>
    <w:basedOn w:val="Normal"/>
    <w:link w:val="Style4"/>
    <w:pPr>
      <w:ind w:left="360" w:hanging="0"/>
    </w:pPr>
    <w:rPr>
      <w:rFonts w:eastAsia="Times New Roman" w:cs="Times New Roman"/>
      <w:szCs w:val="24"/>
      <w:lang w:eastAsia="ru-RU"/>
    </w:rPr>
  </w:style>
  <w:style w:type="paragraph" w:styleId="Footer">
    <w:name w:val="Footer"/>
    <w:basedOn w:val="Normal"/>
    <w:link w:val="Style5"/>
    <w:pPr>
      <w:tabs>
        <w:tab w:val="clear" w:pos="708"/>
        <w:tab w:val="center" w:pos="4677" w:leader="none"/>
        <w:tab w:val="right" w:pos="9355" w:leader="none"/>
      </w:tabs>
    </w:pPr>
    <w:rPr>
      <w:rFonts w:eastAsia="Times New Roman" w:cs="Times New Roman"/>
      <w:sz w:val="28"/>
      <w:szCs w:val="28"/>
      <w:lang w:eastAsia="ru-RU"/>
    </w:rPr>
  </w:style>
  <w:style w:type="paragraph" w:styleId="BodyTextIndent2">
    <w:name w:val="Body Text Indent 2"/>
    <w:basedOn w:val="Normal"/>
    <w:link w:val="21"/>
    <w:qFormat/>
    <w:pPr>
      <w:spacing w:lineRule="auto" w:line="480" w:before="0" w:after="120"/>
      <w:ind w:left="283" w:hanging="0"/>
    </w:pPr>
    <w:rPr>
      <w:rFonts w:eastAsia="Times New Roman" w:cs="Times New Roman"/>
      <w:sz w:val="28"/>
      <w:szCs w:val="28"/>
      <w:lang w:eastAsia="ru-RU"/>
    </w:rPr>
  </w:style>
  <w:style w:type="paragraph" w:styleId="BodyText3">
    <w:name w:val="Body Text 3"/>
    <w:basedOn w:val="Normal"/>
    <w:link w:val="31"/>
    <w:qFormat/>
    <w:pPr>
      <w:spacing w:before="0" w:after="120"/>
    </w:pPr>
    <w:rPr>
      <w:rFonts w:eastAsia="Times New Roman" w:cs="Times New Roman"/>
      <w:sz w:val="16"/>
      <w:szCs w:val="16"/>
      <w:lang w:eastAsia="ru-RU"/>
    </w:rPr>
  </w:style>
  <w:style w:type="paragraph" w:styleId="BodyTextIndent3">
    <w:name w:val="Body Text Indent 3"/>
    <w:basedOn w:val="Normal"/>
    <w:link w:val="32"/>
    <w:qFormat/>
    <w:pPr>
      <w:spacing w:before="0" w:after="120"/>
      <w:ind w:left="283" w:hanging="0"/>
    </w:pPr>
    <w:rPr>
      <w:rFonts w:eastAsia="Times New Rom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22"/>
    <w:qFormat/>
    <w:pPr>
      <w:spacing w:lineRule="auto" w:line="480" w:before="0" w:after="120"/>
    </w:pPr>
    <w:rPr>
      <w:rFonts w:eastAsia="Times New Roman" w:cs="Times New Roman"/>
      <w:sz w:val="28"/>
      <w:szCs w:val="28"/>
      <w:lang w:eastAsia="ru-RU"/>
    </w:rPr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rFonts w:eastAsia="Times New Roman" w:cs="Times New Roman"/>
      <w:b/>
      <w:bCs/>
      <w:szCs w:val="20"/>
      <w:lang w:eastAsia="ru-RU"/>
    </w:rPr>
  </w:style>
  <w:style w:type="paragraph" w:styleId="Style27" w:customStyle="1">
    <w:name w:val="Подпункт"/>
    <w:basedOn w:val="Normal"/>
    <w:link w:val="11"/>
    <w:qFormat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rFonts w:eastAsia="Times New Roman" w:cs="Times New Roman"/>
      <w:sz w:val="28"/>
      <w:szCs w:val="20"/>
      <w:lang w:val="x-none" w:eastAsia="x-none"/>
    </w:rPr>
  </w:style>
  <w:style w:type="paragraph" w:styleId="26" w:customStyle="1">
    <w:name w:val="Пункт2"/>
    <w:basedOn w:val="Normal"/>
    <w:link w:val="24"/>
    <w:qFormat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rFonts w:eastAsia="Times New Roman" w:cs="Times New Roman"/>
      <w:b/>
      <w:sz w:val="28"/>
      <w:szCs w:val="20"/>
      <w:lang w:eastAsia="ru-RU"/>
    </w:rPr>
  </w:style>
  <w:style w:type="paragraph" w:styleId="TOC1">
    <w:name w:val="TOC 1"/>
    <w:basedOn w:val="Normal"/>
    <w:next w:val="Normal"/>
    <w:autoRedefine/>
    <w:pPr>
      <w:spacing w:before="120" w:after="0"/>
    </w:pPr>
    <w:rPr>
      <w:rFonts w:eastAsia="Times New Roman" w:cs="Calibri Light (Заголовки)"/>
      <w:b/>
      <w:bCs/>
      <w:szCs w:val="24"/>
      <w:lang w:eastAsia="ru-RU"/>
    </w:rPr>
  </w:style>
  <w:style w:type="paragraph" w:styleId="TOC3">
    <w:name w:val="TOC 3"/>
    <w:basedOn w:val="Normal"/>
    <w:next w:val="Normal"/>
    <w:autoRedefine/>
    <w:pPr>
      <w:ind w:left="280" w:hanging="0"/>
    </w:pPr>
    <w:rPr>
      <w:rFonts w:eastAsia="Times New Roman" w:cs="Calibri"/>
      <w:sz w:val="20"/>
      <w:szCs w:val="20"/>
      <w:lang w:eastAsia="ru-RU"/>
    </w:rPr>
  </w:style>
  <w:style w:type="paragraph" w:styleId="Style28" w:customStyle="1">
    <w:name w:val="Раздел регламента"/>
    <w:basedOn w:val="Normal"/>
    <w:qFormat/>
    <w:pPr/>
    <w:rPr>
      <w:rFonts w:eastAsia="Times New Roman" w:cs="Times New Roman"/>
      <w:sz w:val="28"/>
      <w:szCs w:val="28"/>
      <w:lang w:eastAsia="ru-RU"/>
    </w:rPr>
  </w:style>
  <w:style w:type="paragraph" w:styleId="Style29" w:customStyle="1">
    <w:name w:val="Приложение к регламенту"/>
    <w:basedOn w:val="Normal"/>
    <w:qFormat/>
    <w:pPr>
      <w:jc w:val="right"/>
    </w:pPr>
    <w:rPr>
      <w:rFonts w:eastAsia="Times New Roman" w:cs="Times New Roman"/>
      <w:sz w:val="28"/>
      <w:szCs w:val="28"/>
      <w:lang w:eastAsia="ru-RU"/>
    </w:rPr>
  </w:style>
  <w:style w:type="paragraph" w:styleId="TOC2">
    <w:name w:val="TOC 2"/>
    <w:basedOn w:val="Normal"/>
    <w:next w:val="Normal"/>
    <w:autoRedefine/>
    <w:pPr>
      <w:spacing w:before="240" w:after="0"/>
    </w:pPr>
    <w:rPr>
      <w:rFonts w:eastAsia="Times New Roman" w:cs="Calibri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Style7"/>
    <w:qFormat/>
    <w:pPr/>
    <w:rPr>
      <w:rFonts w:ascii="Tahoma" w:hAnsi="Tahoma" w:eastAsia="Times New Roman"/>
      <w:sz w:val="16"/>
      <w:szCs w:val="16"/>
      <w:lang w:eastAsia="ru-RU"/>
    </w:rPr>
  </w:style>
  <w:style w:type="paragraph" w:styleId="Annotationtext">
    <w:name w:val="annotation text"/>
    <w:basedOn w:val="Normal"/>
    <w:link w:val="Style8"/>
    <w:qFormat/>
    <w:pPr/>
    <w:rPr>
      <w:rFonts w:eastAsia="Times New Roman" w:cs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Style9"/>
    <w:qFormat/>
    <w:pPr/>
    <w:rPr>
      <w:b/>
      <w:bCs/>
    </w:rPr>
  </w:style>
  <w:style w:type="paragraph" w:styleId="16" w:customStyle="1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Cs w:val="24"/>
      <w:lang w:eastAsia="ru-RU"/>
    </w:rPr>
  </w:style>
  <w:style w:type="paragraph" w:styleId="TOC9">
    <w:name w:val="TOC 9"/>
    <w:basedOn w:val="Normal"/>
    <w:next w:val="Normal"/>
    <w:autoRedefine/>
    <w:pPr>
      <w:ind w:left="196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5">
    <w:name w:val="TOC 5"/>
    <w:basedOn w:val="Normal"/>
    <w:next w:val="Normal"/>
    <w:autoRedefine/>
    <w:pPr>
      <w:ind w:left="84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4">
    <w:name w:val="TOC 4"/>
    <w:basedOn w:val="Normal"/>
    <w:next w:val="Normal"/>
    <w:autoRedefine/>
    <w:pPr>
      <w:ind w:left="560" w:hanging="0"/>
    </w:pPr>
    <w:rPr>
      <w:rFonts w:eastAsia="Times New Roman" w:cs="Calibri"/>
      <w:sz w:val="20"/>
      <w:szCs w:val="20"/>
      <w:lang w:eastAsia="ru-RU"/>
    </w:rPr>
  </w:style>
  <w:style w:type="paragraph" w:styleId="27" w:customStyle="1">
    <w:name w:val="Раздел положения 2"/>
    <w:basedOn w:val="Normal"/>
    <w:qFormat/>
    <w:pPr>
      <w:pageBreakBefore/>
      <w:jc w:val="both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styleId="Style30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eastAsia="Times New Roman" w:cs="Times New Roman"/>
      <w:sz w:val="22"/>
      <w:szCs w:val="20"/>
      <w:lang w:val="en-US"/>
    </w:rPr>
  </w:style>
  <w:style w:type="paragraph" w:styleId="NoSpacing">
    <w:name w:val="No Spacing"/>
    <w:basedOn w:val="Normal"/>
    <w:qFormat/>
    <w:pPr>
      <w:spacing w:lineRule="auto" w:line="360"/>
    </w:pPr>
    <w:rPr>
      <w:rFonts w:cs="Times New Roman"/>
      <w:szCs w:val="24"/>
      <w:lang w:eastAsia="ru-RU"/>
    </w:rPr>
  </w:style>
  <w:style w:type="paragraph" w:styleId="Subtitle">
    <w:name w:val="Subtitle"/>
    <w:basedOn w:val="Normal"/>
    <w:next w:val="Normal"/>
    <w:link w:val="Style11"/>
    <w:qFormat/>
    <w:pPr>
      <w:ind w:left="1066" w:firstLine="709"/>
    </w:pPr>
    <w:rPr>
      <w:rFonts w:ascii="Cambria" w:hAnsi="Cambria" w:eastAsia="Times New Roman" w:cs="Times New Roman"/>
      <w:i/>
      <w:iCs/>
      <w:color w:val="4F81BD"/>
      <w:spacing w:val="15"/>
      <w:szCs w:val="24"/>
      <w:lang w:val="x-none" w:eastAsia="x-none"/>
    </w:rPr>
  </w:style>
  <w:style w:type="paragraph" w:styleId="ListParagraph">
    <w:name w:val="List Paragraph"/>
    <w:basedOn w:val="Normal"/>
    <w:link w:val="Style14"/>
    <w:qFormat/>
    <w:pPr>
      <w:spacing w:before="0" w:after="0"/>
      <w:ind w:left="720" w:hanging="0"/>
      <w:contextualSpacing/>
    </w:pPr>
    <w:rPr>
      <w:rFonts w:cs="Times New Roman"/>
      <w:szCs w:val="24"/>
      <w:lang w:eastAsia="ru-RU"/>
    </w:rPr>
  </w:style>
  <w:style w:type="paragraph" w:styleId="Quote">
    <w:name w:val="Quote"/>
    <w:basedOn w:val="Normal"/>
    <w:next w:val="Normal"/>
    <w:link w:val="23"/>
    <w:qFormat/>
    <w:pPr/>
    <w:rPr>
      <w:rFonts w:ascii="Calibri" w:hAnsi="Calibri" w:cs="Times New Roman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12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20"/>
    <w:pPr/>
    <w:rPr/>
  </w:style>
  <w:style w:type="paragraph" w:styleId="TOCHeading">
    <w:name w:val="TOC Heading"/>
    <w:basedOn w:val="Heading1"/>
    <w:next w:val="Normal"/>
    <w:qFormat/>
    <w:pPr>
      <w:keepLines/>
      <w:tabs>
        <w:tab w:val="clear" w:pos="0"/>
        <w:tab w:val="left" w:pos="709" w:leader="none"/>
      </w:tabs>
      <w:spacing w:before="480" w:after="0"/>
      <w:ind w:left="3196" w:hanging="3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13"/>
    <w:qFormat/>
    <w:pPr/>
    <w:rPr>
      <w:rFonts w:cs="Times New Roman"/>
      <w:szCs w:val="24"/>
      <w:lang w:val="x-none" w:eastAsia="x-none"/>
    </w:rPr>
  </w:style>
  <w:style w:type="paragraph" w:styleId="Style31" w:customStyle="1">
    <w:name w:val="Знак"/>
    <w:basedOn w:val="Normal"/>
    <w:qFormat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35" w:customStyle="1">
    <w:name w:val="Нумерованный список ур3"/>
    <w:basedOn w:val="Normal"/>
    <w:qFormat/>
    <w:pPr>
      <w:numPr>
        <w:ilvl w:val="2"/>
        <w:numId w:val="4"/>
      </w:numPr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311" w:customStyle="1">
    <w:name w:val="Список 31"/>
    <w:basedOn w:val="Normal"/>
    <w:qFormat/>
    <w:pPr>
      <w:numPr>
        <w:ilvl w:val="0"/>
        <w:numId w:val="4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28" w:customStyle="1">
    <w:name w:val="Нумерованный список ур2"/>
    <w:basedOn w:val="Normal"/>
    <w:qFormat/>
    <w:pPr>
      <w:numPr>
        <w:ilvl w:val="1"/>
        <w:numId w:val="4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cs="Times New Roman" w:eastAsia="Calibri"/>
      <w:color w:val="auto"/>
      <w:kern w:val="0"/>
      <w:sz w:val="24"/>
      <w:szCs w:val="24"/>
      <w:lang w:eastAsia="ru-RU" w:val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36" w:customStyle="1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eastAsia="Times New Roman" w:cs="Verdana"/>
      <w:sz w:val="22"/>
      <w:lang w:val="en-US"/>
    </w:rPr>
  </w:style>
  <w:style w:type="paragraph" w:styleId="Style32" w:customStyle="1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 w:eastAsia="Times New Roman" w:cs="Times New Roman"/>
      <w:b/>
      <w:i/>
      <w:sz w:val="28"/>
      <w:szCs w:val="20"/>
      <w:lang w:eastAsia="ru-RU"/>
    </w:rPr>
  </w:style>
  <w:style w:type="paragraph" w:styleId="17" w:customStyle="1">
    <w:name w:val="Абзац списка1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 w:eastAsia="Times New Roman" w:cs="Times New Roman"/>
      <w:sz w:val="22"/>
    </w:rPr>
  </w:style>
  <w:style w:type="paragraph" w:styleId="Style33" w:customStyle="1">
    <w:name w:val="Таблица"/>
    <w:basedOn w:val="Normal"/>
    <w:qFormat/>
    <w:pPr>
      <w:keepNext w:val="true"/>
      <w:spacing w:before="60" w:after="60"/>
      <w:jc w:val="center"/>
    </w:pPr>
    <w:rPr>
      <w:rFonts w:cs="Times New Roman"/>
      <w:b/>
      <w:szCs w:val="24"/>
      <w:lang w:val="x-none" w:eastAsia="x-none"/>
    </w:rPr>
  </w:style>
  <w:style w:type="paragraph" w:styleId="Style34" w:customStyle="1">
    <w:name w:val="Подподпункт"/>
    <w:basedOn w:val="Style27"/>
    <w:link w:val="Style15"/>
    <w:qFormat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5" w:customStyle="1">
    <w:name w:val="УРОВЕНЬ_(а)"/>
    <w:basedOn w:val="ListParagraph"/>
    <w:qFormat/>
    <w:pPr>
      <w:numPr>
        <w:ilvl w:val="3"/>
        <w:numId w:val="5"/>
      </w:numPr>
      <w:spacing w:lineRule="exact" w:line="360" w:before="120" w:after="0"/>
      <w:ind w:left="1728" w:hanging="648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pPr>
      <w:numPr>
        <w:ilvl w:val="4"/>
        <w:numId w:val="5"/>
      </w:numPr>
      <w:spacing w:lineRule="exact" w:line="360" w:before="120" w:after="0"/>
      <w:ind w:left="2232" w:hanging="792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qFormat/>
    <w:pPr>
      <w:numPr>
        <w:ilvl w:val="6"/>
        <w:numId w:val="5"/>
      </w:numPr>
      <w:spacing w:lineRule="exact" w:line="360" w:before="120" w:after="0"/>
      <w:ind w:left="3240" w:hanging="1080"/>
      <w:contextualSpacing w:val="false"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link w:val="33"/>
    <w:qFormat/>
    <w:pPr>
      <w:numPr>
        <w:ilvl w:val="7"/>
        <w:numId w:val="5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6" w:customStyle="1">
    <w:name w:val="УРОВЕНЬ_Подпись"/>
    <w:basedOn w:val="ListParagraph"/>
    <w:qFormat/>
    <w:pPr>
      <w:keepNext w:val="true"/>
      <w:numPr>
        <w:ilvl w:val="5"/>
        <w:numId w:val="5"/>
      </w:numPr>
      <w:spacing w:lineRule="exact" w:line="360" w:before="120" w:after="120"/>
      <w:ind w:left="2736" w:hanging="936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pPr>
      <w:keepLines/>
      <w:tabs>
        <w:tab w:val="clear" w:pos="0"/>
        <w:tab w:val="left" w:pos="567" w:leader="none"/>
        <w:tab w:val="left" w:pos="709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6"/>
    <w:pPr/>
    <w:rPr>
      <w:rFonts w:eastAsia="Times New Roman" w:cs="Times New Roman"/>
      <w:sz w:val="20"/>
      <w:szCs w:val="20"/>
      <w:lang w:eastAsia="ru-RU"/>
    </w:rPr>
  </w:style>
  <w:style w:type="paragraph" w:styleId="210" w:customStyle="1">
    <w:name w:val="Заголовок 2 КВВ"/>
    <w:basedOn w:val="Normal"/>
    <w:qFormat/>
    <w:pPr>
      <w:keepNext w:val="true"/>
      <w:numPr>
        <w:ilvl w:val="0"/>
        <w:numId w:val="6"/>
      </w:numPr>
      <w:spacing w:before="120" w:after="120"/>
      <w:jc w:val="both"/>
      <w:outlineLvl w:val="0"/>
    </w:pPr>
    <w:rPr>
      <w:rFonts w:eastAsia="Times New Roman" w:cs="Times New Roman"/>
      <w:b/>
      <w:kern w:val="2"/>
      <w:szCs w:val="20"/>
      <w:lang w:eastAsia="x-none"/>
    </w:rPr>
  </w:style>
  <w:style w:type="paragraph" w:styleId="Style37" w:customStyle="1">
    <w:name w:val="Таблица текст"/>
    <w:basedOn w:val="Normal"/>
    <w:qFormat/>
    <w:pPr>
      <w:spacing w:before="40" w:after="40"/>
      <w:ind w:left="57" w:right="57" w:hanging="0"/>
    </w:pPr>
    <w:rPr>
      <w:rFonts w:eastAsia="Times New Roman" w:cs="Times New Roman"/>
      <w:szCs w:val="26"/>
      <w:lang w:eastAsia="ru-RU"/>
    </w:rPr>
  </w:style>
  <w:style w:type="paragraph" w:styleId="NormalWeb">
    <w:name w:val="Normal (Web)"/>
    <w:basedOn w:val="Normal"/>
    <w:qFormat/>
    <w:pPr>
      <w:spacing w:before="280" w:after="280"/>
    </w:pPr>
    <w:rPr>
      <w:rFonts w:eastAsia="Times New Roman" w:cs="Times New Roman"/>
      <w:szCs w:val="24"/>
      <w:lang w:eastAsia="ru-RU"/>
    </w:rPr>
  </w:style>
  <w:style w:type="paragraph" w:styleId="19" w:customStyle="1">
    <w:name w:val="УРОВЕНЬ_1."/>
    <w:basedOn w:val="ListParagraph"/>
    <w:link w:val="12"/>
    <w:qFormat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pPr>
      <w:ind w:left="112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7">
    <w:name w:val="TOC 7"/>
    <w:basedOn w:val="Normal"/>
    <w:next w:val="Normal"/>
    <w:autoRedefine/>
    <w:pPr>
      <w:ind w:left="140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8">
    <w:name w:val="TOC 8"/>
    <w:basedOn w:val="Normal"/>
    <w:next w:val="Normal"/>
    <w:autoRedefine/>
    <w:pPr>
      <w:ind w:left="168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Style38" w:customStyle="1">
    <w:name w:val="Знак Знак Знак Знак"/>
    <w:basedOn w:val="Normal"/>
    <w:qFormat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-1" w:customStyle="1">
    <w:name w:val="Контракт-раздел"/>
    <w:basedOn w:val="Normal"/>
    <w:qFormat/>
    <w:pPr>
      <w:keepNext w:val="true"/>
      <w:keepLines/>
      <w:tabs>
        <w:tab w:val="clear" w:pos="708"/>
        <w:tab w:val="left" w:pos="0" w:leader="none"/>
        <w:tab w:val="left" w:pos="567" w:leader="none"/>
      </w:tabs>
      <w:spacing w:before="240" w:after="120"/>
      <w:jc w:val="center"/>
      <w:outlineLvl w:val="2"/>
    </w:pPr>
    <w:rPr>
      <w:rFonts w:eastAsia="Times New Roman" w:cs="Times New Roman"/>
      <w:b/>
      <w:bCs/>
      <w:caps/>
      <w:szCs w:val="28"/>
      <w:lang w:eastAsia="ru-RU"/>
    </w:rPr>
  </w:style>
  <w:style w:type="paragraph" w:styleId="-2" w:customStyle="1">
    <w:name w:val="Контракт-пункт"/>
    <w:basedOn w:val="Normal"/>
    <w:qFormat/>
    <w:pPr>
      <w:tabs>
        <w:tab w:val="clear" w:pos="708"/>
        <w:tab w:val="left" w:pos="1391" w:leader="none"/>
      </w:tabs>
      <w:ind w:left="1391" w:hanging="851"/>
    </w:pPr>
    <w:rPr>
      <w:rFonts w:eastAsia="Times New Roman" w:cs="Times New Roman"/>
      <w:szCs w:val="28"/>
      <w:lang w:eastAsia="ru-RU"/>
    </w:rPr>
  </w:style>
  <w:style w:type="paragraph" w:styleId="110" w:customStyle="1">
    <w:name w:val="Обычный1"/>
    <w:qFormat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ru-RU" w:val="ru-RU" w:bidi="ar-SA"/>
    </w:rPr>
  </w:style>
  <w:style w:type="paragraph" w:styleId="Style39" w:customStyle="1">
    <w:name w:val="Пункт договора"/>
    <w:basedOn w:val="Normal"/>
    <w:qFormat/>
    <w:pPr>
      <w:widowControl w:val="false"/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Style40" w:customStyle="1">
    <w:name w:val="Подпункт договора"/>
    <w:basedOn w:val="Normal"/>
    <w:qFormat/>
    <w:pPr>
      <w:tabs>
        <w:tab w:val="clear" w:pos="708"/>
        <w:tab w:val="left" w:pos="360" w:leader="none"/>
      </w:tabs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BodyText21" w:customStyle="1">
    <w:name w:val="Body Text 21"/>
    <w:basedOn w:val="Normal"/>
    <w:qFormat/>
    <w:pPr>
      <w:ind w:firstLine="709"/>
      <w:jc w:val="both"/>
    </w:pPr>
    <w:rPr>
      <w:rFonts w:eastAsia="Times New Roman" w:cs="Times New Roman"/>
      <w:szCs w:val="20"/>
      <w:lang w:eastAsia="ru-RU"/>
    </w:rPr>
  </w:style>
  <w:style w:type="paragraph" w:styleId="Style41" w:customStyle="1">
    <w:name w:val="Обычный+ без отступа"/>
    <w:basedOn w:val="Normal"/>
    <w:qFormat/>
    <w:pPr>
      <w:spacing w:lineRule="auto" w:line="360" w:before="120" w:after="0"/>
      <w:jc w:val="both"/>
    </w:pPr>
    <w:rPr>
      <w:rFonts w:eastAsia="MS Mincho" w:cs="Times New Roman"/>
      <w:sz w:val="28"/>
      <w:szCs w:val="28"/>
      <w:lang w:eastAsia="ru-RU"/>
    </w:rPr>
  </w:style>
  <w:style w:type="paragraph" w:styleId="211" w:customStyle="1">
    <w:name w:val="Обычный2"/>
    <w:qFormat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ru-RU" w:val="ru-RU" w:bidi="ar-SA"/>
    </w:rPr>
  </w:style>
  <w:style w:type="paragraph" w:styleId="PlainText">
    <w:name w:val="Plain Text"/>
    <w:basedOn w:val="Normal"/>
    <w:link w:val="Style18"/>
    <w:qFormat/>
    <w:pPr/>
    <w:rPr>
      <w:rFonts w:ascii="Calibri" w:hAnsi="Calibri" w:cs="Times New Roman"/>
      <w:sz w:val="22"/>
      <w:szCs w:val="21"/>
      <w:lang w:val="x-none"/>
    </w:rPr>
  </w:style>
  <w:style w:type="paragraph" w:styleId="Txt1" w:customStyle="1">
    <w:name w:val="txt1"/>
    <w:basedOn w:val="Normal"/>
    <w:qFormat/>
    <w:pPr/>
    <w:rPr>
      <w:rFonts w:ascii="Calibri" w:hAnsi="Calibri" w:eastAsia="Times New Roman" w:cs="Times New Roman"/>
      <w:szCs w:val="24"/>
      <w:lang w:eastAsia="ru-RU"/>
    </w:rPr>
  </w:style>
  <w:style w:type="paragraph" w:styleId="Formattext" w:customStyle="1">
    <w:name w:val="formattext"/>
    <w:basedOn w:val="Normal"/>
    <w:qFormat/>
    <w:pPr>
      <w:spacing w:before="280" w:after="280"/>
    </w:pPr>
    <w:rPr>
      <w:rFonts w:eastAsia="Times New Roman" w:cs="Times New Roman"/>
      <w:szCs w:val="24"/>
      <w:lang w:eastAsia="ru-RU"/>
    </w:rPr>
  </w:style>
  <w:style w:type="paragraph" w:styleId="38" w:customStyle="1">
    <w:name w:val="Обычный3"/>
    <w:qFormat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ru-RU" w:val="ru-RU" w:bidi="ar-SA"/>
    </w:rPr>
  </w:style>
  <w:style w:type="paragraph" w:styleId="Style42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43" w:customStyle="1">
    <w:name w:val="Заголовок таблицы"/>
    <w:basedOn w:val="Style42"/>
    <w:qFormat/>
    <w:pPr>
      <w:jc w:val="center"/>
    </w:pPr>
    <w:rPr>
      <w:b/>
      <w:bCs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qFormat/>
  </w:style>
  <w:style w:type="numbering" w:styleId="212" w:customStyle="1">
    <w:name w:val="Стиль2"/>
    <w:qFormat/>
  </w:style>
  <w:style w:type="numbering" w:styleId="112" w:customStyle="1">
    <w:name w:val="Нет списка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3360</TotalTime>
  <Application>AlterOffice/3.4.0.9$Linux_X86_64 LibreOffice_project/b8daf9e823b1a5463a2f48435ddc2e8696e7d4fc</Application>
  <AppVersion>15.0000</AppVersion>
  <Pages>6</Pages>
  <Words>952</Words>
  <Characters>5488</Characters>
  <CharactersWithSpaces>6210</CharactersWithSpaces>
  <Paragraphs>253</Paragraphs>
  <Company>RusHydro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2023-05-16T08:21:00Z</dcterms:created>
  <dc:creator>Кочетов Сергей Владимирович</dc:creator>
  <dc:description/>
  <dc:language>ru-RU</dc:language>
  <cp:lastModifiedBy>savilovoa@corp.gidroogk.com</cp:lastModifiedBy>
  <cp:lastPrinted>2026-07-17T07:50:00Z</cp:lastPrinted>
  <dcterms:modified xsi:type="dcterms:W3CDTF">2026-08-19T08:49:18Z</dcterms:modified>
  <cp:revision>436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