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8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</w:rPr>
      </w:pPr>
      <w:r>
        <w:rPr>
          <w:b/>
          <w:bCs/>
        </w:rPr>
        <w:t>«УТВЕРЖДАЮ»</w:t>
      </w:r>
    </w:p>
    <w:p>
      <w:pPr>
        <w:pStyle w:val="Normal"/>
        <w:keepNext w:val="true"/>
        <w:keepLines/>
        <w:jc w:val="right"/>
        <w:rPr>
          <w:b/>
          <w:bCs/>
        </w:rPr>
      </w:pPr>
      <w:r>
        <w:rPr>
          <w:b/>
          <w:bCs/>
        </w:rPr>
        <w:t>Главный инженер ЯГРЭС</w:t>
      </w:r>
    </w:p>
    <w:p>
      <w:pPr>
        <w:pStyle w:val="Normal"/>
        <w:keepNext w:val="true"/>
        <w:keepLines/>
        <w:jc w:val="right"/>
        <w:rPr>
          <w:b/>
          <w:bCs/>
        </w:rPr>
      </w:pPr>
      <w:r>
        <w:rPr>
          <w:b/>
          <w:bCs/>
        </w:rPr>
        <w:t>ПАО «Якутскэнерго»</w:t>
      </w:r>
    </w:p>
    <w:p>
      <w:pPr>
        <w:pStyle w:val="Normal"/>
        <w:keepNext w:val="true"/>
        <w:keepLines/>
        <w:jc w:val="right"/>
        <w:rPr>
          <w:b/>
          <w:bCs/>
        </w:rPr>
      </w:pPr>
      <w:r>
        <w:rPr>
          <w:b/>
          <w:bCs/>
        </w:rPr>
        <w:t>______________ Н.Н. Аммосов</w:t>
      </w:r>
    </w:p>
    <w:p>
      <w:pPr>
        <w:pStyle w:val="Normal"/>
        <w:keepNext w:val="true"/>
        <w:keepLines/>
        <w:jc w:val="right"/>
        <w:rPr>
          <w:b/>
          <w:bCs/>
        </w:rPr>
      </w:pPr>
      <w:r>
        <w:rPr>
          <w:b/>
          <w:bCs/>
        </w:rPr>
        <w:t>«___» ________________2026г.</w:t>
      </w:r>
    </w:p>
    <w:p>
      <w:pPr>
        <w:pStyle w:val="Normal"/>
        <w:keepNext w:val="true"/>
        <w:keepLines/>
        <w:rPr>
          <w:rFonts w:ascii="Times New Roman" w:hAnsi="Times New Roman"/>
        </w:rPr>
      </w:pPr>
      <w:r>
        <w:rPr/>
      </w:r>
    </w:p>
    <w:p>
      <w:pPr>
        <w:pStyle w:val="Normal"/>
        <w:keepNext w:val="true"/>
        <w:keepLines/>
        <w:rPr>
          <w:rFonts w:ascii="Times New Roman" w:hAnsi="Times New Roman"/>
        </w:rPr>
      </w:pPr>
      <w:r>
        <w:rPr/>
      </w:r>
    </w:p>
    <w:p>
      <w:pPr>
        <w:pStyle w:val="Normal"/>
        <w:keepNext w:val="true"/>
        <w:keepLines/>
        <w:rPr>
          <w:rFonts w:ascii="Times New Roman" w:hAnsi="Times New Roman"/>
        </w:rPr>
      </w:pPr>
      <w:r>
        <w:rPr/>
      </w:r>
    </w:p>
    <w:p>
      <w:pPr>
        <w:pStyle w:val="Normal"/>
        <w:keepNext w:val="true"/>
        <w:keepLines/>
        <w:rPr>
          <w:rFonts w:ascii="Times New Roman" w:hAnsi="Times New Roman"/>
        </w:rPr>
      </w:pPr>
      <w:r>
        <w:rPr/>
      </w:r>
    </w:p>
    <w:p>
      <w:pPr>
        <w:pStyle w:val="Normal"/>
        <w:keepNext w:val="true"/>
        <w:keepLines/>
        <w:rPr>
          <w:rFonts w:ascii="Times New Roman" w:hAnsi="Times New Roman"/>
        </w:rPr>
      </w:pPr>
      <w:r>
        <w:rPr/>
      </w:r>
    </w:p>
    <w:p>
      <w:pPr>
        <w:pStyle w:val="Normal"/>
        <w:keepNext w:val="true"/>
        <w:keepLines/>
        <w:rPr>
          <w:rFonts w:ascii="Times New Roman" w:hAnsi="Times New Roman"/>
        </w:rPr>
      </w:pPr>
      <w:r>
        <w:rPr/>
      </w:r>
    </w:p>
    <w:p>
      <w:pPr>
        <w:pStyle w:val="Normal"/>
        <w:keepNext w:val="true"/>
        <w:keepLines/>
        <w:rPr>
          <w:rFonts w:ascii="Times New Roman" w:hAnsi="Times New Roman"/>
        </w:rPr>
      </w:pPr>
      <w:r>
        <w:rPr/>
      </w:r>
    </w:p>
    <w:p>
      <w:pPr>
        <w:pStyle w:val="Normal"/>
        <w:keepNext w:val="true"/>
        <w:keepLines/>
        <w:rPr>
          <w:rFonts w:ascii="Times New Roman" w:hAnsi="Times New Roman"/>
        </w:rPr>
      </w:pPr>
      <w:r>
        <w:rPr/>
      </w:r>
    </w:p>
    <w:p>
      <w:pPr>
        <w:pStyle w:val="Normal"/>
        <w:keepNext w:val="true"/>
        <w:keepLines/>
        <w:spacing w:lineRule="auto" w:line="360"/>
        <w:jc w:val="center"/>
        <w:rPr>
          <w:rFonts w:ascii="Times New Roman" w:hAnsi="Times New Roman"/>
        </w:rPr>
      </w:pPr>
      <w:r>
        <w:rPr>
          <w:rFonts w:eastAsia="Calibri"/>
          <w:b/>
        </w:rPr>
        <w:t>Технические требования на поставку МТР</w:t>
      </w:r>
    </w:p>
    <w:p>
      <w:pPr>
        <w:pStyle w:val="Normal"/>
        <w:spacing w:lineRule="auto" w:line="360"/>
        <w:jc w:val="center"/>
        <w:rPr>
          <w:rFonts w:ascii="Times New Roman" w:hAnsi="Times New Roman"/>
        </w:rPr>
      </w:pPr>
      <w:r>
        <w:rPr>
          <w:rFonts w:eastAsia="Calibri"/>
          <w:b/>
        </w:rPr>
        <w:t xml:space="preserve">лот </w:t>
      </w:r>
    </w:p>
    <w:p>
      <w:pPr>
        <w:sectPr>
          <w:headerReference w:type="defaul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360"/>
        <w:jc w:val="center"/>
        <w:rPr>
          <w:rFonts w:ascii="Times New Roman" w:hAnsi="Times New Roman"/>
        </w:rPr>
      </w:pPr>
      <w:r>
        <w:rPr>
          <w:rFonts w:eastAsia="Calibri"/>
          <w:b/>
          <w:sz w:val="28"/>
          <w:szCs w:val="28"/>
        </w:rPr>
        <w:t xml:space="preserve">ОКПД2 </w:t>
      </w:r>
      <w:hyperlink r:id="rId2">
        <w:r>
          <w:rPr>
            <w:rStyle w:val="Hyperlink"/>
            <w:rFonts w:eastAsia="Calibri"/>
            <w:b/>
            <w:i w:val="false"/>
            <w:caps w:val="false"/>
            <w:smallCaps w:val="false"/>
            <w:color w:val="030303"/>
            <w:spacing w:val="0"/>
            <w:sz w:val="28"/>
            <w:szCs w:val="28"/>
            <w:u w:val="none"/>
          </w:rPr>
          <w:t>27.12.10.110</w:t>
        </w:r>
      </w:hyperlink>
      <w:r>
        <w:rPr>
          <w:rFonts w:eastAsia="Calibri"/>
          <w:b/>
          <w:sz w:val="28"/>
          <w:szCs w:val="28"/>
        </w:rPr>
        <w:t xml:space="preserve"> Поставка выключателя высоковольтного</w:t>
        <w:br/>
        <w:t xml:space="preserve"> вакуумный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b/>
          <w:sz w:val="22"/>
          <w:szCs w:val="22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sz w:val="22"/>
              <w:szCs w:val="22"/>
              <w:vanish w:val="false"/>
              <w:rFonts w:cs="Times New Roman"/>
            </w:rPr>
            <w:instrText xml:space="preserve"> TOC \z \o "1-4" \u \h</w:instrText>
          </w:r>
          <w:r>
            <w:rPr>
              <w:webHidden/>
              <w:rStyle w:val="Style14"/>
              <w:sz w:val="22"/>
              <w:szCs w:val="22"/>
              <w:vanish w:val="false"/>
              <w:rFonts w:cs="Times New Roman"/>
            </w:rPr>
            <w:fldChar w:fldCharType="separate"/>
          </w:r>
          <w:hyperlink w:anchor="_Toc75446566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1.</w:t>
            </w:r>
            <w:r>
              <w:rPr>
                <w:rStyle w:val="Style14"/>
                <w:rFonts w:eastAsia="" w:cs="Times New Roman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68">
            <w:r>
              <w:rPr>
                <w:webHidden/>
                <w:rStyle w:val="Style14"/>
                <w:rFonts w:cs="Times New Roman"/>
                <w:iCs/>
                <w:vanish w:val="false"/>
                <w:sz w:val="22"/>
                <w:szCs w:val="22"/>
              </w:rPr>
              <w:t>1.1.</w:t>
            </w:r>
            <w:r>
              <w:rPr>
                <w:rStyle w:val="Style14"/>
                <w:rFonts w:eastAsia="" w:cs="Times New Roman" w:eastAsiaTheme="minorEastAsi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>Наименование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69">
            <w:r>
              <w:rPr>
                <w:webHidden/>
                <w:rStyle w:val="Style14"/>
                <w:rFonts w:cs="Times New Roman"/>
                <w:iCs/>
                <w:vanish w:val="false"/>
                <w:sz w:val="22"/>
                <w:szCs w:val="22"/>
              </w:rPr>
              <w:t>1.2.</w:t>
            </w:r>
            <w:r>
              <w:rPr>
                <w:rStyle w:val="Style14"/>
                <w:rFonts w:eastAsia="" w:cs="Times New Roman" w:eastAsiaTheme="minorEastAsi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 xml:space="preserve">Цель использования закупаемой продукции 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75446573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2.</w:t>
            </w:r>
            <w:r>
              <w:rPr>
                <w:rStyle w:val="Style14"/>
                <w:rFonts w:eastAsia="" w:cs="Times New Roman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cs="Times New Roman"/>
                <w:iCs/>
                <w:sz w:val="22"/>
                <w:szCs w:val="22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74">
            <w:r>
              <w:rPr>
                <w:webHidden/>
                <w:rStyle w:val="Style14"/>
                <w:rFonts w:cs="Times New Roman"/>
                <w:iCs/>
                <w:vanish w:val="false"/>
                <w:sz w:val="22"/>
                <w:szCs w:val="22"/>
              </w:rPr>
              <w:t>2.1.</w:t>
            </w:r>
            <w:r>
              <w:rPr>
                <w:rStyle w:val="Style14"/>
                <w:rFonts w:eastAsia="" w:cs="Times New Roman" w:eastAsiaTheme="minorEastAsi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>Требования к объемам и срокам поставки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75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2.1.1.</w:t>
            </w:r>
            <w:r>
              <w:rPr>
                <w:rStyle w:val="Style14"/>
                <w:rFonts w:eastAsia="" w:cs="Times New Roman" w:eastAsiaTheme="minorEastAsi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>Перечень и объем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76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79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Таблица 2.1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82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Таблица 3.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75446585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4.</w:t>
            </w:r>
            <w:r>
              <w:rPr>
                <w:rStyle w:val="Style14"/>
                <w:rFonts w:eastAsia="" w:cs="Times New Roman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cs="Times New Roman"/>
                <w:iCs/>
                <w:sz w:val="22"/>
                <w:szCs w:val="22"/>
              </w:rPr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sz w:val="22"/>
              <w:szCs w:val="22"/>
              <w:rFonts w:cs="Times New Roman"/>
            </w:rPr>
            <w:fldChar w:fldCharType="end"/>
          </w:r>
        </w:p>
      </w:sdtContent>
    </w:sdt>
    <w:p>
      <w:pPr>
        <w:pStyle w:val="Heading2"/>
        <w:tabs>
          <w:tab w:val="clear" w:pos="0"/>
        </w:tabs>
        <w:ind w:left="0" w:hanging="0"/>
        <w:rPr>
          <w:rFonts w:ascii="Times New Roman" w:hAnsi="Times New Roman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rFonts w:ascii="Times New Roman" w:hAnsi="Times New Roman"/>
        </w:rPr>
      </w:pPr>
      <w:bookmarkStart w:id="0" w:name="_Toc75446566"/>
      <w:bookmarkStart w:id="1" w:name="_Toc51339692"/>
      <w:r>
        <w:rPr>
          <w:sz w:val="22"/>
          <w:szCs w:val="22"/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>
          <w:rFonts w:ascii="Times New Roman" w:hAnsi="Times New Roman"/>
        </w:rPr>
      </w:pPr>
      <w:bookmarkStart w:id="2" w:name="_Toc46743506"/>
      <w:bookmarkStart w:id="3" w:name="_Toc75446568"/>
      <w:r>
        <w:rPr>
          <w:sz w:val="22"/>
          <w:szCs w:val="22"/>
        </w:rPr>
        <w:t>Наименование закупаемой продукции</w:t>
      </w:r>
      <w:bookmarkEnd w:id="2"/>
      <w:bookmarkEnd w:id="3"/>
    </w:p>
    <w:p>
      <w:pPr>
        <w:pStyle w:val="Normal"/>
        <w:spacing w:lineRule="auto" w:line="360"/>
        <w:jc w:val="left"/>
        <w:rPr/>
      </w:pPr>
      <w:r>
        <w:rPr>
          <w:rStyle w:val="Style8"/>
          <w:rFonts w:eastAsia="Calibri"/>
          <w:b w:val="false"/>
          <w:bCs w:val="false"/>
          <w:i w:val="false"/>
          <w:sz w:val="20"/>
          <w:szCs w:val="20"/>
          <w:shd w:fill="auto" w:val="clear"/>
          <w:lang w:eastAsia="x-none"/>
        </w:rPr>
        <w:t>Выключатель высоковольтный вакуумный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>
          <w:rFonts w:ascii="Times New Roman" w:hAnsi="Times New Roman"/>
        </w:rPr>
      </w:pPr>
      <w:bookmarkStart w:id="4" w:name="_Toc75446569"/>
      <w:bookmarkStart w:id="5" w:name="_Toc46743507"/>
      <w:r>
        <w:rPr>
          <w:sz w:val="22"/>
          <w:szCs w:val="22"/>
        </w:rPr>
        <w:t xml:space="preserve">Цель </w:t>
      </w:r>
      <w:bookmarkEnd w:id="5"/>
      <w:r>
        <w:rPr>
          <w:sz w:val="22"/>
          <w:szCs w:val="22"/>
          <w:lang w:val="ru-RU"/>
        </w:rPr>
        <w:t xml:space="preserve">использования закупаемой продукции </w:t>
      </w:r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rFonts w:ascii="Times New Roman" w:hAnsi="Times New Roman"/>
        </w:rPr>
      </w:pPr>
      <w:r>
        <w:rPr>
          <w:rFonts w:eastAsia="Calibri"/>
          <w:sz w:val="22"/>
          <w:szCs w:val="22"/>
          <w:lang w:eastAsia="x-none"/>
        </w:rPr>
        <w:t xml:space="preserve">Выполнение эксплуатационной программы Якутская ГРЭС-2 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rFonts w:ascii="Times New Roman" w:hAnsi="Times New Roman"/>
        </w:rPr>
      </w:pPr>
      <w:bookmarkStart w:id="6" w:name="_Toc51339693"/>
      <w:bookmarkStart w:id="7" w:name="_Toc75446573"/>
      <w:r>
        <w:rPr>
          <w:iCs/>
          <w:sz w:val="22"/>
          <w:szCs w:val="22"/>
        </w:rPr>
        <w:t xml:space="preserve">Требования к </w:t>
      </w:r>
      <w:r>
        <w:rPr>
          <w:sz w:val="22"/>
          <w:szCs w:val="22"/>
          <w:lang w:val="ru-RU"/>
        </w:rPr>
        <w:t>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rPr>
          <w:rFonts w:ascii="Times New Roman" w:hAnsi="Times New Roman"/>
        </w:rPr>
      </w:pPr>
      <w:bookmarkStart w:id="8" w:name="_Toc75446574"/>
      <w:r>
        <w:rPr>
          <w:sz w:val="22"/>
          <w:szCs w:val="22"/>
        </w:rPr>
        <w:t xml:space="preserve">Требования к объемам и срокам </w:t>
      </w:r>
      <w:r>
        <w:rPr>
          <w:sz w:val="22"/>
          <w:szCs w:val="22"/>
          <w:lang w:val="ru-RU"/>
        </w:rPr>
        <w:t>поставки</w:t>
      </w:r>
      <w:bookmarkEnd w:id="8"/>
    </w:p>
    <w:p>
      <w:pPr>
        <w:pStyle w:val="Heading3"/>
        <w:numPr>
          <w:ilvl w:val="2"/>
          <w:numId w:val="3"/>
        </w:numPr>
        <w:rPr>
          <w:rFonts w:ascii="Times New Roman" w:hAnsi="Times New Roman"/>
        </w:rPr>
      </w:pPr>
      <w:bookmarkStart w:id="9" w:name="_Toc75446575"/>
      <w:r>
        <w:rPr>
          <w:sz w:val="22"/>
          <w:szCs w:val="22"/>
          <w:lang w:val="ru-RU"/>
        </w:rPr>
        <w:t>Перечень и объем закупаемой продукции</w:t>
      </w:r>
      <w:bookmarkEnd w:id="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Fonts w:ascii="Times New Roman" w:hAnsi="Times New Roman"/>
        </w:rPr>
      </w:pPr>
      <w:bookmarkStart w:id="10" w:name="_Toc75446576"/>
      <w:bookmarkStart w:id="11" w:name="_Toc51339695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1.1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Перечень </w:t>
      </w:r>
      <w:bookmarkEnd w:id="11"/>
      <w:r>
        <w:rPr>
          <w:sz w:val="22"/>
          <w:szCs w:val="22"/>
          <w:lang w:val="ru-RU"/>
        </w:rPr>
        <w:t>и объем закупаемой продукции</w:t>
      </w:r>
      <w:bookmarkEnd w:id="10"/>
    </w:p>
    <w:p>
      <w:pPr>
        <w:pStyle w:val="Normal"/>
        <w:tabs>
          <w:tab w:val="clear" w:pos="708"/>
        </w:tabs>
        <w:spacing w:before="240" w:after="60"/>
        <w:ind w:left="0" w:hanging="0"/>
        <w:rPr>
          <w:rFonts w:ascii="Times New Roman" w:hAnsi="Times New Roman"/>
        </w:rPr>
      </w:pPr>
      <w:r>
        <w:rPr/>
      </w:r>
    </w:p>
    <w:tbl>
      <w:tblPr>
        <w:tblW w:w="9932" w:type="dxa"/>
        <w:jc w:val="left"/>
        <w:tblInd w:w="1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7"/>
        <w:gridCol w:w="4312"/>
        <w:gridCol w:w="1054"/>
        <w:gridCol w:w="961"/>
        <w:gridCol w:w="1526"/>
        <w:gridCol w:w="1521"/>
      </w:tblGrid>
      <w:tr>
        <w:trPr/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4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продукции</w:t>
            </w: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3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Применение законодательства о национальном режиме</w:t>
            </w:r>
          </w:p>
        </w:tc>
      </w:tr>
      <w:tr>
        <w:trPr/>
        <w:tc>
          <w:tcPr>
            <w:tcW w:w="5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43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0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9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Код по ОКПД 2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Меры по предоставлению национального режима</w:t>
            </w:r>
          </w:p>
        </w:tc>
      </w:tr>
      <w:tr>
        <w:trPr/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>
        <w:trPr/>
        <w:tc>
          <w:tcPr>
            <w:tcW w:w="993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30303"/>
                <w:sz w:val="24"/>
                <w:szCs w:val="24"/>
                <w:u w:val="none"/>
              </w:rPr>
            </w:pPr>
            <w:r>
              <w:rPr>
                <w:b/>
                <w:bCs/>
                <w:color w:val="030303"/>
                <w:sz w:val="24"/>
                <w:szCs w:val="24"/>
                <w:u w:val="none"/>
              </w:rPr>
              <w:t>ЯГРЭС-2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31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Выключатель выкатной высоковольтный вакуумный ABB VD4G-50 зав. номер 1VB4044845 (для шкафа КРУ UniGear ZS1)</w:t>
            </w:r>
          </w:p>
        </w:tc>
        <w:tc>
          <w:tcPr>
            <w:tcW w:w="10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961" w:type="dxa"/>
            <w:tcBorders>
              <w:left w:val="single" w:sz="8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5"/>
              <w:widowControl w:val="false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526" w:type="dxa"/>
            <w:tcBorders>
              <w:left w:val="single" w:sz="8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5"/>
              <w:widowControl w:val="false"/>
              <w:rPr/>
            </w:pPr>
            <w:hyperlink r:id="rId4">
              <w:r>
                <w:rPr>
                  <w:rStyle w:val="Hyperlink"/>
                  <w:color w:val="030303"/>
                  <w:sz w:val="24"/>
                  <w:szCs w:val="24"/>
                  <w:u w:val="none"/>
                </w:rPr>
                <w:t>27.12.10.110</w:t>
              </w:r>
            </w:hyperlink>
          </w:p>
        </w:tc>
        <w:tc>
          <w:tcPr>
            <w:tcW w:w="152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BodyText"/>
              <w:widowControl w:val="false"/>
              <w:spacing w:before="0" w:after="120"/>
              <w:rPr>
                <w:color w:val="030303"/>
                <w:sz w:val="24"/>
                <w:szCs w:val="24"/>
                <w:u w:val="none"/>
              </w:rPr>
            </w:pPr>
            <w:r>
              <w:rPr>
                <w:color w:val="030303"/>
                <w:sz w:val="24"/>
                <w:szCs w:val="24"/>
                <w:u w:val="none"/>
              </w:rPr>
              <w:t>Установлен режим преимущества российской продукции</w:t>
            </w:r>
          </w:p>
        </w:tc>
      </w:tr>
      <w:tr>
        <w:trPr>
          <w:trHeight w:val="362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360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31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right"/>
              <w:outlineLvl w:val="0"/>
              <w:rPr>
                <w:rFonts w:ascii="Times New Roman" w:hAnsi="Times New Roman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  <w:t>1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</w:tc>
        <w:tc>
          <w:tcPr>
            <w:tcW w:w="15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rFonts w:ascii="Times New Roman" w:hAnsi="Times New Roman"/>
          <w:bCs/>
          <w:sz w:val="22"/>
          <w:szCs w:val="22"/>
          <w:shd w:fill="FFFF99" w:val="clear"/>
        </w:rPr>
      </w:pPr>
      <w:r>
        <w:rPr>
          <w:bCs/>
          <w:sz w:val="22"/>
          <w:szCs w:val="22"/>
          <w:shd w:fill="FFFF99" w:val="clear"/>
        </w:rPr>
      </w:r>
      <w:r>
        <w:br w:type="page"/>
      </w:r>
    </w:p>
    <w:p>
      <w:pPr>
        <w:pStyle w:val="Heading3"/>
        <w:numPr>
          <w:ilvl w:val="2"/>
          <w:numId w:val="3"/>
        </w:numPr>
        <w:rPr>
          <w:rFonts w:ascii="Times New Roman" w:hAnsi="Times New Roman"/>
        </w:rPr>
      </w:pPr>
      <w:bookmarkStart w:id="12" w:name="_Toc75446578"/>
      <w:bookmarkStart w:id="13" w:name="_Toc51339696"/>
      <w:r>
        <w:rPr>
          <w:sz w:val="22"/>
          <w:szCs w:val="22"/>
          <w:lang w:val="ru-RU"/>
        </w:rPr>
        <w:t xml:space="preserve">Требования </w:t>
      </w:r>
      <w:bookmarkEnd w:id="13"/>
      <w:r>
        <w:rPr>
          <w:sz w:val="22"/>
          <w:szCs w:val="22"/>
          <w:lang w:val="ru-RU"/>
        </w:rPr>
        <w:t>к срокам поставки продукции и оказания сопутствующих услуг</w:t>
      </w:r>
      <w:bookmarkEnd w:id="12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Fonts w:ascii="Times New Roman" w:hAnsi="Times New Roman"/>
        </w:rPr>
      </w:pPr>
      <w:bookmarkStart w:id="14" w:name="_Toc75446579"/>
      <w:bookmarkStart w:id="15" w:name="_Toc50125127"/>
      <w:bookmarkStart w:id="16" w:name="_Toc51339697"/>
      <w:bookmarkStart w:id="17" w:name="_Toc50125126"/>
      <w:bookmarkEnd w:id="17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2</w:t>
      </w:r>
      <w:r>
        <w:rPr>
          <w:sz w:val="22"/>
          <w:szCs w:val="22"/>
        </w:rPr>
        <w:t>.</w:t>
      </w:r>
      <w:r>
        <w:rPr>
          <w:sz w:val="22"/>
          <w:szCs w:val="22"/>
          <w:lang w:val="ru-RU"/>
        </w:rPr>
        <w:t>1</w:t>
      </w:r>
      <w:r>
        <w:rPr>
          <w:sz w:val="22"/>
          <w:szCs w:val="22"/>
        </w:rPr>
        <w:t xml:space="preserve"> </w:t>
      </w:r>
      <w:bookmarkStart w:id="18" w:name="_Hlk50465284"/>
      <w:r>
        <w:rPr>
          <w:sz w:val="22"/>
          <w:szCs w:val="22"/>
        </w:rPr>
        <w:t xml:space="preserve">Требования по срокам </w:t>
      </w:r>
      <w:bookmarkEnd w:id="15"/>
      <w:bookmarkEnd w:id="16"/>
      <w:bookmarkEnd w:id="18"/>
      <w:r>
        <w:rPr>
          <w:sz w:val="22"/>
          <w:szCs w:val="22"/>
          <w:lang w:val="ru-RU"/>
        </w:rPr>
        <w:t>поставки продукции</w:t>
      </w:r>
      <w:bookmarkEnd w:id="14"/>
      <w:r>
        <w:rPr>
          <w:sz w:val="22"/>
          <w:szCs w:val="22"/>
          <w:lang w:val="ru-RU"/>
        </w:rPr>
        <w:t xml:space="preserve"> </w:t>
      </w:r>
    </w:p>
    <w:p>
      <w:pPr>
        <w:pStyle w:val="Normal"/>
        <w:tabs>
          <w:tab w:val="clear" w:pos="708"/>
        </w:tabs>
        <w:spacing w:before="240" w:after="60"/>
        <w:ind w:left="0" w:hanging="0"/>
        <w:rPr>
          <w:rFonts w:ascii="Times New Roman" w:hAnsi="Times New Roman"/>
        </w:rPr>
      </w:pPr>
      <w:r>
        <w:rPr/>
      </w:r>
    </w:p>
    <w:tbl>
      <w:tblPr>
        <w:tblW w:w="10571" w:type="dxa"/>
        <w:jc w:val="left"/>
        <w:tblInd w:w="-3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787"/>
        <w:gridCol w:w="4825"/>
        <w:gridCol w:w="2541"/>
        <w:gridCol w:w="2417"/>
      </w:tblGrid>
      <w:tr>
        <w:trPr/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>
          <w:trHeight w:val="184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8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>
        <w:trPr/>
        <w:tc>
          <w:tcPr>
            <w:tcW w:w="10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ЯГРЭС-2</w:t>
            </w:r>
          </w:p>
        </w:tc>
      </w:tr>
      <w:tr>
        <w:trPr/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8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Выключатель выкатной высоковольтный вакуумный ABB VD4G-50 зав. номер 1VB4044845 (для шкафа КРУ UniGear ZS1)</w:t>
            </w:r>
          </w:p>
        </w:tc>
        <w:tc>
          <w:tcPr>
            <w:tcW w:w="2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60 календарных дней с даты подписания договора</w:t>
            </w:r>
          </w:p>
        </w:tc>
      </w:tr>
    </w:tbl>
    <w:p>
      <w:pPr>
        <w:sectPr>
          <w:headerReference w:type="even" r:id="rId5"/>
          <w:headerReference w:type="default" r:id="rId6"/>
          <w:headerReference w:type="first" r:id="rId7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>
          <w:rFonts w:ascii="Times New Roman" w:hAnsi="Times New Roman"/>
        </w:rPr>
      </w:pPr>
      <w:bookmarkStart w:id="19" w:name="_Toc51339698"/>
      <w:bookmarkStart w:id="20" w:name="_Toc75446581"/>
      <w:bookmarkStart w:id="21" w:name="_Toc46743511"/>
      <w:bookmarkStart w:id="22" w:name="_Toc54785622"/>
      <w:bookmarkEnd w:id="22"/>
      <w:r>
        <w:rPr>
          <w:sz w:val="22"/>
          <w:szCs w:val="22"/>
        </w:rPr>
        <w:t xml:space="preserve">Требования к </w:t>
      </w:r>
      <w:bookmarkEnd w:id="21"/>
      <w:r>
        <w:rPr>
          <w:sz w:val="22"/>
          <w:szCs w:val="22"/>
          <w:lang w:val="ru-RU"/>
        </w:rPr>
        <w:t>качеству продукции</w:t>
      </w:r>
      <w:bookmarkEnd w:id="2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Fonts w:ascii="Times New Roman" w:hAnsi="Times New Roman"/>
        </w:rPr>
      </w:pPr>
      <w:r>
        <w:rPr>
          <w:sz w:val="22"/>
          <w:szCs w:val="22"/>
        </w:rPr>
        <w:t xml:space="preserve"> </w:t>
      </w:r>
      <w:bookmarkStart w:id="23" w:name="_Toc75446582"/>
      <w:r>
        <w:rPr>
          <w:sz w:val="22"/>
          <w:szCs w:val="22"/>
        </w:rPr>
        <w:t>Таблица </w:t>
      </w:r>
      <w:r>
        <w:rPr>
          <w:sz w:val="22"/>
          <w:szCs w:val="22"/>
          <w:lang w:val="ru-RU"/>
        </w:rPr>
        <w:t>3</w:t>
      </w:r>
      <w:r>
        <w:rPr>
          <w:sz w:val="22"/>
          <w:szCs w:val="22"/>
        </w:rPr>
        <w:t xml:space="preserve">. Требования к </w:t>
      </w:r>
      <w:r>
        <w:rPr>
          <w:sz w:val="22"/>
          <w:szCs w:val="22"/>
          <w:lang w:val="ru-RU"/>
        </w:rPr>
        <w:t>продукции</w:t>
      </w:r>
      <w:bookmarkEnd w:id="23"/>
      <w:r>
        <w:rPr>
          <w:sz w:val="22"/>
          <w:szCs w:val="22"/>
        </w:rPr>
        <w:t xml:space="preserve"> </w:t>
      </w:r>
      <w:bookmarkEnd w:id="19"/>
    </w:p>
    <w:p>
      <w:pPr>
        <w:pStyle w:val="Normal"/>
        <w:rPr>
          <w:rFonts w:ascii="Times New Roman" w:hAnsi="Times New Roman"/>
          <w:b w:val="false"/>
          <w:i w:val="false"/>
          <w:i w:val="false"/>
          <w:sz w:val="22"/>
          <w:szCs w:val="22"/>
        </w:rPr>
      </w:pPr>
      <w:r>
        <w:rPr>
          <w:b w:val="false"/>
          <w:i w:val="false"/>
          <w:sz w:val="22"/>
          <w:szCs w:val="22"/>
        </w:rPr>
      </w:r>
    </w:p>
    <w:p>
      <w:pPr>
        <w:pStyle w:val="Normal"/>
        <w:jc w:val="both"/>
        <w:rPr/>
      </w:pPr>
      <w:r>
        <w:rPr>
          <w:b/>
          <w:bCs/>
          <w:iCs/>
          <w:sz w:val="22"/>
          <w:szCs w:val="22"/>
        </w:rPr>
        <w:t xml:space="preserve">Наименование продукции (позиция №1 Таблицы 3.1): </w:t>
      </w:r>
      <w:r>
        <w:rPr>
          <w:rFonts w:eastAsia="Calibri"/>
          <w:b/>
          <w:bCs/>
          <w:sz w:val="22"/>
          <w:szCs w:val="22"/>
        </w:rPr>
        <w:t>«</w:t>
      </w:r>
      <w:r>
        <w:rPr>
          <w:rStyle w:val="Style8"/>
          <w:rFonts w:eastAsia="Calibri"/>
          <w:b w:val="false"/>
          <w:bCs w:val="false"/>
          <w:i w:val="false"/>
          <w:sz w:val="20"/>
          <w:szCs w:val="20"/>
          <w:shd w:fill="auto" w:val="clear"/>
          <w:lang w:eastAsia="x-none"/>
        </w:rPr>
        <w:t>Выключатель высоковольтный вакуумный</w:t>
      </w:r>
      <w:r>
        <w:rPr>
          <w:rFonts w:eastAsia="Calibri"/>
          <w:b/>
          <w:bCs/>
          <w:sz w:val="22"/>
          <w:szCs w:val="22"/>
        </w:rPr>
        <w:t>»</w:t>
      </w:r>
    </w:p>
    <w:tbl>
      <w:tblPr>
        <w:tblStyle w:val="affff5"/>
        <w:tblW w:w="15309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2"/>
        <w:gridCol w:w="1811"/>
        <w:gridCol w:w="31"/>
        <w:gridCol w:w="2956"/>
        <w:gridCol w:w="2990"/>
        <w:gridCol w:w="3262"/>
        <w:gridCol w:w="3406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18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987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625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8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987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8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298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в отношении каждой позиции продукции представлены в Приложении № 1 к настоящим Техническим требованиям</w:t>
            </w:r>
          </w:p>
        </w:tc>
        <w:tc>
          <w:tcPr>
            <w:tcW w:w="299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4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</w:t>
            </w:r>
          </w:p>
        </w:tc>
        <w:tc>
          <w:tcPr>
            <w:tcW w:w="295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677004, Республика Саха (Якутия), г.Якутск, ул. Кржижановского, д. 2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Транспортные расходы на продукцию, подлежащий замене по гарантии, несет поставщик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241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Соответствие тары и упаковки согласно ГОСТ 15846-2002. На каждое место составляется подробный упаковочный лист, с указанием упакованных товаров.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241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Продукция передается Заказчику комплектно с техническими паспортами, сертификатами соответствия продукции, сертификатами качества и другими подтверждающими документами по действующему законодательству РФ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6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6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Гарантийный срок: в течение 12 месяцев с даты поставки на склад Покупателя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Гарантия распространяется в полном объеме на поставляемую продукцию.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241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 течение гарантийного срока поставщик обязуется заменить продукцию в случае его несоответствия заявленному качеству.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4798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  <w:t>Поставщик гарантирует обязательное предоставление паспорта качества на каждую поставляемую партию.</w:t>
            </w:r>
          </w:p>
        </w:tc>
        <w:tc>
          <w:tcPr>
            <w:tcW w:w="29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4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4798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  <w:t>Продукция при поставке должна сопровождаться действующими сертификатами, удостоверениями, техническими паспортами и другими документами, подтверждающими качество товара предприятия-изготовителя продукции, его происхождение и указывающие условия, а также сроки гарантии</w:t>
            </w:r>
          </w:p>
        </w:tc>
        <w:tc>
          <w:tcPr>
            <w:tcW w:w="29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4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Arial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9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Поставляемая продукция должна быть новая (не ранее 202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6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года изготовления) и ранее не использованная.</w:t>
            </w:r>
          </w:p>
        </w:tc>
        <w:tc>
          <w:tcPr>
            <w:tcW w:w="29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sectPr>
          <w:headerReference w:type="default" r:id="rId8"/>
          <w:headerReference w:type="first" r:id="rId9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spacing w:before="0" w:after="120"/>
        <w:jc w:val="right"/>
        <w:rPr>
          <w:rFonts w:ascii="Times New Roman" w:hAnsi="Times New Roman"/>
        </w:rPr>
      </w:pPr>
      <w:r>
        <w:rPr>
          <w:rFonts w:eastAsia="Calibri"/>
          <w:sz w:val="22"/>
          <w:szCs w:val="22"/>
        </w:rPr>
        <w:t>Приложение №1 к Техническим требованиям</w:t>
      </w:r>
    </w:p>
    <w:p>
      <w:pPr>
        <w:pStyle w:val="Normal"/>
        <w:spacing w:before="0" w:after="120"/>
        <w:rPr>
          <w:rFonts w:ascii="Times New Roman" w:hAnsi="Times New Roman"/>
        </w:rPr>
      </w:pPr>
      <w:r>
        <w:rPr>
          <w:rFonts w:eastAsia="Calibri"/>
          <w:b/>
          <w:bCs/>
          <w:sz w:val="22"/>
          <w:szCs w:val="22"/>
          <w:lang w:val="x-none"/>
        </w:rPr>
        <w:t>Таблица </w:t>
      </w:r>
      <w:r>
        <w:rPr>
          <w:rFonts w:eastAsia="Calibri"/>
          <w:b/>
          <w:bCs/>
          <w:sz w:val="22"/>
          <w:szCs w:val="22"/>
        </w:rPr>
        <w:t>3.1</w:t>
      </w:r>
      <w:r>
        <w:rPr>
          <w:rFonts w:eastAsia="Calibri"/>
          <w:b/>
          <w:bCs/>
          <w:sz w:val="22"/>
          <w:szCs w:val="22"/>
          <w:lang w:val="x-none"/>
        </w:rPr>
        <w:t xml:space="preserve">. </w:t>
      </w:r>
      <w:r>
        <w:rPr>
          <w:rFonts w:eastAsia="Calibri"/>
          <w:b/>
          <w:bCs/>
          <w:sz w:val="22"/>
          <w:szCs w:val="22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spacing w:before="0" w:after="120"/>
        <w:ind w:right="397" w:hanging="0"/>
        <w:jc w:val="both"/>
        <w:rPr/>
      </w:pPr>
      <w:r>
        <w:rPr>
          <w:b/>
          <w:bCs/>
          <w:sz w:val="22"/>
          <w:szCs w:val="22"/>
        </w:rPr>
        <w:t xml:space="preserve">Наименование продукции: </w:t>
      </w:r>
      <w:r>
        <w:rPr>
          <w:rFonts w:eastAsia="Calibri"/>
          <w:b/>
          <w:bCs/>
          <w:sz w:val="22"/>
          <w:szCs w:val="22"/>
        </w:rPr>
        <w:t>«</w:t>
      </w:r>
      <w:r>
        <w:rPr>
          <w:rStyle w:val="Style8"/>
          <w:rFonts w:eastAsia="Calibri"/>
          <w:b/>
          <w:bCs/>
          <w:i w:val="false"/>
          <w:sz w:val="20"/>
          <w:szCs w:val="20"/>
          <w:shd w:fill="auto" w:val="clear"/>
          <w:lang w:eastAsia="x-none"/>
        </w:rPr>
        <w:t>Выключатель высоковольтный вакуумный</w:t>
      </w:r>
      <w:r>
        <w:rPr>
          <w:rFonts w:eastAsia="Calibri"/>
          <w:b/>
          <w:bCs/>
          <w:sz w:val="22"/>
          <w:szCs w:val="22"/>
        </w:rPr>
        <w:t>»</w:t>
      </w:r>
    </w:p>
    <w:tbl>
      <w:tblPr>
        <w:tblStyle w:val="1c"/>
        <w:tblW w:w="1548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0"/>
        <w:gridCol w:w="1361"/>
        <w:gridCol w:w="1689"/>
        <w:gridCol w:w="1080"/>
        <w:gridCol w:w="5559"/>
        <w:gridCol w:w="1410"/>
        <w:gridCol w:w="938"/>
        <w:gridCol w:w="599"/>
        <w:gridCol w:w="1202"/>
        <w:gridCol w:w="910"/>
      </w:tblGrid>
      <w:tr>
        <w:trPr/>
        <w:tc>
          <w:tcPr>
            <w:tcW w:w="73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136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 xml:space="preserve">позиции </w:t>
              <w:br/>
              <w:t>Таблицы 1.1. «Перечень и объем закупаемой продукции»</w:t>
            </w:r>
          </w:p>
        </w:tc>
        <w:tc>
          <w:tcPr>
            <w:tcW w:w="168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804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Требования заказчика 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W w:w="73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36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68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ГОСТ</w:t>
            </w:r>
          </w:p>
        </w:tc>
        <w:tc>
          <w:tcPr>
            <w:tcW w:w="555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Технические и функциональные характеристики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(параметры эквивалентности)</w:t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Место поставки</w:t>
            </w:r>
          </w:p>
        </w:tc>
        <w:tc>
          <w:tcPr>
            <w:tcW w:w="9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5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ГОСТ</w:t>
            </w:r>
          </w:p>
        </w:tc>
        <w:tc>
          <w:tcPr>
            <w:tcW w:w="12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9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Место поставки</w:t>
            </w:r>
          </w:p>
        </w:tc>
      </w:tr>
      <w:tr>
        <w:trPr/>
        <w:tc>
          <w:tcPr>
            <w:tcW w:w="73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3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6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555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9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5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12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9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</w:tr>
      <w:tr>
        <w:trPr/>
        <w:tc>
          <w:tcPr>
            <w:tcW w:w="730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Позиция 1</w:t>
            </w:r>
          </w:p>
        </w:tc>
        <w:tc>
          <w:tcPr>
            <w:tcW w:w="168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Выключатель выкатной высоковольтный вакуумный ABB VD4G-50 зав. номер 1VB4044845 (для шкафа КРУ UniGear ZS1)</w:t>
            </w:r>
          </w:p>
        </w:tc>
        <w:tc>
          <w:tcPr>
            <w:tcW w:w="1080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559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Номинальное напряжение — 10 кВ;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Наибольшее рабочее напряжение — 15 кВ;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Частота — 50 Гц;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Номинальный ток — 4000 А;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Ток электродинамической стойкости — 125 кА;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Ток термической стойкости — 50 кА;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Напряжение вторичных цепей — 220 В (AC/DC);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 службы — не менее 25 лет;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Комплектация: выкатной выключатель включает в себя тележку, которая удерживает автоматический выключатель и выдвигает его внутрь и наружу.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Приложение: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 фото шильдика выключателя;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 фото выключателя;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 паспорт КРУ unigear ZS1.</w:t>
            </w:r>
          </w:p>
        </w:tc>
        <w:tc>
          <w:tcPr>
            <w:tcW w:w="14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iCs/>
                <w:color w:val="808080" w:themeColor="background1" w:themeShade="80"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color w:val="808080" w:themeColor="background1" w:themeShade="80"/>
                <w:sz w:val="22"/>
                <w:szCs w:val="22"/>
                <w:lang w:eastAsia="en-US"/>
              </w:rPr>
            </w:r>
          </w:p>
        </w:tc>
        <w:tc>
          <w:tcPr>
            <w:tcW w:w="59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iCs/>
                <w:color w:val="808080" w:themeColor="background1" w:themeShade="80"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color w:val="808080" w:themeColor="background1" w:themeShade="80"/>
                <w:sz w:val="22"/>
                <w:szCs w:val="22"/>
                <w:lang w:eastAsia="en-US"/>
              </w:rPr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eastAsiaTheme="minorHAnsi"/>
                <w:iCs/>
                <w:color w:val="808080" w:themeColor="background1" w:themeShade="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 w:themeColor="background1" w:themeShade="80"/>
                <w:sz w:val="22"/>
                <w:szCs w:val="22"/>
                <w:lang w:eastAsia="en-US"/>
              </w:rPr>
            </w:r>
          </w:p>
        </w:tc>
        <w:tc>
          <w:tcPr>
            <w:tcW w:w="9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iCs/>
                <w:color w:val="808080" w:themeColor="background1" w:themeShade="80"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color w:val="808080" w:themeColor="background1" w:themeShade="80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spacing w:before="40" w:after="120"/>
        <w:ind w:right="-28" w:hanging="0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</w:r>
    </w:p>
    <w:p>
      <w:pPr>
        <w:pStyle w:val="Normal"/>
        <w:spacing w:before="40" w:after="120"/>
        <w:ind w:right="-28" w:hanging="0"/>
        <w:jc w:val="both"/>
        <w:rPr/>
      </w:pPr>
      <w:r>
        <w:rPr>
          <w:iCs/>
          <w:sz w:val="16"/>
          <w:szCs w:val="16"/>
        </w:rPr>
        <w:t>"Указанные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требований, обозначенных как «параметры эквивалентности.</w:t>
      </w:r>
    </w:p>
    <w:p>
      <w:pPr>
        <w:pStyle w:val="Normal"/>
        <w:spacing w:before="40" w:after="120"/>
        <w:ind w:right="-28" w:hanging="0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</w:r>
    </w:p>
    <w:p>
      <w:pPr>
        <w:pStyle w:val="Normal"/>
        <w:spacing w:before="40" w:after="120"/>
        <w:ind w:right="-28" w:hanging="0"/>
        <w:jc w:val="both"/>
        <w:rPr/>
      </w:pPr>
      <w:r>
        <w:rPr>
          <w:iCs/>
          <w:sz w:val="16"/>
          <w:szCs w:val="16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</w:t>
      </w:r>
    </w:p>
    <w:p>
      <w:pPr>
        <w:pStyle w:val="Normal"/>
        <w:spacing w:before="40" w:after="120"/>
        <w:ind w:right="-28" w:hanging="0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</w:r>
    </w:p>
    <w:p>
      <w:pPr>
        <w:pStyle w:val="Normal"/>
        <w:spacing w:before="40" w:after="120"/>
        <w:ind w:right="-28" w:hanging="0"/>
        <w:jc w:val="both"/>
        <w:rPr/>
      </w:pPr>
      <w:r>
        <w:rPr>
          <w:iCs/>
          <w:sz w:val="16"/>
          <w:szCs w:val="16"/>
        </w:rPr>
        <w:t>** Способ подтверждения участником соответствия требованиям указан в таблице в отношении каждой позиции закупаемой продукции"</w:t>
      </w:r>
    </w:p>
    <w:sectPr>
      <w:headerReference w:type="default" r:id="rId10"/>
      <w:headerReference w:type="first" r:id="rId11"/>
      <w:type w:val="nextPage"/>
      <w:pgSz w:orient="landscape" w:w="16838" w:h="11906"/>
      <w:pgMar w:left="992" w:right="1134" w:gutter="0" w:header="435" w:top="555" w:footer="0" w:bottom="58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d7a4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 w:customStyle="1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character" w:styleId="FollowedHyperlink">
    <w:name w:val="FollowedHyperlink"/>
    <w:rPr>
      <w:color w:val="80000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5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ervices.lot-online.ru/app/okpd2/27.12.10.110" TargetMode="External"/><Relationship Id="rId3" Type="http://schemas.openxmlformats.org/officeDocument/2006/relationships/header" Target="header1.xml"/><Relationship Id="rId4" Type="http://schemas.openxmlformats.org/officeDocument/2006/relationships/hyperlink" Target="https://services.lot-online.ru/app/okpd2/27.12.10.110" TargetMode="Externa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header" Target="header8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B2E63-D185-4C26-BE73-6DA1D72DF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Application>AlterOffice/3.4.0.9$Linux_X86_64 LibreOffice_project/b8daf9e823b1a5463a2f48435ddc2e8696e7d4fc</Application>
  <AppVersion>15.0000</AppVersion>
  <Pages>8</Pages>
  <Words>1015</Words>
  <Characters>6955</Characters>
  <CharactersWithSpaces>7782</CharactersWithSpaces>
  <Paragraphs>199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2023-10-31T01:55:00Z</dcterms:created>
  <dc:creator>Тимофеев Александр Викторович</dc:creator>
  <dc:description/>
  <dc:language>ru-RU</dc:language>
  <cp:lastModifiedBy>gladkihaa</cp:lastModifiedBy>
  <cp:lastPrinted>2025-01-24T10:44:26Z</cp:lastPrinted>
  <dcterms:modified xsi:type="dcterms:W3CDTF">2026-08-19T15:29:42Z</dcterms:modified>
  <cp:revision>156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