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ОКПД2 27.40.39.113 Поставка светильников для АСУТП Чиркейской ГЭС</w:t>
      </w:r>
    </w:p>
    <w:p>
      <w:pPr>
        <w:pStyle w:val="Normal"/>
        <w:keepNext w:val="true"/>
        <w:keepLines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Normal"/>
        <w:keepNext w:val="true"/>
        <w:keepLines/>
        <w:jc w:val="center"/>
        <w:rPr/>
      </w:pPr>
      <w:r>
        <w:rPr>
          <w:rFonts w:eastAsia="Calibri"/>
          <w:sz w:val="26"/>
          <w:szCs w:val="26"/>
        </w:rPr>
        <w:t>Лот № 0050-ТПИР ОБСЛ ДОХ-2026-ГРВКК-УМР</w:t>
      </w:r>
    </w:p>
    <w:p>
      <w:pPr>
        <w:pStyle w:val="Normal"/>
        <w:keepNext w:val="true"/>
        <w:keepLines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9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Toc75446566">
            <w:r>
              <w:rPr>
                <w:webHidden/>
                <w:rStyle w:val="Style14"/>
                <w:vanish w:val="false"/>
              </w:rPr>
              <w:t>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_Toc75446566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Общие сведения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9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75446567">
            <w:r>
              <w:rPr>
                <w:webHidden/>
                <w:rStyle w:val="Style14"/>
                <w:iCs/>
                <w:vanish w:val="false"/>
              </w:rPr>
              <w:t>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_Toc75446567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Обозначения и сокращения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9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75446568">
            <w:r>
              <w:rPr>
                <w:webHidden/>
                <w:rStyle w:val="Style14"/>
                <w:iCs/>
                <w:vanish w:val="false"/>
              </w:rPr>
              <w:t>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_Toc75446568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Наименование закупаемой продукции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9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75446569">
            <w:r>
              <w:rPr>
                <w:webHidden/>
                <w:rStyle w:val="Style14"/>
                <w:iCs/>
                <w:vanish w:val="false"/>
              </w:rPr>
              <w:t>1.3.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_Toc75446569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 xml:space="preserve">Цель использования закупаемой продукции 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9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75446570">
            <w:r>
              <w:rPr>
                <w:webHidden/>
                <w:rStyle w:val="Style14"/>
                <w:iCs/>
                <w:vanish w:val="false"/>
              </w:rPr>
              <w:t>1.4.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Существующее положение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9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75446571">
            <w:r>
              <w:rPr>
                <w:webHidden/>
                <w:rStyle w:val="Style14"/>
                <w:iCs/>
                <w:vanish w:val="false"/>
              </w:rPr>
              <w:t>1.5.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9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75446572">
            <w:r>
              <w:rPr>
                <w:webHidden/>
                <w:rStyle w:val="Style14"/>
                <w:iCs/>
                <w:vanish w:val="false"/>
              </w:rPr>
              <w:t>1.6.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Иные требования и сведения общего характера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75446573">
            <w:r>
              <w:rPr>
                <w:webHidden/>
                <w:rStyle w:val="Style14"/>
                <w:vanish w:val="false"/>
              </w:rPr>
              <w:t>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9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75446574">
            <w:r>
              <w:rPr>
                <w:webHidden/>
                <w:rStyle w:val="Style14"/>
                <w:iCs/>
                <w:vanish w:val="false"/>
              </w:rPr>
              <w:t>2.1.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объемам и срокам поставки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9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75446575">
            <w:r>
              <w:rPr>
                <w:webHidden/>
                <w:rStyle w:val="Style14"/>
                <w:vanish w:val="false"/>
              </w:rPr>
              <w:t>2.1.1.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Перечень и объем закупаемой продукции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7544657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_Toc75446576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1.1 Перечень и объем закупаемой продукции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7544657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_Toc75446577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1.2 Перечень и объем закупаемых сопутствующих услуг</w:t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9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75446578">
            <w:r>
              <w:rPr>
                <w:webHidden/>
                <w:rStyle w:val="Style14"/>
                <w:vanish w:val="false"/>
              </w:rPr>
              <w:t>2.1.2.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срокам поставки продукции и оказания сопутствующих услуг</w:t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7544657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_Toc75446579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2.1 Требования по срокам поставки продукции</w:t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75446580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_Toc75446580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2.2 Требования по срокам оказания сопутствующих услуг</w:t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9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75446581">
            <w:r>
              <w:rPr>
                <w:webHidden/>
                <w:rStyle w:val="Style14"/>
                <w:iCs/>
                <w:vanish w:val="false"/>
              </w:rPr>
              <w:t>2.2.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_Toc75446581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качеству продукции</w:t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75446582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_Toc75446582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 3. Требования к продукции</w:t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75446583">
            <w:r>
              <w:rPr>
                <w:webHidden/>
                <w:rStyle w:val="Style14"/>
                <w:vanish w:val="false"/>
              </w:rPr>
              <w:t>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_Toc75446583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документации по ценообразованию на этапе закупки</w:t>
              <w:tab/>
              <w:t>11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75446584">
            <w:r>
              <w:rPr>
                <w:webHidden/>
                <w:rStyle w:val="Style14"/>
                <w:vanish w:val="false"/>
              </w:rPr>
              <w:t>4.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_Toc75446584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документации по ценообразованию на этапе заключения (исполнения) договора</w:t>
              <w:tab/>
              <w:t>12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75446585">
            <w:r>
              <w:rPr>
                <w:webHidden/>
                <w:rStyle w:val="Style14"/>
                <w:vanish w:val="false"/>
              </w:rPr>
              <w:t>5.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iCs/>
              </w:rPr>
              <w:t>Приложения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_Toc75446585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13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4"/>
            </w:rPr>
            <w:fldChar w:fldCharType="end"/>
          </w:r>
        </w:p>
      </w:sdtContent>
    </w:sdt>
    <w:p>
      <w:pPr>
        <w:pStyle w:val="Heading2"/>
        <w:numPr>
          <w:ilvl w:val="0"/>
        </w:numPr>
        <w:tabs>
          <w:tab w:val="clear" w:pos="0"/>
        </w:tabs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Toc75446566"/>
      <w:bookmarkStart w:id="1" w:name="_Toc51339692"/>
      <w:r>
        <w:rPr>
          <w:lang w:val="ru-RU"/>
        </w:rPr>
        <w:t>Общие сведения</w:t>
      </w:r>
      <w:bookmarkEnd w:id="0"/>
      <w:bookmarkEnd w:id="1"/>
    </w:p>
    <w:p>
      <w:pPr>
        <w:pStyle w:val="Heading4"/>
        <w:numPr>
          <w:ilvl w:val="1"/>
          <w:numId w:val="3"/>
        </w:numPr>
        <w:rPr/>
      </w:pPr>
      <w:bookmarkStart w:id="2" w:name="_Toc75446567"/>
      <w:bookmarkStart w:id="3" w:name="_Toc46743505"/>
      <w:r>
        <w:rPr/>
        <w:t>Обозначения и сокращения</w:t>
      </w:r>
      <w:bookmarkEnd w:id="2"/>
      <w:bookmarkEnd w:id="3"/>
    </w:p>
    <w:p>
      <w:pPr>
        <w:pStyle w:val="Normal"/>
        <w:rPr>
          <w:rStyle w:val="Style8"/>
          <w:b w:val="false"/>
          <w:bCs/>
          <w:iCs/>
          <w:sz w:val="26"/>
          <w:szCs w:val="26"/>
        </w:rPr>
      </w:pPr>
      <w:r>
        <w:rPr>
          <w:b w:val="false"/>
          <w:bCs/>
          <w:iCs/>
          <w:sz w:val="26"/>
          <w:szCs w:val="26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>Сокращение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>Расшифровка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keepNext w:val="true"/>
              <w:keepLines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keepNext w:val="true"/>
              <w:keepLines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keepNext w:val="true"/>
              <w:keepLines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МТР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keepNext w:val="true"/>
              <w:keepLines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Материально-технические ресурсы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keepNext w:val="true"/>
              <w:keepLines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ДКС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keepNext w:val="true"/>
              <w:keepLines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Система кабеленесущих элементов (торговая марка)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keepNext w:val="true"/>
              <w:keepLines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УПД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keepNext w:val="true"/>
              <w:keepLines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Универсальный передаточный документ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keepNext w:val="true"/>
              <w:keepLines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ГЭС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keepNext w:val="true"/>
              <w:keepLines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Гидроэлектростанция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keepNext w:val="true"/>
              <w:keepLines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keepNext w:val="true"/>
              <w:keepLines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Государственный стандарт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keepNext w:val="true"/>
              <w:keepLines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ТУ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keepNext w:val="true"/>
              <w:keepLines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Технические условия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rPr/>
      </w:pPr>
      <w:bookmarkStart w:id="4" w:name="_Toc75446568"/>
      <w:bookmarkStart w:id="5" w:name="_Toc46743506"/>
      <w:r>
        <w:rPr/>
        <w:t>Наименование закупаемой продукции</w:t>
      </w:r>
      <w:bookmarkEnd w:id="4"/>
      <w:bookmarkEnd w:id="5"/>
    </w:p>
    <w:p>
      <w:pPr>
        <w:pStyle w:val="Normal"/>
        <w:keepNext w:val="true"/>
        <w:rPr>
          <w:sz w:val="24"/>
          <w:szCs w:val="24"/>
        </w:rPr>
      </w:pPr>
      <w:r>
        <w:rPr>
          <w:sz w:val="24"/>
          <w:szCs w:val="24"/>
        </w:rPr>
        <w:t>ОКПД2 [27.40.39.113] Поставка светильников для АСУТП Чиркейской ГЭС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/>
      </w:pPr>
      <w:bookmarkStart w:id="6" w:name="_Toc75446569"/>
      <w:bookmarkStart w:id="7" w:name="_Toc46743507"/>
      <w:r>
        <w:rPr/>
        <w:t xml:space="preserve">Цель </w:t>
      </w:r>
      <w:bookmarkEnd w:id="7"/>
      <w:r>
        <w:rPr>
          <w:lang w:val="ru-RU"/>
        </w:rPr>
        <w:t>использования закупаемой продукции</w:t>
      </w:r>
      <w:bookmarkEnd w:id="6"/>
    </w:p>
    <w:p>
      <w:pPr>
        <w:pStyle w:val="Normal"/>
        <w:keepNext w:val="true"/>
        <w:jc w:val="both"/>
        <w:rPr>
          <w:sz w:val="24"/>
          <w:szCs w:val="24"/>
        </w:rPr>
      </w:pPr>
      <w:r>
        <w:rPr>
          <w:sz w:val="24"/>
          <w:szCs w:val="24"/>
        </w:rPr>
        <w:t>Закупаемая продукция предназначена для использования в качестве источников электрического освещения в производственных, административных и вспомогательных помещениях Заказчика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в рамках выполнения работ по реконструкции помещений АСУТП Чиркейской ГЭС.</w:t>
      </w:r>
    </w:p>
    <w:p>
      <w:pPr>
        <w:pStyle w:val="Normal"/>
        <w:keepNext w:val="true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8" w:name="_Toc51339693"/>
      <w:bookmarkStart w:id="9" w:name="_Toc75446573"/>
      <w:bookmarkStart w:id="10" w:name="_Toc50125126"/>
      <w:bookmarkStart w:id="11" w:name="_Toc46743508_Копия_1"/>
      <w:bookmarkStart w:id="12" w:name="_Toc75446570_Копия_1"/>
      <w:bookmarkEnd w:id="10"/>
      <w:bookmarkEnd w:id="11"/>
      <w:bookmarkEnd w:id="12"/>
      <w:r>
        <w:rPr>
          <w:iCs/>
        </w:rPr>
        <w:t>Требования к продукции</w:t>
      </w:r>
      <w:bookmarkEnd w:id="8"/>
      <w:bookmarkEnd w:id="9"/>
    </w:p>
    <w:p>
      <w:pPr>
        <w:pStyle w:val="Heading4"/>
        <w:numPr>
          <w:ilvl w:val="1"/>
          <w:numId w:val="3"/>
        </w:numPr>
        <w:rPr/>
      </w:pPr>
      <w:bookmarkStart w:id="13" w:name="_Toc75446574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13"/>
    </w:p>
    <w:p>
      <w:pPr>
        <w:pStyle w:val="Heading3"/>
        <w:numPr>
          <w:ilvl w:val="2"/>
          <w:numId w:val="3"/>
        </w:numPr>
        <w:rPr/>
      </w:pPr>
      <w:bookmarkStart w:id="14" w:name="_Toc75446575"/>
      <w:r>
        <w:rPr>
          <w:lang w:val="ru-RU"/>
        </w:rPr>
        <w:t>Перечень и объем закупаемой продукции</w:t>
      </w:r>
      <w:bookmarkEnd w:id="14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15" w:name="_Toc75446576"/>
      <w:bookmarkStart w:id="16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6"/>
      <w:r>
        <w:rPr>
          <w:sz w:val="24"/>
          <w:szCs w:val="24"/>
          <w:lang w:val="ru-RU"/>
        </w:rPr>
        <w:t>и объем закупаемой продукции</w:t>
      </w:r>
      <w:bookmarkEnd w:id="15"/>
    </w:p>
    <w:p>
      <w:pPr>
        <w:pStyle w:val="Normal"/>
        <w:widowControl w:val="false"/>
        <w:tabs>
          <w:tab w:val="clear" w:pos="709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tbl>
      <w:tblPr>
        <w:tblW w:w="9750" w:type="dxa"/>
        <w:jc w:val="left"/>
        <w:tblInd w:w="0" w:type="dxa"/>
        <w:tblLayout w:type="fixed"/>
        <w:tblCellMar>
          <w:top w:w="150" w:type="dxa"/>
          <w:left w:w="5" w:type="dxa"/>
          <w:bottom w:w="150" w:type="dxa"/>
          <w:right w:w="235" w:type="dxa"/>
        </w:tblCellMar>
        <w:tblLook w:val="04a0" w:noHBand="0" w:noVBand="1" w:firstColumn="1" w:lastRow="0" w:lastColumn="0" w:firstRow="1"/>
      </w:tblPr>
      <w:tblGrid>
        <w:gridCol w:w="680"/>
        <w:gridCol w:w="6394"/>
        <w:gridCol w:w="1076"/>
        <w:gridCol w:w="1600"/>
      </w:tblGrid>
      <w:tr>
        <w:trPr>
          <w:tblHeader w:val="true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color w:val="0F1115"/>
                <w:sz w:val="24"/>
                <w:szCs w:val="24"/>
              </w:rPr>
              <w:t xml:space="preserve">№ </w:t>
            </w:r>
            <w:r>
              <w:rPr>
                <w:b/>
                <w:color w:val="0F1115"/>
                <w:sz w:val="24"/>
                <w:szCs w:val="24"/>
              </w:rPr>
              <w:t>п/п</w:t>
            </w:r>
          </w:p>
        </w:tc>
        <w:tc>
          <w:tcPr>
            <w:tcW w:w="6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24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color w:val="0F1115"/>
                <w:sz w:val="24"/>
                <w:szCs w:val="24"/>
              </w:rPr>
              <w:t>Наименование продукции (тип, марка, код/артикул)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24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color w:val="0F1115"/>
                <w:sz w:val="24"/>
                <w:szCs w:val="24"/>
              </w:rPr>
              <w:t>Ед. изм.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24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color w:val="0F1115"/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yle34"/>
              <w:spacing w:lineRule="auto" w:line="3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LZ.OPL ECO LED 1200 4000K, 48Вт, 220-240В, 50/60 Гц, IP65, 6000лм, 4000К, cosφ≥0,95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yle34"/>
              <w:spacing w:lineRule="auto" w:line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yle34"/>
              <w:spacing w:lineRule="auto" w:line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>
        <w:trPr/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94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yle34"/>
              <w:spacing w:lineRule="auto" w:line="3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OWP EVO (595х595) 30W OPL 840 WH IP54/IP54, 32Вт, 3900лм, IP54/54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yle34"/>
              <w:spacing w:lineRule="auto" w:line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yle34"/>
              <w:spacing w:lineRule="auto" w:line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  <w:tr>
        <w:trPr/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94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yle34"/>
              <w:spacing w:lineRule="auto" w:line="3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OWP/R OPTIMA NEW (595х595) 30W OPL 940 WH IP54/IP40,28Вт, 2800лм, IP54/40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yle34"/>
              <w:spacing w:lineRule="auto" w:line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yle34"/>
              <w:spacing w:lineRule="auto" w:line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>
        <w:trPr/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94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yle34"/>
              <w:spacing w:lineRule="auto" w:line="3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UNI/R EVO (595x595) 20W OPL 840 WH, 20Вт, 220-240В, 50/60Гц, IP40, 2600лм 4000К, cosφ≥0,95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yle34"/>
              <w:spacing w:lineRule="auto" w:line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yle34"/>
              <w:spacing w:lineRule="auto" w:line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rPr/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394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yle34"/>
              <w:spacing w:lineRule="auto" w:line="3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UNR/EV 059(595x595) 30W OPL 940 WH, код 1884000400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yle34"/>
              <w:spacing w:lineRule="auto" w:line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yle34"/>
              <w:spacing w:lineRule="auto" w:line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>
        <w:trPr/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394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yle34"/>
              <w:spacing w:lineRule="auto" w:line="3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LZ OPL ECO LED 600 4000К, код 1074000670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yle34"/>
              <w:spacing w:lineRule="auto" w:line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yle34"/>
              <w:spacing w:lineRule="auto" w:line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394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yle34"/>
              <w:spacing w:lineRule="auto" w:line="3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0WP LED MARINE 595 IP54/IP54 4000К, код 1827000390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yle34"/>
              <w:spacing w:lineRule="auto" w:line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yle34"/>
              <w:spacing w:lineRule="auto" w:line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</w:tbl>
    <w:p>
      <w:pPr>
        <w:pStyle w:val="Normal"/>
        <w:widowControl w:val="false"/>
        <w:tabs>
          <w:tab w:val="clear" w:pos="709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09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09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09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09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09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09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Heading3"/>
        <w:numPr>
          <w:ilvl w:val="2"/>
          <w:numId w:val="3"/>
        </w:numPr>
        <w:rPr>
          <w:lang w:val="ru-RU"/>
        </w:rPr>
      </w:pPr>
      <w:r>
        <w:rPr>
          <w:lang w:val="ru-RU"/>
        </w:rPr>
        <w:t>Тр</w:t>
      </w:r>
      <w:bookmarkStart w:id="17" w:name="_Toc75446578"/>
      <w:bookmarkStart w:id="18" w:name="_Toc51339696"/>
      <w:r>
        <w:rPr>
          <w:lang w:val="ru-RU"/>
        </w:rPr>
        <w:t xml:space="preserve">ебования </w:t>
      </w:r>
      <w:bookmarkEnd w:id="18"/>
      <w:r>
        <w:rPr>
          <w:lang w:val="ru-RU"/>
        </w:rPr>
        <w:t>к срокам поставки продукции и оказания сопутствующих услуг</w:t>
      </w:r>
      <w:bookmarkEnd w:id="17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19" w:name="_Toc75446579"/>
      <w:bookmarkStart w:id="20" w:name="_Toc50125127"/>
      <w:bookmarkStart w:id="21" w:name="_Toc51339697"/>
      <w:bookmarkStart w:id="22" w:name="_Toc50125126_Копия_1"/>
      <w:bookmarkEnd w:id="22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23" w:name="_Hlk50465284"/>
      <w:r>
        <w:rPr>
          <w:sz w:val="24"/>
          <w:szCs w:val="24"/>
        </w:rPr>
        <w:t xml:space="preserve">Требования по срокам </w:t>
      </w:r>
      <w:bookmarkEnd w:id="20"/>
      <w:bookmarkEnd w:id="21"/>
      <w:bookmarkEnd w:id="23"/>
      <w:r>
        <w:rPr>
          <w:sz w:val="24"/>
          <w:szCs w:val="24"/>
          <w:lang w:val="ru-RU"/>
        </w:rPr>
        <w:t>поставки продукции</w:t>
      </w:r>
      <w:bookmarkEnd w:id="19"/>
      <w:r>
        <w:rPr>
          <w:sz w:val="24"/>
          <w:szCs w:val="24"/>
          <w:lang w:val="ru-RU"/>
        </w:rPr>
        <w:t xml:space="preserve"> </w:t>
      </w:r>
    </w:p>
    <w:tbl>
      <w:tblPr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0"/>
        <w:gridCol w:w="2550"/>
        <w:gridCol w:w="2979"/>
        <w:gridCol w:w="3116"/>
      </w:tblGrid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/>
            </w:pPr>
            <w:r>
              <w:rPr/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F1115"/>
                <w:sz w:val="24"/>
                <w:szCs w:val="24"/>
              </w:rPr>
              <w:t>Все позиции согласно Таблице 1.1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F1115"/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bookmarkStart w:id="24" w:name="_Toc46743510"/>
            <w:r>
              <w:rPr>
                <w:color w:val="0F1115"/>
                <w:sz w:val="24"/>
                <w:szCs w:val="24"/>
              </w:rPr>
              <w:t>В течение 65 календарных дней с даты заключения договора</w:t>
            </w:r>
            <w:bookmarkEnd w:id="24"/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25" w:name="_Toc51339698"/>
      <w:bookmarkStart w:id="26" w:name="_Toc75446581"/>
      <w:bookmarkStart w:id="27" w:name="_Toc46743511"/>
      <w:r>
        <w:rPr/>
        <w:t xml:space="preserve">Требования к </w:t>
      </w:r>
      <w:bookmarkEnd w:id="27"/>
      <w:r>
        <w:rPr>
          <w:lang w:val="ru-RU"/>
        </w:rPr>
        <w:t>качеству продукции</w:t>
      </w:r>
      <w:bookmarkEnd w:id="26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rStyle w:val="Style8"/>
          <w:b/>
          <w:i w:val="false"/>
          <w:i w:val="false"/>
          <w:sz w:val="24"/>
          <w:szCs w:val="24"/>
          <w:shd w:fill="auto" w:val="clear"/>
        </w:rPr>
      </w:pPr>
      <w:r>
        <w:rPr>
          <w:sz w:val="24"/>
          <w:szCs w:val="24"/>
        </w:rPr>
        <w:t xml:space="preserve"> </w:t>
      </w:r>
      <w:bookmarkStart w:id="28" w:name="_Toc75446582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качеству продукции</w:t>
      </w:r>
      <w:bookmarkEnd w:id="28"/>
      <w:r>
        <w:rPr>
          <w:sz w:val="24"/>
          <w:szCs w:val="24"/>
        </w:rPr>
        <w:t xml:space="preserve"> </w:t>
      </w:r>
      <w:bookmarkEnd w:id="25"/>
    </w:p>
    <w:p>
      <w:pPr>
        <w:pStyle w:val="Normal"/>
        <w:jc w:val="both"/>
        <w:rPr>
          <w:rStyle w:val="Style8"/>
          <w:b w:val="false"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Наименование продукции (Все позиции согласно Таблице 1.1): </w:t>
      </w:r>
    </w:p>
    <w:tbl>
      <w:tblPr>
        <w:tblStyle w:val="affff7"/>
        <w:tblW w:w="1531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243"/>
        <w:gridCol w:w="8183"/>
        <w:gridCol w:w="5889"/>
      </w:tblGrid>
      <w:tr>
        <w:trPr/>
        <w:tc>
          <w:tcPr>
            <w:tcW w:w="12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818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58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</w:tr>
      <w:tr>
        <w:trPr/>
        <w:tc>
          <w:tcPr>
            <w:tcW w:w="12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818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8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124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07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/>
        <w:tc>
          <w:tcPr>
            <w:tcW w:w="124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1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Основные технические характеристики (мощность, световой поток, цветовая температура, индекс цветопередачи, напряжение питания, степень защиты, габаритные размеры)</w:t>
            </w:r>
          </w:p>
        </w:tc>
        <w:tc>
          <w:tcPr>
            <w:tcW w:w="588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</w:tr>
      <w:tr>
        <w:trPr/>
        <w:tc>
          <w:tcPr>
            <w:tcW w:w="124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1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каждой позиции</w:t>
            </w:r>
          </w:p>
        </w:tc>
        <w:tc>
          <w:tcPr>
            <w:tcW w:w="588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в отношении каждой позиции продукции представлены в Таблице 1.1 настоящих ТТ (тип, марка, код)</w:t>
            </w:r>
          </w:p>
        </w:tc>
      </w:tr>
      <w:tr>
        <w:trPr/>
        <w:tc>
          <w:tcPr>
            <w:tcW w:w="124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07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</w:t>
            </w:r>
          </w:p>
        </w:tc>
      </w:tr>
      <w:tr>
        <w:trPr/>
        <w:tc>
          <w:tcPr>
            <w:tcW w:w="124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183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color w:val="0F1115"/>
                <w:kern w:val="0"/>
                <w:sz w:val="24"/>
                <w:szCs w:val="24"/>
                <w:lang w:val="ru-RU" w:eastAsia="ru-RU" w:bidi="ar-SA"/>
              </w:rPr>
              <w:t>Электробезопасность</w:t>
            </w:r>
          </w:p>
        </w:tc>
        <w:tc>
          <w:tcPr>
            <w:tcW w:w="5889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color w:val="0F1115"/>
                <w:kern w:val="0"/>
                <w:sz w:val="24"/>
                <w:szCs w:val="24"/>
                <w:lang w:val="ru-RU" w:eastAsia="ru-RU" w:bidi="ar-SA"/>
              </w:rPr>
              <w:t>Продукция должна соответствовать требованиям ТР ТС 004/2011 «О безопасности низковольтного оборудования», класс защиты от поражения электрическим током – II.</w:t>
            </w:r>
          </w:p>
        </w:tc>
      </w:tr>
      <w:tr>
        <w:trPr/>
        <w:tc>
          <w:tcPr>
            <w:tcW w:w="124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183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color w:val="0F1115"/>
                <w:kern w:val="0"/>
                <w:sz w:val="24"/>
                <w:szCs w:val="24"/>
                <w:lang w:val="ru-RU" w:eastAsia="ru-RU" w:bidi="ar-SA"/>
              </w:rPr>
              <w:t>Пожарная безопасность</w:t>
            </w:r>
          </w:p>
        </w:tc>
        <w:tc>
          <w:tcPr>
            <w:tcW w:w="5889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color w:val="0F1115"/>
                <w:kern w:val="0"/>
                <w:sz w:val="24"/>
                <w:szCs w:val="24"/>
                <w:lang w:val="ru-RU" w:eastAsia="ru-RU" w:bidi="ar-SA"/>
              </w:rPr>
              <w:t xml:space="preserve">Конструкция светильников должна исключать возгорание при нормальных режимах работы. </w:t>
            </w:r>
          </w:p>
        </w:tc>
      </w:tr>
      <w:tr>
        <w:trPr/>
        <w:tc>
          <w:tcPr>
            <w:tcW w:w="124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07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конструкции, изготовлению и материалам</w:t>
            </w:r>
          </w:p>
        </w:tc>
      </w:tr>
      <w:tr>
        <w:trPr/>
        <w:tc>
          <w:tcPr>
            <w:tcW w:w="124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183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color w:val="0F1115"/>
                <w:sz w:val="24"/>
                <w:szCs w:val="24"/>
              </w:rPr>
            </w:pPr>
            <w:r>
              <w:rPr>
                <w:rFonts w:eastAsia="Times New Roman" w:cs="Times New Roman"/>
                <w:color w:val="0F1115"/>
                <w:kern w:val="0"/>
                <w:sz w:val="24"/>
                <w:szCs w:val="24"/>
                <w:lang w:val="ru-RU" w:eastAsia="ru-RU" w:bidi="ar-SA"/>
              </w:rPr>
              <w:t>Материал корпуса</w:t>
            </w:r>
          </w:p>
        </w:tc>
        <w:tc>
          <w:tcPr>
            <w:tcW w:w="5889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color w:val="0F1115"/>
                <w:sz w:val="24"/>
                <w:szCs w:val="24"/>
              </w:rPr>
            </w:pPr>
            <w:r>
              <w:rPr>
                <w:rFonts w:eastAsia="Times New Roman" w:cs="Times New Roman"/>
                <w:color w:val="0F1115"/>
                <w:kern w:val="0"/>
                <w:sz w:val="24"/>
                <w:szCs w:val="24"/>
                <w:lang w:val="ru-RU" w:eastAsia="ru-RU" w:bidi="ar-SA"/>
              </w:rPr>
              <w:t>Алюминиевый сплав или сталь с антикоррозионным покрытием, обеспечивающим защиту от коррозии в условиях эксплуатации.</w:t>
            </w:r>
          </w:p>
        </w:tc>
      </w:tr>
      <w:tr>
        <w:trPr/>
        <w:tc>
          <w:tcPr>
            <w:tcW w:w="124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183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color w:val="0F1115"/>
                <w:sz w:val="24"/>
                <w:szCs w:val="24"/>
              </w:rPr>
            </w:pPr>
            <w:r>
              <w:rPr>
                <w:rFonts w:eastAsia="Times New Roman" w:cs="Times New Roman"/>
                <w:color w:val="0F1115"/>
                <w:kern w:val="0"/>
                <w:sz w:val="24"/>
                <w:szCs w:val="24"/>
                <w:lang w:val="ru-RU" w:eastAsia="ru-RU" w:bidi="ar-SA"/>
              </w:rPr>
              <w:t>Рассеиватель</w:t>
            </w:r>
          </w:p>
        </w:tc>
        <w:tc>
          <w:tcPr>
            <w:tcW w:w="5889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color w:val="0F1115"/>
                <w:sz w:val="24"/>
                <w:szCs w:val="24"/>
              </w:rPr>
            </w:pPr>
            <w:r>
              <w:rPr>
                <w:rFonts w:eastAsia="Times New Roman" w:cs="Times New Roman"/>
                <w:color w:val="0F1115"/>
                <w:kern w:val="0"/>
                <w:sz w:val="24"/>
                <w:szCs w:val="24"/>
                <w:lang w:val="ru-RU" w:eastAsia="ru-RU" w:bidi="ar-SA"/>
              </w:rPr>
              <w:t>Ударопрочный поликарбонат или стекло (в зависимости от модели). Для светильников с IP54 – герметичное исполнение.</w:t>
            </w:r>
          </w:p>
        </w:tc>
      </w:tr>
      <w:tr>
        <w:trPr/>
        <w:tc>
          <w:tcPr>
            <w:tcW w:w="124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07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</w:tr>
      <w:tr>
        <w:trPr/>
        <w:tc>
          <w:tcPr>
            <w:tcW w:w="124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183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color w:val="0F1115"/>
                <w:sz w:val="24"/>
                <w:szCs w:val="24"/>
              </w:rPr>
            </w:pPr>
            <w:r>
              <w:rPr>
                <w:rFonts w:eastAsia="Times New Roman" w:cs="Times New Roman"/>
                <w:color w:val="0F1115"/>
                <w:kern w:val="0"/>
                <w:sz w:val="24"/>
                <w:szCs w:val="24"/>
                <w:lang w:val="ru-RU" w:eastAsia="ru-RU" w:bidi="ar-SA"/>
              </w:rPr>
              <w:t>Климатическое исполнение</w:t>
            </w:r>
          </w:p>
        </w:tc>
        <w:tc>
          <w:tcPr>
            <w:tcW w:w="5889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color w:val="0F1115"/>
                <w:sz w:val="24"/>
                <w:szCs w:val="24"/>
              </w:rPr>
            </w:pPr>
            <w:r>
              <w:rPr>
                <w:rFonts w:eastAsia="Times New Roman" w:cs="Times New Roman"/>
                <w:color w:val="0F1115"/>
                <w:kern w:val="0"/>
                <w:sz w:val="24"/>
                <w:szCs w:val="24"/>
                <w:lang w:val="ru-RU" w:eastAsia="ru-RU" w:bidi="ar-SA"/>
              </w:rPr>
              <w:t>УХЛ4 (для умеренного и холодного климата) по ГОСТ 15150-69, для моделей с IP54 – допускается эксплуатация в условиях повышенной влажности.</w:t>
            </w:r>
          </w:p>
        </w:tc>
      </w:tr>
      <w:tr>
        <w:trPr/>
        <w:tc>
          <w:tcPr>
            <w:tcW w:w="124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07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>
        <w:trPr/>
        <w:tc>
          <w:tcPr>
            <w:tcW w:w="124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183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F1115"/>
                <w:kern w:val="0"/>
                <w:sz w:val="24"/>
                <w:szCs w:val="24"/>
                <w:lang w:val="ru-RU" w:eastAsia="ru-RU" w:bidi="ar-SA"/>
              </w:rPr>
              <w:br/>
              <w:t>Место поставки</w:t>
            </w:r>
          </w:p>
        </w:tc>
        <w:tc>
          <w:tcPr>
            <w:tcW w:w="5889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F1115"/>
                <w:sz w:val="24"/>
                <w:szCs w:val="24"/>
              </w:rPr>
            </w:pPr>
            <w:r>
              <w:rPr>
                <w:rFonts w:eastAsia="Times New Roman" w:cs="Times New Roman"/>
                <w:color w:val="0F1115"/>
                <w:kern w:val="0"/>
                <w:sz w:val="24"/>
                <w:szCs w:val="24"/>
                <w:lang w:val="ru-RU" w:eastAsia="ru-RU" w:bidi="ar-SA"/>
              </w:rPr>
              <w:t xml:space="preserve">Поставка осуществляется на объект Заказчика (склад) по адресу: </w:t>
            </w:r>
            <w:r>
              <w:rPr>
                <w:rFonts w:eastAsia="新細明體" w:cs="Times New Roman" w:eastAsiaTheme="minorEastAsia"/>
                <w:color w:val="0F1115"/>
                <w:kern w:val="0"/>
                <w:sz w:val="24"/>
                <w:szCs w:val="24"/>
                <w:lang w:val="ru-RU" w:eastAsia="ru-RU" w:bidi="ar-SA"/>
              </w:rPr>
              <w:t>368219, Россия, Республика Дагестан, Буйнакский район, Чиркейская ГЭС, от села Чиркей 13,5 км, координаты - 42°58′37′′ с. ш. 46°52′14′′ в. д.</w:t>
            </w:r>
          </w:p>
        </w:tc>
      </w:tr>
      <w:tr>
        <w:trPr/>
        <w:tc>
          <w:tcPr>
            <w:tcW w:w="124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183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color w:val="0F1115"/>
                <w:sz w:val="24"/>
                <w:szCs w:val="24"/>
              </w:rPr>
            </w:pPr>
            <w:r>
              <w:rPr>
                <w:rFonts w:eastAsia="Times New Roman" w:cs="Times New Roman"/>
                <w:color w:val="0F1115"/>
                <w:kern w:val="0"/>
                <w:sz w:val="24"/>
                <w:szCs w:val="24"/>
                <w:lang w:val="ru-RU" w:eastAsia="ru-RU" w:bidi="ar-SA"/>
              </w:rPr>
              <w:t>Приёмка продукции</w:t>
            </w:r>
          </w:p>
        </w:tc>
        <w:tc>
          <w:tcPr>
            <w:tcW w:w="5889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color w:val="0F1115"/>
                <w:sz w:val="24"/>
                <w:szCs w:val="24"/>
              </w:rPr>
            </w:pPr>
            <w:r>
              <w:rPr>
                <w:rFonts w:eastAsia="Times New Roman" w:cs="Times New Roman"/>
                <w:color w:val="0F1115"/>
                <w:kern w:val="0"/>
                <w:sz w:val="24"/>
                <w:szCs w:val="24"/>
                <w:lang w:val="ru-RU" w:eastAsia="ru-RU" w:bidi="ar-SA"/>
              </w:rPr>
              <w:t>Приёмка продукции производится только в рабочие дни с 9:00 до 11:00 и с 14:00 до 16:00 по местному времени</w:t>
            </w:r>
          </w:p>
        </w:tc>
      </w:tr>
      <w:tr>
        <w:trPr/>
        <w:tc>
          <w:tcPr>
            <w:tcW w:w="124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183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color w:val="0F1115"/>
                <w:sz w:val="24"/>
                <w:szCs w:val="24"/>
              </w:rPr>
            </w:pPr>
            <w:r>
              <w:rPr>
                <w:rFonts w:eastAsia="Times New Roman" w:cs="Times New Roman"/>
                <w:color w:val="0F1115"/>
                <w:kern w:val="0"/>
                <w:sz w:val="24"/>
                <w:szCs w:val="24"/>
                <w:lang w:val="ru-RU" w:eastAsia="ru-RU" w:bidi="ar-SA"/>
              </w:rPr>
              <w:t>Предоставление информации о транспорте</w:t>
            </w:r>
          </w:p>
        </w:tc>
        <w:tc>
          <w:tcPr>
            <w:tcW w:w="5889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color w:val="0F1115"/>
                <w:sz w:val="24"/>
                <w:szCs w:val="24"/>
              </w:rPr>
            </w:pPr>
            <w:r>
              <w:rPr>
                <w:rFonts w:eastAsia="Times New Roman" w:cs="Times New Roman"/>
                <w:color w:val="0F1115"/>
                <w:kern w:val="0"/>
                <w:sz w:val="24"/>
                <w:szCs w:val="24"/>
                <w:lang w:val="ru-RU" w:eastAsia="ru-RU" w:bidi="ar-SA"/>
              </w:rPr>
              <w:t>Информация о транспортном средстве, на котором осуществляется доставка (госномер, марка, время прибытия), для оформления пропуска/допуска на территорию предоставляется не позднее предыдущего рабочего дня до прибытия транспорта</w:t>
            </w:r>
          </w:p>
        </w:tc>
      </w:tr>
      <w:tr>
        <w:trPr/>
        <w:tc>
          <w:tcPr>
            <w:tcW w:w="124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183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color w:val="0F1115"/>
                <w:sz w:val="24"/>
                <w:szCs w:val="24"/>
              </w:rPr>
            </w:pPr>
            <w:r>
              <w:rPr>
                <w:rFonts w:eastAsia="Times New Roman" w:cs="Times New Roman"/>
                <w:color w:val="0F1115"/>
                <w:kern w:val="0"/>
                <w:sz w:val="24"/>
                <w:szCs w:val="24"/>
                <w:lang w:val="ru-RU" w:eastAsia="ru-RU" w:bidi="ar-SA"/>
              </w:rPr>
              <w:t>Упаковка и маркировка</w:t>
            </w:r>
          </w:p>
        </w:tc>
        <w:tc>
          <w:tcPr>
            <w:tcW w:w="5889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color w:val="0F1115"/>
                <w:sz w:val="24"/>
                <w:szCs w:val="24"/>
              </w:rPr>
            </w:pPr>
            <w:r>
              <w:rPr>
                <w:rFonts w:eastAsia="Times New Roman" w:cs="Times New Roman"/>
                <w:color w:val="0F1115"/>
                <w:kern w:val="0"/>
                <w:sz w:val="24"/>
                <w:szCs w:val="24"/>
                <w:lang w:val="ru-RU" w:eastAsia="ru-RU" w:bidi="ar-SA"/>
              </w:rPr>
              <w:t>Продукция должна быть упакована в заводскую упаковку, обеспечивающую сохранность при транспортировке и хранении. На каждой упаковке должна быть маркировка с указанием модели, количества, даты изготовления.</w:t>
            </w:r>
          </w:p>
        </w:tc>
      </w:tr>
      <w:tr>
        <w:trPr/>
        <w:tc>
          <w:tcPr>
            <w:tcW w:w="1243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183" w:type="dxa"/>
            <w:tcBorders>
              <w:top w:val="nil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color w:val="0F1115"/>
                <w:sz w:val="24"/>
                <w:szCs w:val="24"/>
              </w:rPr>
            </w:pPr>
            <w:r>
              <w:rPr>
                <w:rFonts w:eastAsia="Times New Roman" w:cs="Times New Roman"/>
                <w:color w:val="0F1115"/>
                <w:kern w:val="0"/>
                <w:sz w:val="24"/>
                <w:szCs w:val="24"/>
                <w:lang w:val="ru-RU" w:eastAsia="ru-RU" w:bidi="ar-SA"/>
              </w:rPr>
              <w:t>Транспортировка</w:t>
            </w:r>
          </w:p>
        </w:tc>
        <w:tc>
          <w:tcPr>
            <w:tcW w:w="5889" w:type="dxa"/>
            <w:tcBorders>
              <w:top w:val="nil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color w:val="0F1115"/>
                <w:sz w:val="24"/>
                <w:szCs w:val="24"/>
              </w:rPr>
            </w:pPr>
            <w:r>
              <w:rPr>
                <w:rFonts w:eastAsia="Times New Roman" w:cs="Times New Roman"/>
                <w:color w:val="0F1115"/>
                <w:kern w:val="0"/>
                <w:sz w:val="24"/>
                <w:szCs w:val="24"/>
                <w:lang w:val="ru-RU" w:eastAsia="ru-RU" w:bidi="ar-SA"/>
              </w:rPr>
              <w:t>Должна осуществляться в условиях, исключающих механические повреждения и воздействие атмосферных осадков.</w:t>
            </w:r>
          </w:p>
        </w:tc>
      </w:tr>
      <w:tr>
        <w:trPr/>
        <w:tc>
          <w:tcPr>
            <w:tcW w:w="1243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183" w:type="dxa"/>
            <w:tcBorders>
              <w:top w:val="nil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color w:val="0F1115"/>
                <w:sz w:val="24"/>
                <w:szCs w:val="24"/>
              </w:rPr>
            </w:pPr>
            <w:r>
              <w:rPr>
                <w:rFonts w:eastAsia="Times New Roman" w:cs="Times New Roman"/>
                <w:color w:val="0F1115"/>
                <w:kern w:val="0"/>
                <w:sz w:val="24"/>
                <w:szCs w:val="24"/>
                <w:lang w:val="ru-RU" w:eastAsia="ru-RU" w:bidi="ar-SA"/>
              </w:rPr>
              <w:t>Приёмка</w:t>
            </w:r>
          </w:p>
        </w:tc>
        <w:tc>
          <w:tcPr>
            <w:tcW w:w="5889" w:type="dxa"/>
            <w:tcBorders>
              <w:top w:val="nil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color w:val="0F1115"/>
                <w:sz w:val="24"/>
                <w:szCs w:val="24"/>
              </w:rPr>
            </w:pPr>
            <w:r>
              <w:rPr>
                <w:rFonts w:eastAsia="Times New Roman" w:cs="Times New Roman"/>
                <w:color w:val="0F1115"/>
                <w:kern w:val="0"/>
                <w:sz w:val="24"/>
                <w:szCs w:val="24"/>
                <w:lang w:val="ru-RU" w:eastAsia="ru-RU" w:bidi="ar-SA"/>
              </w:rPr>
              <w:t>Приёмка продукции по количеству и качеству производится в соответствии с условиями договора. Входной контроль включает проверку внешнего вида, комплектности и работоспособности.</w:t>
            </w:r>
          </w:p>
        </w:tc>
      </w:tr>
      <w:tr>
        <w:trPr/>
        <w:tc>
          <w:tcPr>
            <w:tcW w:w="124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07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4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эксплуатации, обеспечению и утилизации. </w:t>
            </w:r>
          </w:p>
        </w:tc>
      </w:tr>
      <w:tr>
        <w:trPr/>
        <w:tc>
          <w:tcPr>
            <w:tcW w:w="124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183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F1115"/>
                <w:kern w:val="0"/>
                <w:sz w:val="24"/>
                <w:szCs w:val="24"/>
                <w:lang w:val="ru-RU" w:eastAsia="ru-RU" w:bidi="ar-SA"/>
              </w:rPr>
              <w:t>Эксплуатация</w:t>
            </w:r>
          </w:p>
        </w:tc>
        <w:tc>
          <w:tcPr>
            <w:tcW w:w="5889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F1115"/>
                <w:kern w:val="0"/>
                <w:sz w:val="24"/>
                <w:szCs w:val="24"/>
                <w:lang w:val="ru-RU" w:eastAsia="ru-RU" w:bidi="ar-SA"/>
              </w:rPr>
              <w:t>Светильники должны быть рассчитаны на непрерывную работу в сети переменного тока напряжением 220 В, частотой 50 Гц.</w:t>
            </w:r>
          </w:p>
        </w:tc>
      </w:tr>
      <w:tr>
        <w:trPr/>
        <w:tc>
          <w:tcPr>
            <w:tcW w:w="1243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183" w:type="dxa"/>
            <w:tcBorders>
              <w:top w:val="nil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Утилизация</w:t>
            </w:r>
          </w:p>
        </w:tc>
        <w:tc>
          <w:tcPr>
            <w:tcW w:w="5889" w:type="dxa"/>
            <w:tcBorders>
              <w:top w:val="nil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 окончании срока службы утилизация производится в соответствии с действующим законодательством (содержат компоненты, подлежащие раздельному сбору).</w:t>
            </w:r>
          </w:p>
        </w:tc>
      </w:tr>
      <w:tr>
        <w:trPr/>
        <w:tc>
          <w:tcPr>
            <w:tcW w:w="124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07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124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183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F1115"/>
                <w:kern w:val="0"/>
                <w:sz w:val="24"/>
                <w:szCs w:val="24"/>
                <w:lang w:val="ru-RU" w:eastAsia="ru-RU" w:bidi="ar-SA"/>
              </w:rPr>
              <w:t>Гарантийный срок</w:t>
            </w:r>
          </w:p>
        </w:tc>
        <w:tc>
          <w:tcPr>
            <w:tcW w:w="5889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F1115"/>
                <w:kern w:val="0"/>
                <w:sz w:val="24"/>
                <w:szCs w:val="24"/>
                <w:lang w:val="ru-RU" w:eastAsia="ru-RU" w:bidi="ar-SA"/>
              </w:rPr>
              <w:t>На продукцию устанавливается гарантийный срок </w:t>
            </w:r>
            <w:r>
              <w:rPr>
                <w:rStyle w:val="Strong1"/>
                <w:rFonts w:eastAsia="Times New Roman" w:cs="Times New Roman"/>
                <w:b w:val="false"/>
                <w:color w:val="0F1115"/>
                <w:kern w:val="0"/>
                <w:sz w:val="24"/>
                <w:szCs w:val="24"/>
                <w:lang w:val="ru-RU" w:eastAsia="ru-RU" w:bidi="ar-SA"/>
              </w:rPr>
              <w:t>не менее 36 (тридцати шести) месяцев</w:t>
            </w:r>
            <w:r>
              <w:rPr>
                <w:rFonts w:eastAsia="Times New Roman" w:cs="Times New Roman"/>
                <w:color w:val="0F1115"/>
                <w:kern w:val="0"/>
                <w:sz w:val="24"/>
                <w:szCs w:val="24"/>
                <w:lang w:val="ru-RU" w:eastAsia="ru-RU" w:bidi="ar-SA"/>
              </w:rPr>
              <w:t> с даты подписания Сторонами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</w:t>
            </w:r>
          </w:p>
        </w:tc>
      </w:tr>
      <w:tr>
        <w:trPr/>
        <w:tc>
          <w:tcPr>
            <w:tcW w:w="124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183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F1115"/>
                <w:kern w:val="0"/>
                <w:sz w:val="24"/>
                <w:szCs w:val="24"/>
                <w:lang w:val="ru-RU" w:eastAsia="ru-RU" w:bidi="ar-SA"/>
              </w:rPr>
              <w:t>Гарантийное обслуживание</w:t>
            </w:r>
          </w:p>
        </w:tc>
        <w:tc>
          <w:tcPr>
            <w:tcW w:w="5889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F1115"/>
                <w:kern w:val="0"/>
                <w:sz w:val="24"/>
                <w:szCs w:val="24"/>
                <w:lang w:val="ru-RU" w:eastAsia="ru-RU" w:bidi="ar-SA"/>
              </w:rPr>
              <w:t>В течение гарантийного срока Поставщик обязуется за свой счет устранять дефекты, возникшие по его вине, в срок не более 30 дней с момента получения претензии</w:t>
            </w:r>
          </w:p>
        </w:tc>
      </w:tr>
      <w:tr>
        <w:trPr/>
        <w:tc>
          <w:tcPr>
            <w:tcW w:w="124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07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/>
        <w:tc>
          <w:tcPr>
            <w:tcW w:w="124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183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color w:val="0F1115"/>
                <w:sz w:val="24"/>
                <w:szCs w:val="24"/>
              </w:rPr>
            </w:pPr>
            <w:r>
              <w:rPr>
                <w:rFonts w:eastAsia="Times New Roman" w:cs="Times New Roman"/>
                <w:color w:val="0F1115"/>
                <w:kern w:val="0"/>
                <w:sz w:val="24"/>
                <w:szCs w:val="24"/>
                <w:lang w:val="ru-RU" w:eastAsia="ru-RU" w:bidi="ar-SA"/>
              </w:rPr>
              <w:t>Документы, передаваемые с продукцией</w:t>
            </w:r>
          </w:p>
        </w:tc>
        <w:tc>
          <w:tcPr>
            <w:tcW w:w="5889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color w:val="0F1115"/>
                <w:kern w:val="0"/>
                <w:sz w:val="24"/>
                <w:szCs w:val="24"/>
                <w:lang w:val="ru-RU" w:eastAsia="ru-RU" w:bidi="ar-SA"/>
              </w:rPr>
              <w:t>Поставщик обязан одновременно с передачей продукции передать Покупателю относящиеся к ней документы, оформленные надлежащим образом, </w:t>
            </w:r>
            <w:r>
              <w:rPr>
                <w:rStyle w:val="Strong1"/>
                <w:rFonts w:eastAsia="Times New Roman" w:cs="Times New Roman"/>
                <w:color w:val="0F1115"/>
                <w:kern w:val="0"/>
                <w:sz w:val="24"/>
                <w:szCs w:val="24"/>
                <w:lang w:val="ru-RU" w:eastAsia="ru-RU" w:bidi="ar-SA"/>
              </w:rPr>
              <w:t>в</w:t>
            </w:r>
            <w:r>
              <w:rPr>
                <w:rStyle w:val="Strong1"/>
                <w:rFonts w:eastAsia="Times New Roman" w:cs="Times New Roman"/>
                <w:b w:val="false"/>
                <w:bCs w:val="false"/>
                <w:color w:val="0F1115"/>
                <w:kern w:val="0"/>
                <w:sz w:val="24"/>
                <w:szCs w:val="24"/>
                <w:lang w:val="ru-RU" w:eastAsia="ru-RU" w:bidi="ar-SA"/>
              </w:rPr>
              <w:t xml:space="preserve"> электронном виде</w:t>
            </w:r>
            <w:r>
              <w:rPr>
                <w:rFonts w:eastAsia="Times New Roman" w:cs="Times New Roman"/>
                <w:color w:val="0F1115"/>
                <w:kern w:val="0"/>
                <w:sz w:val="24"/>
                <w:szCs w:val="24"/>
                <w:lang w:val="ru-RU" w:eastAsia="ru-RU" w:bidi="ar-SA"/>
              </w:rPr>
              <w:t xml:space="preserve"> и на бумажном носителе):</w:t>
              <w:br/>
              <w:t>• инструкции по монтажу и эксплуатации на русском языке;</w:t>
              <w:br/>
              <w:t>• сертификаты качества;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F1115"/>
                <w:sz w:val="24"/>
                <w:szCs w:val="24"/>
              </w:rPr>
            </w:pPr>
            <w:r>
              <w:rPr>
                <w:rFonts w:eastAsia="Times New Roman" w:cs="Times New Roman"/>
                <w:color w:val="0F1115"/>
                <w:kern w:val="0"/>
                <w:sz w:val="24"/>
                <w:szCs w:val="24"/>
                <w:lang w:val="ru-RU" w:eastAsia="ru-RU" w:bidi="ar-SA"/>
              </w:rPr>
              <w:t xml:space="preserve">• </w:t>
            </w:r>
            <w:r>
              <w:rPr>
                <w:rFonts w:eastAsia="Times New Roman" w:cs="Times New Roman"/>
                <w:color w:val="0F1115"/>
                <w:kern w:val="0"/>
                <w:sz w:val="24"/>
                <w:szCs w:val="24"/>
                <w:lang w:val="ru-RU" w:eastAsia="ru-RU" w:bidi="ar-SA"/>
              </w:rPr>
              <w:t>паспорта качества;</w:t>
              <w:br/>
              <w:t>• УПД или товарную накладную унифицированной формы ТОРГ-12 в 2 экз.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color w:val="0F1115"/>
                <w:sz w:val="24"/>
                <w:szCs w:val="24"/>
              </w:rPr>
            </w:pPr>
            <w:r>
              <w:rPr>
                <w:rFonts w:eastAsia="Times New Roman" w:cs="Times New Roman"/>
                <w:color w:val="0F1115"/>
                <w:kern w:val="0"/>
                <w:sz w:val="24"/>
                <w:szCs w:val="24"/>
                <w:lang w:val="ru-RU" w:eastAsia="ru-RU" w:bidi="ar-SA"/>
              </w:rPr>
              <w:t xml:space="preserve">• </w:t>
            </w:r>
            <w:r>
              <w:rPr>
                <w:rFonts w:eastAsia="Times New Roman" w:cs="Times New Roman"/>
                <w:color w:val="0F1115"/>
                <w:kern w:val="0"/>
                <w:sz w:val="24"/>
                <w:szCs w:val="24"/>
                <w:lang w:val="ru-RU" w:eastAsia="ru-RU" w:bidi="ar-SA"/>
              </w:rPr>
              <w:t>(при необходимости)  крепёжные элементы, предусмотренными конструкцией.</w:t>
            </w:r>
          </w:p>
        </w:tc>
      </w:tr>
      <w:tr>
        <w:trPr/>
        <w:tc>
          <w:tcPr>
            <w:tcW w:w="124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07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Cs/>
                <w:color w:val="0F1115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F1115"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</w:tr>
      <w:tr>
        <w:trPr/>
        <w:tc>
          <w:tcPr>
            <w:tcW w:w="124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183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F1115"/>
                <w:kern w:val="0"/>
                <w:sz w:val="24"/>
                <w:szCs w:val="24"/>
                <w:lang w:val="ru-RU" w:eastAsia="ru-RU" w:bidi="ar-SA"/>
              </w:rPr>
              <w:t>Соответствие стандартам</w:t>
            </w:r>
          </w:p>
        </w:tc>
        <w:tc>
          <w:tcPr>
            <w:tcW w:w="5889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F1115"/>
                <w:kern w:val="0"/>
                <w:sz w:val="24"/>
                <w:szCs w:val="24"/>
                <w:lang w:val="ru-RU" w:eastAsia="ru-RU" w:bidi="ar-SA"/>
              </w:rPr>
              <w:t>Продукция должна соответствовать требованиям: ГОСТ Р 54350-2015 (Светотехнические изделия. Общие технические условия), ТР ТС 020/2011 «Электромагнитная совместимость технических средств».</w:t>
            </w:r>
          </w:p>
        </w:tc>
      </w:tr>
      <w:tr>
        <w:trPr/>
        <w:tc>
          <w:tcPr>
            <w:tcW w:w="124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07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экономическим параметрам</w:t>
            </w:r>
          </w:p>
        </w:tc>
      </w:tr>
      <w:tr>
        <w:trPr/>
        <w:tc>
          <w:tcPr>
            <w:tcW w:w="124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183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F1115"/>
                <w:kern w:val="0"/>
                <w:sz w:val="24"/>
                <w:szCs w:val="24"/>
                <w:lang w:val="ru-RU" w:eastAsia="ru-RU" w:bidi="ar-SA"/>
              </w:rPr>
              <w:t>Цена продукции</w:t>
            </w:r>
          </w:p>
        </w:tc>
        <w:tc>
          <w:tcPr>
            <w:tcW w:w="5889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F1115"/>
                <w:kern w:val="0"/>
                <w:sz w:val="24"/>
                <w:szCs w:val="24"/>
                <w:lang w:val="ru-RU" w:eastAsia="ru-RU" w:bidi="ar-SA"/>
              </w:rPr>
              <w:t>Цена единицы продукции фиксируется в спецификации договора и не подлежит изменению в ходе поставки, если иное не предусмотрено договором</w:t>
            </w:r>
          </w:p>
        </w:tc>
      </w:tr>
      <w:tr>
        <w:trPr/>
        <w:tc>
          <w:tcPr>
            <w:tcW w:w="124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07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обязательствам Поставщика, влияющим на исполнение договора</w:t>
            </w:r>
          </w:p>
        </w:tc>
      </w:tr>
      <w:tr>
        <w:trPr/>
        <w:tc>
          <w:tcPr>
            <w:tcW w:w="124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183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F1115"/>
                <w:kern w:val="0"/>
                <w:sz w:val="24"/>
                <w:szCs w:val="24"/>
                <w:lang w:val="ru-RU" w:eastAsia="ru-RU" w:bidi="ar-SA"/>
              </w:rPr>
              <w:t>Замена бракованной продукции</w:t>
            </w:r>
          </w:p>
        </w:tc>
        <w:tc>
          <w:tcPr>
            <w:tcW w:w="5889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F1115"/>
                <w:kern w:val="0"/>
                <w:sz w:val="24"/>
                <w:szCs w:val="24"/>
                <w:lang w:val="ru-RU" w:eastAsia="ru-RU" w:bidi="ar-SA"/>
              </w:rPr>
              <w:t>В случае выявления брака или несоответствия продукции требованиям, Поставщик обязан заменить продукцию за свой счет в течение 30 дней с момента получения уведомления</w:t>
            </w:r>
          </w:p>
        </w:tc>
      </w:tr>
      <w:tr>
        <w:trPr/>
        <w:tc>
          <w:tcPr>
            <w:tcW w:w="124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07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Прочие (дополнительные) требования к продукции</w:t>
            </w:r>
          </w:p>
        </w:tc>
      </w:tr>
      <w:tr>
        <w:trPr/>
        <w:tc>
          <w:tcPr>
            <w:tcW w:w="124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183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F1115"/>
                <w:kern w:val="0"/>
                <w:sz w:val="24"/>
                <w:szCs w:val="24"/>
                <w:lang w:val="ru-RU" w:eastAsia="ru-RU" w:bidi="ar-SA"/>
              </w:rPr>
              <w:t>Новизна продукции</w:t>
            </w:r>
          </w:p>
        </w:tc>
        <w:tc>
          <w:tcPr>
            <w:tcW w:w="5889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F1115"/>
                <w:kern w:val="0"/>
                <w:sz w:val="24"/>
                <w:szCs w:val="24"/>
                <w:lang w:val="ru-RU" w:eastAsia="ru-RU" w:bidi="ar-SA"/>
              </w:rPr>
              <w:t>Продукция должна быть новой (не бывшей в употреблении, не восстановленной, не прошедшей ремонт или замену составных частей, без восстановленных потребительских свойств)</w:t>
            </w:r>
          </w:p>
        </w:tc>
      </w:tr>
      <w:tr>
        <w:trPr/>
        <w:tc>
          <w:tcPr>
            <w:tcW w:w="124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183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F1115"/>
                <w:kern w:val="0"/>
                <w:sz w:val="24"/>
                <w:szCs w:val="24"/>
                <w:lang w:val="ru-RU" w:eastAsia="ru-RU" w:bidi="ar-SA"/>
              </w:rPr>
              <w:t>Комплектность</w:t>
            </w:r>
          </w:p>
        </w:tc>
        <w:tc>
          <w:tcPr>
            <w:tcW w:w="5889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F1115"/>
                <w:kern w:val="0"/>
                <w:sz w:val="24"/>
                <w:szCs w:val="24"/>
                <w:lang w:val="ru-RU" w:eastAsia="ru-RU" w:bidi="ar-SA"/>
              </w:rPr>
              <w:t>Продукция должна быть укомплектована всеми необходимыми документами, выполнение требований которых является условием для гарантийных обязательств производителя или поставщика</w:t>
            </w:r>
          </w:p>
        </w:tc>
      </w:tr>
      <w:tr>
        <w:trPr/>
        <w:tc>
          <w:tcPr>
            <w:tcW w:w="124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183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color w:val="0F1115"/>
                <w:sz w:val="24"/>
                <w:szCs w:val="24"/>
              </w:rPr>
            </w:pPr>
            <w:r>
              <w:rPr>
                <w:rFonts w:eastAsia="Times New Roman" w:cs="Times New Roman"/>
                <w:color w:val="0F1115"/>
                <w:kern w:val="0"/>
                <w:sz w:val="24"/>
                <w:szCs w:val="24"/>
                <w:lang w:val="ru-RU" w:eastAsia="ru-RU" w:bidi="ar-SA"/>
              </w:rPr>
              <w:t>Происхождение продукции</w:t>
            </w:r>
          </w:p>
        </w:tc>
        <w:tc>
          <w:tcPr>
            <w:tcW w:w="5889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color w:val="0F1115"/>
                <w:sz w:val="24"/>
                <w:szCs w:val="24"/>
              </w:rPr>
            </w:pPr>
            <w:r>
              <w:rPr>
                <w:rFonts w:eastAsia="Times New Roman" w:cs="Times New Roman"/>
                <w:color w:val="0F1115"/>
                <w:kern w:val="0"/>
                <w:sz w:val="24"/>
                <w:szCs w:val="24"/>
                <w:lang w:val="ru-RU" w:eastAsia="ru-RU" w:bidi="ar-SA"/>
              </w:rPr>
              <w:t>Не установлено требований по происхождению продукции (допускается поставка российского и иностранного производства)</w:t>
            </w:r>
          </w:p>
        </w:tc>
      </w:tr>
    </w:tbl>
    <w:p>
      <w:pPr>
        <w:pStyle w:val="Normal"/>
        <w:jc w:val="center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p>
      <w:pPr>
        <w:pStyle w:val="Heading3"/>
        <w:numPr>
          <w:ilvl w:val="2"/>
          <w:numId w:val="3"/>
        </w:numPr>
        <w:ind w:left="1276" w:hanging="556"/>
        <w:rPr>
          <w:lang w:val="ru-RU"/>
        </w:rPr>
      </w:pPr>
      <w:bookmarkStart w:id="29" w:name="_Hlk140587872"/>
      <w:r>
        <w:rPr/>
        <w:tab/>
        <w:t>В составе заявки необходимо предоставить</w:t>
      </w:r>
      <w:r>
        <w:rPr>
          <w:lang w:val="ru-RU"/>
        </w:rPr>
        <w:t>:</w:t>
      </w:r>
      <w:bookmarkEnd w:id="29"/>
    </w:p>
    <w:p>
      <w:pPr>
        <w:pStyle w:val="Ds-markdown-paragraph"/>
        <w:numPr>
          <w:ilvl w:val="0"/>
          <w:numId w:val="8"/>
        </w:numPr>
        <w:shd w:val="clear" w:color="auto" w:fill="FFFFFF"/>
        <w:spacing w:before="280" w:afterAutospacing="0" w:after="0"/>
        <w:ind w:left="0" w:firstLine="709"/>
        <w:jc w:val="both"/>
        <w:rPr>
          <w:color w:val="0F1115"/>
        </w:rPr>
      </w:pPr>
      <w:r>
        <w:rPr>
          <w:bCs/>
        </w:rPr>
        <w:t>Коммерческое</w:t>
      </w:r>
      <w:r>
        <w:rPr>
          <w:color w:val="0F1115"/>
        </w:rPr>
        <w:t xml:space="preserve"> предложение, подготовленное в соответствии с настоящими ТТ, по форме, установленной в Документации о закупке (подтверждающее согласие поставить продукцию, полностью соответствующую требованиям).</w:t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bookmarkStart w:id="30" w:name="_Toc75446583"/>
      <w:bookmarkStart w:id="31" w:name="_Toc53393312"/>
      <w:r>
        <w:rPr>
          <w:lang w:val="ru-RU"/>
        </w:rPr>
        <w:t>Требования к документации по ценообразованию</w:t>
      </w:r>
      <w:bookmarkEnd w:id="31"/>
      <w:r>
        <w:rPr>
          <w:lang w:val="ru-RU"/>
        </w:rPr>
        <w:t xml:space="preserve"> на этапе закупки</w:t>
      </w:r>
      <w:bookmarkEnd w:id="30"/>
    </w:p>
    <w:p>
      <w:pPr>
        <w:pStyle w:val="Ds-markdown-paragraph"/>
        <w:numPr>
          <w:ilvl w:val="0"/>
          <w:numId w:val="9"/>
        </w:numPr>
        <w:shd w:val="clear" w:color="auto" w:fill="FFFFFF"/>
        <w:tabs>
          <w:tab w:val="clear" w:pos="709"/>
        </w:tabs>
        <w:spacing w:before="280" w:afterAutospacing="0" w:after="0"/>
        <w:ind w:left="0" w:firstLine="709"/>
        <w:jc w:val="both"/>
        <w:rPr>
          <w:color w:val="0F1115"/>
        </w:rPr>
      </w:pPr>
      <w:r>
        <w:rPr>
          <w:color w:val="0F1115"/>
        </w:rPr>
        <w:t>В обоснование стоимости своей заявки Участник предоставляет Коммерческое предложение, с указанием цены за единицу каждой позиции из Таблицы 1.1.</w:t>
      </w:r>
    </w:p>
    <w:p>
      <w:pPr>
        <w:pStyle w:val="Ds-markdown-paragraph"/>
        <w:numPr>
          <w:ilvl w:val="0"/>
          <w:numId w:val="9"/>
        </w:numPr>
        <w:shd w:val="clear" w:color="auto" w:fill="FFFFFF"/>
        <w:tabs>
          <w:tab w:val="clear" w:pos="709"/>
        </w:tabs>
        <w:spacing w:before="280" w:afterAutospacing="0" w:after="0"/>
        <w:ind w:left="0" w:firstLine="709"/>
        <w:jc w:val="both"/>
        <w:rPr>
          <w:rFonts w:eastAsia="Calibri"/>
          <w:b/>
          <w:iCs/>
          <w:lang w:val="x-none" w:eastAsia="x-none"/>
        </w:rPr>
      </w:pPr>
      <w:r>
        <w:rPr>
          <w:color w:val="0F1115"/>
        </w:rPr>
        <w:t>Дополнительные документы по ценообразованию в состав заявки не включаются.</w:t>
      </w:r>
      <w:r>
        <w:rPr>
          <w:iCs/>
        </w:rPr>
        <w:t xml:space="preserve"> </w:t>
      </w:r>
    </w:p>
    <w:p>
      <w:pPr>
        <w:pStyle w:val="Ds-markdown-paragraph"/>
        <w:shd w:val="clear" w:color="auto" w:fill="FFFFFF"/>
        <w:spacing w:before="280" w:afterAutospacing="0" w:after="0"/>
        <w:jc w:val="both"/>
        <w:rPr>
          <w:rFonts w:eastAsia="Calibri"/>
          <w:b/>
          <w:iCs/>
          <w:lang w:val="x-none" w:eastAsia="x-none"/>
        </w:rPr>
      </w:pPr>
      <w:r>
        <w:rPr>
          <w:rFonts w:eastAsia="Calibri"/>
          <w:b/>
          <w:iCs/>
          <w:lang w:val="x-none" w:eastAsia="x-none"/>
        </w:rPr>
      </w:r>
    </w:p>
    <w:p>
      <w:pPr>
        <w:pStyle w:val="Heading1"/>
        <w:keepLines/>
        <w:numPr>
          <w:ilvl w:val="0"/>
          <w:numId w:val="3"/>
        </w:numPr>
        <w:ind w:left="357" w:hanging="357"/>
        <w:jc w:val="both"/>
        <w:rPr>
          <w:lang w:val="ru-RU"/>
        </w:rPr>
      </w:pPr>
      <w:bookmarkStart w:id="32" w:name="_Toc75446584"/>
      <w:r>
        <w:rPr>
          <w:lang w:val="ru-RU"/>
        </w:rPr>
        <w:t>Требования к документации по ценообразованию на этапе заключения (исполнения) договора</w:t>
      </w:r>
      <w:bookmarkEnd w:id="32"/>
    </w:p>
    <w:p>
      <w:pPr>
        <w:pStyle w:val="Normal"/>
        <w:jc w:val="both"/>
        <w:rPr>
          <w:i/>
          <w:i/>
          <w:iCs/>
          <w:sz w:val="24"/>
          <w:szCs w:val="24"/>
          <w:shd w:fill="FFFF99" w:val="clear"/>
        </w:rPr>
      </w:pPr>
      <w:bookmarkStart w:id="33" w:name="_Toc46743519"/>
      <w:bookmarkStart w:id="34" w:name="_Toc51339699"/>
      <w:r>
        <w:rPr>
          <w:color w:val="0F1115"/>
          <w:sz w:val="24"/>
          <w:szCs w:val="24"/>
          <w:shd w:fill="FFFFFF" w:val="clear"/>
        </w:rPr>
        <w:t>Дополнительная документация по ценообразованию на этапе заключения (исполнения) договора не требуется. Цена договора формируется как сумма произведений цены единицы продукции на фактически поставленное количество в пределах общей стоимости договора.</w:t>
      </w:r>
      <w:bookmarkEnd w:id="33"/>
      <w:bookmarkEnd w:id="34"/>
    </w:p>
    <w:sectPr>
      <w:headerReference w:type="default" r:id="rId5"/>
      <w:headerReference w:type="first" r:id="rId6"/>
      <w:type w:val="nextPage"/>
      <w:pgSz w:orient="landscape" w:w="16838" w:h="11906"/>
      <w:pgMar w:left="992" w:right="567" w:gutter="0" w:header="680" w:top="851" w:footer="0" w:bottom="851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95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46da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0"/>
        <w:numId w:val="0"/>
      </w:numPr>
      <w:tabs>
        <w:tab w:val="clear" w:pos="709"/>
        <w:tab w:val="left" w:pos="0" w:leader="none"/>
      </w:tabs>
      <w:ind w:left="432" w:hanging="432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1" w:customStyle="1">
    <w:name w:val="Strong1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Ссылка указателя"/>
    <w:qFormat/>
    <w:rPr/>
  </w:style>
  <w:style w:type="character" w:styleId="Strong">
    <w:name w:val="Strong"/>
    <w:qFormat/>
    <w:rPr>
      <w:b/>
      <w:bCs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9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9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9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" w:customStyle="1">
    <w:name w:val="caption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eastAsia="Calibri" w:ascii="Times New Roman" w:hAnsi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9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9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Ds-markdown-paragraph" w:customStyle="1">
    <w:name w:val="ds-markdown-paragraph"/>
    <w:basedOn w:val="Normal"/>
    <w:qFormat/>
    <w:rsid w:val="00c270b3"/>
    <w:pPr>
      <w:spacing w:beforeAutospacing="1" w:afterAutospacing="1"/>
    </w:pPr>
    <w:rPr>
      <w:sz w:val="24"/>
      <w:szCs w:val="24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Style34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5" w:customStyle="1">
    <w:name w:val="Заголовок таблицы"/>
    <w:basedOn w:val="Style34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7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4BD3E-001B-44A4-B444-047779E80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Application>AlterOffice/3.4.0.9$Linux_X86_64 LibreOffice_project/b8daf9e823b1a5463a2f48435ddc2e8696e7d4fc</Application>
  <AppVersion>15.0000</AppVersion>
  <Pages>10</Pages>
  <Words>1277</Words>
  <Characters>8626</Characters>
  <CharactersWithSpaces>9689</CharactersWithSpaces>
  <Paragraphs>214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2026-05-28T13:11:00Z</dcterms:created>
  <dc:creator>Быстров Олег Геннадьевич</dc:creator>
  <dc:description/>
  <dc:language>ru-RU</dc:language>
  <cp:lastModifiedBy>smirnovss@corp.gidroogk.com</cp:lastModifiedBy>
  <cp:lastPrinted>2006-07-26T14:04:00Z</cp:lastPrinted>
  <dcterms:modified xsi:type="dcterms:W3CDTF">2026-08-18T17:54:17Z</dcterms:modified>
  <cp:revision>15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