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5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8.xml" ContentType="application/vnd.openxmlformats-officedocument.wordprocessingml.header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fffc"/>
        <w:tblW w:w="97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firstRow="1" w:lastRow="0" w:firstColumn="1" w:lastColumn="0"/>
      </w:tblPr>
      <w:tblGrid>
        <w:gridCol w:w="4106"/>
        <w:gridCol w:w="5663"/>
      </w:tblGrid>
      <w:tr>
        <w:trPr>
          <w:trHeight w:val="2465" w:hRule="atLeast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righ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righ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</w:tbl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Технические требования </w:t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Выполнение работ по монтажу технологических систем</w:t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г/а ст. №7 Нижегородской ГЭС</w:t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Лот №</w:t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770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6"/>
              <w:rFonts w:eastAsia="Calibri"/>
            </w:rPr>
            <w:instrText xml:space="preserve"> TOC \z \o "1-4" \u \h</w:instrText>
          </w:r>
          <w:r>
            <w:rPr>
              <w:webHidden/>
              <w:rStyle w:val="Style16"/>
              <w:rFonts w:eastAsia="Calibri"/>
            </w:rPr>
            <w:fldChar w:fldCharType="separate"/>
          </w:r>
          <w:hyperlink w:anchor="_Toc214985829">
            <w:r>
              <w:rPr>
                <w:webHidden/>
                <w:rStyle w:val="Style16"/>
                <w:rFonts w:eastAsia="Calibri"/>
              </w:rPr>
              <w:t>1.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_Toc214985829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14985830">
            <w:r>
              <w:rPr>
                <w:webHidden/>
                <w:rStyle w:val="Style16"/>
                <w:rFonts w:eastAsia="Calibri"/>
                <w:iCs/>
              </w:rPr>
              <w:t>1.1.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_Toc214985830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14985831">
            <w:r>
              <w:rPr>
                <w:webHidden/>
                <w:rStyle w:val="Style16"/>
                <w:rFonts w:eastAsia="Calibri"/>
                <w:iCs/>
              </w:rPr>
              <w:t>1.2.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_Toc214985831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14985832">
            <w:r>
              <w:rPr>
                <w:webHidden/>
                <w:rStyle w:val="Style16"/>
                <w:rFonts w:eastAsia="Calibri"/>
                <w:iCs/>
              </w:rPr>
              <w:t>1.3.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</w:rPr>
              <w:t>Цель выполнения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_Toc214985832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14985833">
            <w:r>
              <w:rPr>
                <w:webHidden/>
                <w:rStyle w:val="Style16"/>
                <w:rFonts w:eastAsia="Calibri"/>
                <w:iCs/>
              </w:rPr>
              <w:t>1.4.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</w:rPr>
              <w:t>Существующее положение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_Toc214985833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770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14985834">
            <w:r>
              <w:rPr>
                <w:webHidden/>
                <w:rStyle w:val="Style16"/>
                <w:rFonts w:eastAsia="Calibri"/>
              </w:rPr>
              <w:t>Таблица 1. Перечень объектов заказчика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_Toc214985834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14985835">
            <w:r>
              <w:rPr>
                <w:webHidden/>
                <w:rStyle w:val="Style16"/>
                <w:rFonts w:eastAsia="Calibri"/>
                <w:iCs/>
              </w:rPr>
              <w:t>1.5.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_Toc214985835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14985836">
            <w:r>
              <w:rPr>
                <w:webHidden/>
                <w:rStyle w:val="Style16"/>
                <w:rFonts w:eastAsia="Calibri"/>
                <w:iCs/>
              </w:rPr>
              <w:t>1.6.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</w:rPr>
              <w:t>Иные требования и сведения общего характера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_Toc214985836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770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14985837">
            <w:r>
              <w:rPr>
                <w:webHidden/>
                <w:rStyle w:val="Style16"/>
                <w:rFonts w:eastAsia="Calibri"/>
              </w:rPr>
              <w:t>2.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_Toc214985837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14985838">
            <w:r>
              <w:rPr>
                <w:webHidden/>
                <w:rStyle w:val="Style16"/>
                <w:rFonts w:eastAsia="Calibri"/>
                <w:iCs/>
              </w:rPr>
              <w:t>2.1.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</w:rPr>
              <w:t>Требования к объемам и срокам выполнения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_Toc214985838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770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14985839">
            <w:r>
              <w:rPr>
                <w:webHidden/>
                <w:rStyle w:val="Style16"/>
                <w:rFonts w:eastAsia="Calibri"/>
              </w:rPr>
              <w:t>2.1.1.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</w:rPr>
              <w:t>Требования к видам и объемам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_Toc214985839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770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14985840">
            <w:r>
              <w:rPr>
                <w:webHidden/>
                <w:rStyle w:val="Style16"/>
                <w:rFonts w:eastAsia="Calibri"/>
              </w:rPr>
              <w:t>Таблица 2. Перечень и объем выполняемых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_Toc214985840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770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14985841">
            <w:r>
              <w:rPr>
                <w:webHidden/>
                <w:rStyle w:val="Style16"/>
                <w:rFonts w:eastAsia="Calibri"/>
              </w:rPr>
              <w:t>Таблица 3. Требования по срокам выполнения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_Toc214985841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770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14985842">
            <w:r>
              <w:rPr>
                <w:webHidden/>
                <w:rStyle w:val="Style16"/>
                <w:rFonts w:eastAsia="Calibri"/>
              </w:rPr>
              <w:t>Таблица 4. Требования к качеству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_Toc214985842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vanish w:val="false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770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14985843">
            <w:r>
              <w:rPr>
                <w:webHidden/>
                <w:rStyle w:val="Style16"/>
                <w:rFonts w:eastAsia="Calibri"/>
              </w:rPr>
              <w:t>3.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</w:rPr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_Toc214985843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vanish w:val="false"/>
              </w:rPr>
              <w:tab/>
              <w:t>19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770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14985844">
            <w:r>
              <w:rPr>
                <w:webHidden/>
                <w:rStyle w:val="Style16"/>
                <w:rFonts w:eastAsia="Calibri"/>
              </w:rPr>
              <w:t>4.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</w:rPr>
              <w:t>Требования к документации по ценообразованию на этапе заключения (исполнения) договора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_Toc214985844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vanish w:val="false"/>
              </w:rPr>
              <w:tab/>
              <w:t>20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770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14985845">
            <w:r>
              <w:rPr>
                <w:webHidden/>
                <w:rStyle w:val="Style16"/>
                <w:rFonts w:eastAsia="Calibri"/>
              </w:rPr>
              <w:t>5.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iCs/>
              </w:rPr>
              <w:t>Приложения: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_Toc214985845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vanish w:val="false"/>
              </w:rPr>
              <w:tab/>
              <w:t>21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6"/>
              <w:vanish w:val="false"/>
            </w:rPr>
            <w:fldChar w:fldCharType="end"/>
          </w:r>
        </w:p>
      </w:sdtContent>
    </w:sdt>
    <w:p>
      <w:pPr>
        <w:pStyle w:val="TOC1"/>
        <w:tabs>
          <w:tab w:val="clear" w:pos="708"/>
          <w:tab w:val="left" w:pos="560" w:leader="none"/>
          <w:tab w:val="right" w:pos="9770" w:leader="dot"/>
        </w:tabs>
        <w:rPr>
          <w:rFonts w:ascii="Calibri" w:hAnsi="Calibri" w:eastAsia="新細明體" w:cs="Arial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新細明體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TOC1"/>
        <w:tabs>
          <w:tab w:val="clear" w:pos="708"/>
          <w:tab w:val="left" w:pos="560" w:leader="none"/>
          <w:tab w:val="right" w:pos="9770" w:leader="dot"/>
        </w:tabs>
        <w:rPr>
          <w:rFonts w:ascii="Calibri" w:hAnsi="Calibri" w:eastAsia="新細明體" w:cs="Arial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新細明體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Heading2"/>
        <w:tabs>
          <w:tab w:val="clear" w:pos="0"/>
        </w:tabs>
        <w:ind w:left="0" w:hanging="0"/>
        <w:rPr>
          <w:b w:val="false"/>
        </w:rPr>
      </w:pPr>
      <w:r>
        <w:rPr>
          <w:b w:val="false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sz w:val="24"/>
          <w:szCs w:val="24"/>
          <w:lang w:val="ru-RU"/>
        </w:rPr>
      </w:pPr>
      <w:bookmarkStart w:id="0" w:name="_Toc214985829"/>
      <w:bookmarkStart w:id="1" w:name="_Toc51339692"/>
      <w:r>
        <w:rPr>
          <w:sz w:val="24"/>
          <w:szCs w:val="24"/>
          <w:lang w:val="ru-RU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rPr>
          <w:rStyle w:val="Style8"/>
          <w:b/>
          <w:i w:val="false"/>
          <w:i w:val="false"/>
          <w:shd w:fill="auto" w:val="clear"/>
        </w:rPr>
      </w:pPr>
      <w:bookmarkStart w:id="2" w:name="_Toc214985830"/>
      <w:bookmarkStart w:id="3" w:name="_Toc46743505"/>
      <w:r>
        <w:rPr/>
        <w:t>Обозначения и сокращения</w:t>
      </w:r>
      <w:bookmarkEnd w:id="2"/>
      <w:bookmarkEnd w:id="3"/>
    </w:p>
    <w:tbl>
      <w:tblPr>
        <w:tblW w:w="98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036"/>
        <w:gridCol w:w="7775"/>
      </w:tblGrid>
      <w:tr>
        <w:trPr>
          <w:trHeight w:val="827" w:hRule="exact"/>
          <w:cantSplit w:val="true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*.dwg, *.vsd, *.dос, *.хls.</w:t>
            </w:r>
          </w:p>
        </w:tc>
        <w:tc>
          <w:tcPr>
            <w:tcW w:w="7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-120" w:leader="none"/>
                <w:tab w:val="left" w:pos="284" w:leader="none"/>
                <w:tab w:val="left" w:pos="426" w:leader="none"/>
                <w:tab w:val="left" w:pos="840" w:leader="none"/>
              </w:tabs>
              <w:spacing w:before="120" w:after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Формат файлов в электронном виде.</w:t>
            </w:r>
          </w:p>
        </w:tc>
      </w:tr>
      <w:tr>
        <w:trPr>
          <w:trHeight w:val="1315" w:hRule="exact"/>
          <w:cantSplit w:val="true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Генеральный подрядчик</w:t>
            </w:r>
          </w:p>
        </w:tc>
        <w:tc>
          <w:tcPr>
            <w:tcW w:w="7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-120" w:leader="none"/>
                <w:tab w:val="left" w:pos="284" w:leader="none"/>
                <w:tab w:val="left" w:pos="426" w:leader="none"/>
                <w:tab w:val="left" w:pos="840" w:leader="none"/>
              </w:tabs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АО «Гидроремонт-ВКК», 603140, г. Нижний Новгород, пер. Мотальный, д.8 помещ. ВП31, офис С1А,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-120" w:leader="none"/>
                <w:tab w:val="left" w:pos="284" w:leader="none"/>
                <w:tab w:val="left" w:pos="426" w:leader="none"/>
                <w:tab w:val="left" w:pos="840" w:leader="none"/>
              </w:tabs>
              <w:jc w:val="both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</w:rPr>
              <w:t xml:space="preserve">Саяно-Шушенский филиал АО «Гидроремонт-ВКК» в рп. Черемушки, 655619, Республика Хакасия, г. Саяногорск, рп. </w:t>
            </w:r>
            <w:r>
              <w:rPr>
                <w:iCs/>
                <w:sz w:val="24"/>
                <w:szCs w:val="24"/>
                <w:lang w:val="en-US"/>
              </w:rPr>
              <w:t>Черемушки, д. 103.</w:t>
            </w:r>
          </w:p>
        </w:tc>
      </w:tr>
      <w:tr>
        <w:trPr>
          <w:trHeight w:val="412" w:hRule="exact"/>
          <w:cantSplit w:val="true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г/а</w:t>
            </w:r>
          </w:p>
        </w:tc>
        <w:tc>
          <w:tcPr>
            <w:tcW w:w="7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-120" w:leader="none"/>
                <w:tab w:val="left" w:pos="284" w:leader="none"/>
                <w:tab w:val="left" w:pos="426" w:leader="none"/>
                <w:tab w:val="left" w:pos="840" w:leader="none"/>
              </w:tabs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Гидроагрегат</w:t>
            </w:r>
          </w:p>
        </w:tc>
      </w:tr>
      <w:tr>
        <w:trPr>
          <w:trHeight w:val="972" w:hRule="exact"/>
          <w:cantSplit w:val="true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Заказчик</w:t>
            </w:r>
          </w:p>
        </w:tc>
        <w:tc>
          <w:tcPr>
            <w:tcW w:w="7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-120" w:leader="none"/>
                <w:tab w:val="left" w:pos="284" w:leader="none"/>
                <w:tab w:val="left" w:pos="426" w:leader="none"/>
                <w:tab w:val="left" w:pos="840" w:leader="none"/>
              </w:tabs>
              <w:spacing w:before="120" w:after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ПАО «РусГидро», Красноярский край, г. Красноярск, Филиал ПАО «РусГидро» - «Нижегородская ГЭС» РФ, 606520, Нижегородская обл., г. Заволжье.</w:t>
            </w:r>
          </w:p>
        </w:tc>
      </w:tr>
      <w:tr>
        <w:trPr>
          <w:trHeight w:val="397" w:hRule="exact"/>
          <w:cantSplit w:val="true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л.</w:t>
            </w:r>
          </w:p>
        </w:tc>
        <w:tc>
          <w:tcPr>
            <w:tcW w:w="7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-120" w:leader="none"/>
                <w:tab w:val="left" w:pos="284" w:leader="none"/>
                <w:tab w:val="left" w:pos="426" w:leader="none"/>
                <w:tab w:val="left" w:pos="840" w:leader="none"/>
              </w:tabs>
              <w:spacing w:before="120" w:after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Литры (единица измерения)</w:t>
            </w:r>
          </w:p>
        </w:tc>
      </w:tr>
      <w:tr>
        <w:trPr>
          <w:trHeight w:val="397" w:hRule="exact"/>
          <w:cantSplit w:val="true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л/мин</w:t>
            </w:r>
          </w:p>
        </w:tc>
        <w:tc>
          <w:tcPr>
            <w:tcW w:w="7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-120" w:leader="none"/>
                <w:tab w:val="left" w:pos="284" w:leader="none"/>
                <w:tab w:val="left" w:pos="426" w:leader="none"/>
                <w:tab w:val="left" w:pos="840" w:leader="none"/>
              </w:tabs>
              <w:spacing w:before="120" w:after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Литров в минуту (единица измерения)</w:t>
            </w:r>
          </w:p>
        </w:tc>
      </w:tr>
      <w:tr>
        <w:trPr>
          <w:trHeight w:val="397" w:hRule="exact"/>
          <w:cantSplit w:val="true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</w:t>
            </w:r>
          </w:p>
        </w:tc>
        <w:tc>
          <w:tcPr>
            <w:tcW w:w="7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-120" w:leader="none"/>
                <w:tab w:val="left" w:pos="284" w:leader="none"/>
                <w:tab w:val="left" w:pos="426" w:leader="none"/>
                <w:tab w:val="left" w:pos="840" w:leader="none"/>
              </w:tabs>
              <w:spacing w:before="120" w:after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Метры (единица измерения)</w:t>
            </w:r>
          </w:p>
        </w:tc>
      </w:tr>
      <w:tr>
        <w:trPr>
          <w:trHeight w:val="397" w:hRule="exact"/>
          <w:cantSplit w:val="true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м2</w:t>
            </w:r>
          </w:p>
        </w:tc>
        <w:tc>
          <w:tcPr>
            <w:tcW w:w="7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-120" w:leader="none"/>
                <w:tab w:val="left" w:pos="284" w:leader="none"/>
                <w:tab w:val="left" w:pos="426" w:leader="none"/>
                <w:tab w:val="left" w:pos="840" w:leader="none"/>
              </w:tabs>
              <w:spacing w:before="120" w:after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Метры квадратные (единица измерения)</w:t>
            </w:r>
          </w:p>
        </w:tc>
      </w:tr>
      <w:tr>
        <w:trPr>
          <w:trHeight w:val="397" w:hRule="exact"/>
          <w:cantSplit w:val="true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м3</w:t>
            </w:r>
          </w:p>
        </w:tc>
        <w:tc>
          <w:tcPr>
            <w:tcW w:w="7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Метры кубические (единица измерения)</w:t>
            </w:r>
          </w:p>
        </w:tc>
      </w:tr>
      <w:tr>
        <w:trPr>
          <w:trHeight w:val="397" w:hRule="exact"/>
          <w:cantSplit w:val="true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МЧС</w:t>
            </w:r>
          </w:p>
        </w:tc>
        <w:tc>
          <w:tcPr>
            <w:tcW w:w="7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-120" w:leader="none"/>
                <w:tab w:val="left" w:pos="284" w:leader="none"/>
                <w:tab w:val="left" w:pos="426" w:leader="none"/>
                <w:tab w:val="left" w:pos="840" w:leader="none"/>
              </w:tabs>
              <w:spacing w:before="120" w:after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Министерство Российской Федерации по делам гражданской обороны, чрезвычайным ситуациям и ликвидации последствий стихийных бедствий</w:t>
            </w:r>
          </w:p>
        </w:tc>
      </w:tr>
      <w:tr>
        <w:trPr>
          <w:trHeight w:val="397" w:hRule="exact"/>
          <w:cantSplit w:val="true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кг</w:t>
            </w:r>
          </w:p>
        </w:tc>
        <w:tc>
          <w:tcPr>
            <w:tcW w:w="7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-120" w:leader="none"/>
                <w:tab w:val="left" w:pos="284" w:leader="none"/>
                <w:tab w:val="left" w:pos="426" w:leader="none"/>
                <w:tab w:val="left" w:pos="840" w:leader="none"/>
              </w:tabs>
              <w:spacing w:before="120" w:after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Килограмм (единица измерения)</w:t>
            </w:r>
          </w:p>
        </w:tc>
      </w:tr>
      <w:tr>
        <w:trPr>
          <w:trHeight w:val="397" w:hRule="exact"/>
          <w:cantSplit w:val="true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ПС</w:t>
            </w:r>
          </w:p>
        </w:tc>
        <w:tc>
          <w:tcPr>
            <w:tcW w:w="7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-120" w:leader="none"/>
                <w:tab w:val="left" w:pos="284" w:leader="none"/>
                <w:tab w:val="left" w:pos="426" w:leader="none"/>
                <w:tab w:val="left" w:pos="840" w:leader="none"/>
              </w:tabs>
              <w:spacing w:before="120" w:after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Подъёмное сооружение</w:t>
            </w:r>
          </w:p>
        </w:tc>
      </w:tr>
      <w:tr>
        <w:trPr>
          <w:trHeight w:val="397" w:hRule="exact"/>
          <w:cantSplit w:val="true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ПУЭ</w:t>
            </w:r>
          </w:p>
        </w:tc>
        <w:tc>
          <w:tcPr>
            <w:tcW w:w="7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устройства электроустановок</w:t>
            </w:r>
          </w:p>
        </w:tc>
      </w:tr>
      <w:tr>
        <w:trPr>
          <w:trHeight w:val="397" w:hRule="exact"/>
          <w:cantSplit w:val="true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РФ</w:t>
            </w:r>
          </w:p>
        </w:tc>
        <w:tc>
          <w:tcPr>
            <w:tcW w:w="7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-120" w:leader="none"/>
                <w:tab w:val="left" w:pos="284" w:leader="none"/>
                <w:tab w:val="left" w:pos="426" w:leader="none"/>
                <w:tab w:val="left" w:pos="840" w:leader="none"/>
              </w:tabs>
              <w:spacing w:before="120" w:after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Российская Федерация</w:t>
            </w:r>
          </w:p>
        </w:tc>
      </w:tr>
      <w:tr>
        <w:trPr>
          <w:trHeight w:val="397" w:hRule="exact"/>
          <w:cantSplit w:val="true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№</w:t>
            </w:r>
          </w:p>
        </w:tc>
        <w:tc>
          <w:tcPr>
            <w:tcW w:w="7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Станционный номер</w:t>
            </w:r>
          </w:p>
        </w:tc>
      </w:tr>
      <w:tr>
        <w:trPr>
          <w:trHeight w:val="397" w:hRule="exact"/>
          <w:cantSplit w:val="true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Субподрядчик</w:t>
            </w:r>
          </w:p>
        </w:tc>
        <w:tc>
          <w:tcPr>
            <w:tcW w:w="7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-120" w:leader="none"/>
                <w:tab w:val="left" w:pos="284" w:leader="none"/>
                <w:tab w:val="left" w:pos="426" w:leader="none"/>
                <w:tab w:val="left" w:pos="840" w:leader="none"/>
              </w:tabs>
              <w:spacing w:before="120" w:after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Исполнитель Работ</w:t>
            </w:r>
          </w:p>
        </w:tc>
      </w:tr>
      <w:tr>
        <w:trPr>
          <w:trHeight w:val="397" w:hRule="exact"/>
          <w:cantSplit w:val="true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СТО</w:t>
            </w:r>
          </w:p>
        </w:tc>
        <w:tc>
          <w:tcPr>
            <w:tcW w:w="7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-120" w:leader="none"/>
                <w:tab w:val="left" w:pos="284" w:leader="none"/>
                <w:tab w:val="left" w:pos="426" w:leader="none"/>
                <w:tab w:val="left" w:pos="840" w:leader="none"/>
              </w:tabs>
              <w:spacing w:before="120" w:after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Стандарт организации</w:t>
            </w:r>
          </w:p>
        </w:tc>
      </w:tr>
      <w:tr>
        <w:trPr>
          <w:trHeight w:val="397" w:hRule="exact"/>
          <w:cantSplit w:val="true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ТТ</w:t>
            </w:r>
          </w:p>
        </w:tc>
        <w:tc>
          <w:tcPr>
            <w:tcW w:w="7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-120" w:leader="none"/>
                <w:tab w:val="left" w:pos="284" w:leader="none"/>
                <w:tab w:val="left" w:pos="426" w:leader="none"/>
                <w:tab w:val="left" w:pos="840" w:leader="none"/>
              </w:tabs>
              <w:spacing w:before="120" w:after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Технические требования</w:t>
            </w:r>
          </w:p>
        </w:tc>
      </w:tr>
      <w:tr>
        <w:trPr>
          <w:trHeight w:val="397" w:hRule="exact"/>
          <w:cantSplit w:val="true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т.</w:t>
            </w:r>
          </w:p>
        </w:tc>
        <w:tc>
          <w:tcPr>
            <w:tcW w:w="7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-120" w:leader="none"/>
                <w:tab w:val="left" w:pos="284" w:leader="none"/>
                <w:tab w:val="left" w:pos="426" w:leader="none"/>
                <w:tab w:val="left" w:pos="840" w:leader="none"/>
              </w:tabs>
              <w:spacing w:before="120" w:after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Тон (единица измерения)</w:t>
            </w:r>
          </w:p>
        </w:tc>
      </w:tr>
      <w:tr>
        <w:trPr>
          <w:trHeight w:val="397" w:hRule="exact"/>
          <w:cantSplit w:val="true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7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-120" w:leader="none"/>
                <w:tab w:val="left" w:pos="284" w:leader="none"/>
                <w:tab w:val="left" w:pos="426" w:leader="none"/>
                <w:tab w:val="left" w:pos="840" w:leader="none"/>
              </w:tabs>
              <w:spacing w:before="120" w:after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Штуки (единица измерения)</w:t>
            </w:r>
          </w:p>
        </w:tc>
      </w:tr>
      <w:tr>
        <w:trPr>
          <w:trHeight w:val="397" w:hRule="exact"/>
          <w:cantSplit w:val="true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э/б</w:t>
            </w:r>
          </w:p>
        </w:tc>
        <w:tc>
          <w:tcPr>
            <w:tcW w:w="7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-120" w:leader="none"/>
                <w:tab w:val="left" w:pos="284" w:leader="none"/>
                <w:tab w:val="left" w:pos="426" w:leader="none"/>
                <w:tab w:val="left" w:pos="840" w:leader="none"/>
              </w:tabs>
              <w:spacing w:before="120" w:after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Электробезопасность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4" w:name="_Toc214985831"/>
      <w:bookmarkStart w:id="5" w:name="_Toc46743506"/>
      <w:r>
        <w:rPr/>
        <w:t>Наименование закупаемой продукции</w:t>
      </w:r>
      <w:bookmarkStart w:id="6" w:name="_Toc46743507"/>
      <w:bookmarkEnd w:id="4"/>
      <w:bookmarkEnd w:id="5"/>
    </w:p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Выполнение работ по монтажу технологических систем г/а ст. №7 Нижегородской ГЭС.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7" w:name="_Toc214985832"/>
      <w:r>
        <w:rPr/>
        <w:t xml:space="preserve">Цель </w:t>
      </w:r>
      <w:bookmarkEnd w:id="6"/>
      <w:r>
        <w:rPr>
          <w:lang w:val="ru-RU"/>
        </w:rPr>
        <w:t>выполнения работ</w:t>
      </w:r>
      <w:bookmarkEnd w:id="7"/>
      <w:r>
        <w:rPr/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>
          <w:rStyle w:val="Style8"/>
          <w:bCs/>
          <w:i w:val="false"/>
          <w:i w:val="false"/>
          <w:sz w:val="24"/>
          <w:szCs w:val="24"/>
        </w:rPr>
      </w:pPr>
      <w:r>
        <w:rPr>
          <w:sz w:val="24"/>
          <w:szCs w:val="24"/>
        </w:rPr>
        <w:t xml:space="preserve">Целью работ является модернизация оборудования </w:t>
      </w:r>
      <w:r>
        <w:rPr>
          <w:rFonts w:eastAsia="Calibri"/>
          <w:sz w:val="24"/>
          <w:szCs w:val="24"/>
        </w:rPr>
        <w:t>г/а ст. №7 Нижегородской ГЭС</w:t>
      </w:r>
      <w:r>
        <w:rPr>
          <w:sz w:val="24"/>
          <w:szCs w:val="24"/>
        </w:rPr>
        <w:t>.</w:t>
      </w:r>
    </w:p>
    <w:p>
      <w:pPr>
        <w:pStyle w:val="Heading4"/>
        <w:numPr>
          <w:ilvl w:val="1"/>
          <w:numId w:val="3"/>
        </w:numPr>
        <w:rPr>
          <w:lang w:val="ru-RU"/>
        </w:rPr>
      </w:pPr>
      <w:bookmarkStart w:id="8" w:name="_Toc214985833"/>
      <w:bookmarkStart w:id="9" w:name="_Toc46743508"/>
      <w:r>
        <w:rPr/>
        <w:t>Существующее положение</w:t>
      </w:r>
      <w:bookmarkEnd w:id="8"/>
      <w:bookmarkEnd w:id="9"/>
      <w:r>
        <w:rPr>
          <w:lang w:val="ru-RU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>1.4.1. Работы выполняются на основании договора подряда №1240-129-2021 от 12.07.2021 г. заключенного между АО «Гидроремонт-ВКК» и ПАО «РусГидро» на выполнение строительно-монтажных и пусконаладочных работ по замене г/а ст. №1,4,7 на Филиале ПАО «РусГидро» - «Нижегородская ГЭС»;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rStyle w:val="Style8"/>
          <w:b w:val="false"/>
          <w:bCs/>
          <w:i w:val="false"/>
          <w:i w:val="false"/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>1.4.2. Работы выполняются в соответствии с ведомостью объемов работ (Приложение №1 к настоящим Техническим требованиям (далее - ТТ).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rStyle w:val="Style8"/>
          <w:b/>
          <w:i w:val="false"/>
          <w:i w:val="false"/>
          <w:sz w:val="24"/>
          <w:szCs w:val="24"/>
          <w:shd w:fill="auto" w:val="clear"/>
          <w:lang w:val="ru-RU"/>
        </w:rPr>
      </w:pPr>
      <w:bookmarkStart w:id="10" w:name="_Toc214985834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10"/>
    </w:p>
    <w:tbl>
      <w:tblPr>
        <w:tblW w:w="977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562"/>
        <w:gridCol w:w="1839"/>
        <w:gridCol w:w="2981"/>
        <w:gridCol w:w="2439"/>
        <w:gridCol w:w="1958"/>
      </w:tblGrid>
      <w:tr>
        <w:trPr>
          <w:trHeight w:val="1388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Cs/>
                <w:sz w:val="24"/>
                <w:szCs w:val="24"/>
              </w:rPr>
              <w:t>(место производства работ)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выполняются работы)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>
          <w:trHeight w:val="271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1439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36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Модернизация гидроагрегата ст. № 7 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606520, Россия, Нижегородская область, Городецкий район, город Заволжье, улица Привокзальная, д. 14, Филиал ПАО «РусГидро» – «Нижегородская ГЭС».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Турбина гидравлическая поворотно лопастная осевая, ст. №7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Эксплуатирующая организация: Филиал ПАО «РусГидро» - «Нижегородская ГЭС».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>Согласно п.2 «гидротехнические сооружения первого и второго классов, устанавливаемые в соответствии с законодательством о безопасности гидротехнических сооружений» ст. 48.1 «Особо опасные, технически сложные и уникальные объекты» Градостроительного кодекса Российской Федерации объект Филиал ПАО "РусГидро" - "Нижегородская ГЭС" относится к особо опасным объектам (мощность объекта составляет 530,5 МВт, I класс гидротехнических сооружений.)»</w:t>
      </w:r>
    </w:p>
    <w:p>
      <w:pPr>
        <w:pStyle w:val="Heading4"/>
        <w:numPr>
          <w:ilvl w:val="1"/>
          <w:numId w:val="3"/>
        </w:numPr>
        <w:rPr>
          <w:rStyle w:val="Style8"/>
          <w:i w:val="false"/>
          <w:i w:val="false"/>
        </w:rPr>
      </w:pPr>
      <w:bookmarkStart w:id="11" w:name="_Toc214985835"/>
      <w:r>
        <w:rPr/>
        <w:t xml:space="preserve">Информация в отношении исполнения договора, </w:t>
      </w:r>
      <w:bookmarkStart w:id="12" w:name="_Hlk46492347"/>
      <w:r>
        <w:rPr/>
        <w:t xml:space="preserve">которая должна быть учтена при подготовке заявки </w:t>
      </w:r>
      <w:bookmarkEnd w:id="12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11"/>
      <w:r>
        <w:rPr>
          <w:lang w:val="ru-RU"/>
        </w:rPr>
        <w:t xml:space="preserve"> </w:t>
      </w:r>
      <w:bookmarkStart w:id="13" w:name="_Hlk48209761"/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>Допуск персонала Субподрядчика для выполнения Работ осуществляется в соответствии с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обязательным оформлением необходимых нарядов-допусков.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>Допуск к выполнению работ выполняет персонал Нижегородской ГЭС.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Согласование со службой эксплуатации Нижегородской ГЭС мест подключения временных коммуникаций (технические условия на подключения выдаются после получения от Субподрядчика официального запроса с указанием потребных ресурсов в количественных и качественных показателях).</w:t>
      </w:r>
    </w:p>
    <w:p>
      <w:pPr>
        <w:pStyle w:val="Heading4"/>
        <w:numPr>
          <w:ilvl w:val="1"/>
          <w:numId w:val="3"/>
        </w:numPr>
        <w:rPr>
          <w:rStyle w:val="Style8"/>
          <w:b/>
          <w:bCs w:val="false"/>
          <w:i w:val="false"/>
          <w:i w:val="false"/>
        </w:rPr>
      </w:pPr>
      <w:bookmarkStart w:id="14" w:name="_Toc214985836"/>
      <w:bookmarkEnd w:id="13"/>
      <w:r>
        <w:rPr/>
        <w:t>Иные требования и сведения общего характера</w:t>
      </w:r>
      <w:bookmarkEnd w:id="14"/>
    </w:p>
    <w:p>
      <w:pPr>
        <w:pStyle w:val="Normal"/>
        <w:widowControl w:val="false"/>
        <w:tabs>
          <w:tab w:val="clear" w:pos="708"/>
          <w:tab w:val="left" w:pos="0" w:leader="none"/>
        </w:tabs>
        <w:spacing w:before="120" w:after="240"/>
        <w:jc w:val="both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>
          <w:sz w:val="24"/>
          <w:szCs w:val="24"/>
        </w:rPr>
        <w:t xml:space="preserve">Работы выполняются в таком объеме, который позволяет начать эксплуатацию результатов работ без проведения закупочных процедур Генеральным подрядчиком, включающих дополнительные объёмы каких-либо материалов, оборудования и работ, выявленных в процессе работ. Работы считаются выполненными после приемки объекта комиссией филиала ПАО «РусГидро» - «Нижегородской ГЭС» с оформлением отчётной документации со стороны Субподрядчика. </w:t>
      </w:r>
      <w:r>
        <w:rPr>
          <w:b/>
          <w:sz w:val="24"/>
          <w:szCs w:val="24"/>
        </w:rPr>
        <w:t>Помещения для размещения персонала, складские и иные помещения Генеральным подрядчиком не предоставляются.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sz w:val="24"/>
          <w:szCs w:val="24"/>
          <w:lang w:val="ru-RU"/>
        </w:rPr>
      </w:pPr>
      <w:bookmarkStart w:id="15" w:name="_Toc214985837"/>
      <w:bookmarkStart w:id="16" w:name="_Toc51339693"/>
      <w:r>
        <w:rPr>
          <w:iCs/>
          <w:sz w:val="24"/>
          <w:szCs w:val="24"/>
        </w:rPr>
        <w:t>Требования к продукции</w:t>
      </w:r>
      <w:bookmarkEnd w:id="15"/>
      <w:bookmarkEnd w:id="16"/>
    </w:p>
    <w:p>
      <w:pPr>
        <w:pStyle w:val="Heading4"/>
        <w:numPr>
          <w:ilvl w:val="1"/>
          <w:numId w:val="3"/>
        </w:numPr>
        <w:rPr/>
      </w:pPr>
      <w:bookmarkStart w:id="17" w:name="_Toc214985838"/>
      <w:r>
        <w:rPr/>
        <w:t xml:space="preserve">Требования к объемам и срокам </w:t>
      </w:r>
      <w:r>
        <w:rPr>
          <w:lang w:val="ru-RU"/>
        </w:rPr>
        <w:t>выполнения работ</w:t>
      </w:r>
      <w:bookmarkEnd w:id="17"/>
    </w:p>
    <w:p>
      <w:pPr>
        <w:pStyle w:val="Heading3"/>
        <w:numPr>
          <w:ilvl w:val="2"/>
          <w:numId w:val="3"/>
        </w:numPr>
        <w:rPr/>
      </w:pPr>
      <w:bookmarkStart w:id="18" w:name="_Toc214985839"/>
      <w:r>
        <w:rPr>
          <w:lang w:val="ru-RU"/>
        </w:rPr>
        <w:t>Требования к видам и объемам работ</w:t>
      </w:r>
      <w:bookmarkEnd w:id="18"/>
    </w:p>
    <w:p>
      <w:pPr>
        <w:pStyle w:val="ListParagraph"/>
        <w:numPr>
          <w:ilvl w:val="1"/>
          <w:numId w:val="7"/>
        </w:numPr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>Согласование с Заказчиком календарного графика производства работ.</w:t>
      </w:r>
    </w:p>
    <w:p>
      <w:pPr>
        <w:pStyle w:val="ListParagraph"/>
        <w:numPr>
          <w:ilvl w:val="1"/>
          <w:numId w:val="7"/>
        </w:numPr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Перед началом работ (за 30 календарных дней) разработка и согласование с Заказчиком Проекта производства работ </w:t>
      </w:r>
    </w:p>
    <w:p>
      <w:pPr>
        <w:pStyle w:val="Normal"/>
        <w:numPr>
          <w:ilvl w:val="1"/>
          <w:numId w:val="7"/>
        </w:numPr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Монтаж строительных лесов силами и средствами Субподрядчика;</w:t>
      </w:r>
    </w:p>
    <w:p>
      <w:pPr>
        <w:pStyle w:val="Normal"/>
        <w:numPr>
          <w:ilvl w:val="1"/>
          <w:numId w:val="7"/>
        </w:numPr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Организация временного освещения рабочих зон, необходимого для исполнения договорных обязательств, выполняется силами Субподрядчика (точки подключения определяются по запросу Субподрядчика. </w:t>
      </w:r>
    </w:p>
    <w:p>
      <w:pPr>
        <w:pStyle w:val="Normal"/>
        <w:numPr>
          <w:ilvl w:val="1"/>
          <w:numId w:val="7"/>
        </w:numPr>
        <w:tabs>
          <w:tab w:val="clear" w:pos="708"/>
          <w:tab w:val="left" w:pos="540" w:leader="none"/>
        </w:tabs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Организовать мероприятия по недопущению распространения пыли из рабочей зоны силами и средствами Субподрядчика.</w:t>
      </w:r>
    </w:p>
    <w:p>
      <w:pPr>
        <w:pStyle w:val="Normal"/>
        <w:numPr>
          <w:ilvl w:val="1"/>
          <w:numId w:val="7"/>
        </w:numPr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Требования к основным работам представлены в п.2 таблицы № 4 настоящих Технических требований.</w:t>
      </w:r>
    </w:p>
    <w:p>
      <w:pPr>
        <w:pStyle w:val="Normal"/>
        <w:numPr>
          <w:ilvl w:val="1"/>
          <w:numId w:val="7"/>
        </w:numPr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Оформление исполнительной и отчётной документации по выполненным работам. Вся техническая документация предоставляется на бумажном носителе (3 экземпляра) и электронном носителе (1 экземпляр) в формате (</w:t>
      </w:r>
      <w:r>
        <w:rPr>
          <w:sz w:val="24"/>
          <w:szCs w:val="24"/>
          <w:lang w:val="en-US" w:eastAsia="x-none"/>
        </w:rPr>
        <w:t>PDF</w:t>
      </w:r>
      <w:r>
        <w:rPr>
          <w:sz w:val="24"/>
          <w:szCs w:val="24"/>
          <w:lang w:eastAsia="x-none"/>
        </w:rPr>
        <w:t xml:space="preserve">, </w:t>
      </w:r>
      <w:r>
        <w:rPr>
          <w:sz w:val="24"/>
          <w:szCs w:val="24"/>
          <w:lang w:val="en-US" w:eastAsia="x-none"/>
        </w:rPr>
        <w:t>TIFF</w:t>
      </w:r>
      <w:r>
        <w:rPr>
          <w:sz w:val="24"/>
          <w:szCs w:val="24"/>
          <w:lang w:eastAsia="x-none"/>
        </w:rPr>
        <w:t>). Предъявление результатов работ комиссии Филиала ПАО «РусГидро» - «Нижегородская ГЭС», оформление отчетной и исполнительной документации.</w:t>
      </w:r>
    </w:p>
    <w:p>
      <w:pPr>
        <w:pStyle w:val="Style29"/>
        <w:numPr>
          <w:ilvl w:val="0"/>
          <w:numId w:val="0"/>
        </w:numPr>
        <w:jc w:val="left"/>
        <w:outlineLvl w:val="0"/>
        <w:rPr>
          <w:lang w:val="ru-RU"/>
        </w:rPr>
      </w:pPr>
      <w:bookmarkStart w:id="19" w:name="_Toc214985840"/>
      <w:r>
        <w:rPr/>
        <w:t>Таблица</w:t>
      </w:r>
      <w:r>
        <w:rPr>
          <w:lang w:val="ru-RU"/>
        </w:rPr>
        <w:t> 2</w:t>
      </w:r>
      <w:r>
        <w:rPr/>
        <w:t xml:space="preserve">. </w:t>
      </w:r>
      <w:r>
        <w:rPr>
          <w:lang w:val="ru-RU"/>
        </w:rPr>
        <w:t>Перечень и объем выполняемых работ</w:t>
      </w:r>
      <w:bookmarkEnd w:id="19"/>
    </w:p>
    <w:p>
      <w:pPr>
        <w:sectPr>
          <w:headerReference w:type="even" r:id="rId2"/>
          <w:headerReference w:type="default" r:id="rId3"/>
          <w:headerReference w:type="first" r:id="rId4"/>
          <w:footerReference w:type="default" r:id="rId5"/>
          <w:type w:val="nextPage"/>
          <w:pgSz w:w="11906" w:h="16838"/>
          <w:pgMar w:left="1560" w:right="566" w:gutter="0" w:header="680" w:top="737" w:footer="0" w:bottom="1135"/>
          <w:pgNumType w:fmt="decimal"/>
          <w:formProt w:val="false"/>
          <w:titlePg/>
          <w:textDirection w:val="lrTb"/>
          <w:docGrid w:type="default" w:linePitch="100" w:charSpace="0"/>
        </w:sectPr>
      </w:pPr>
    </w:p>
    <w:tbl>
      <w:tblPr>
        <w:tblW w:w="969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738"/>
        <w:gridCol w:w="4960"/>
        <w:gridCol w:w="2412"/>
        <w:gridCol w:w="173"/>
        <w:gridCol w:w="1414"/>
      </w:tblGrid>
      <w:tr>
        <w:trPr/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 / этапа работ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iCs/>
              </w:rPr>
            </w:pPr>
            <w:r>
              <w:rPr>
                <w:iCs/>
              </w:rPr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Выполнение работ по монтажу технологических систем г/а ст. №7 Нижегородской ГЭС</w:t>
            </w:r>
          </w:p>
          <w:p>
            <w:pPr>
              <w:pStyle w:val="ListParagraph"/>
              <w:widowControl w:val="false"/>
              <w:ind w:left="34" w:hanging="0"/>
              <w:rPr>
                <w:iCs/>
              </w:rPr>
            </w:pPr>
            <w:r>
              <w:rPr>
                <w:iCs/>
              </w:rPr>
            </w:r>
          </w:p>
        </w:tc>
        <w:tc>
          <w:tcPr>
            <w:tcW w:w="3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 соответствии с ведомостью объемов работ (Приложение №1 к Техническим требованиям)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560" w:right="566" w:gutter="0" w:header="680" w:top="737" w:footer="0" w:bottom="1135"/>
          <w:formProt w:val="false"/>
          <w:textDirection w:val="lrTb"/>
          <w:docGrid w:type="default" w:linePitch="100" w:charSpace="0"/>
        </w:sectPr>
      </w:pP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bCs/>
          <w:sz w:val="24"/>
          <w:szCs w:val="24"/>
          <w:shd w:fill="FFFF99" w:val="clear"/>
        </w:rPr>
      </w:pPr>
      <w:r>
        <w:rPr>
          <w:bCs/>
          <w:sz w:val="24"/>
          <w:szCs w:val="24"/>
          <w:shd w:fill="FFFF99" w:val="clear"/>
        </w:rPr>
      </w:r>
    </w:p>
    <w:p>
      <w:pPr>
        <w:pStyle w:val="Heading1"/>
        <w:keepLines/>
        <w:tabs>
          <w:tab w:val="clear" w:pos="0"/>
        </w:tabs>
        <w:spacing w:before="240" w:after="60"/>
        <w:ind w:left="0" w:firstLine="709"/>
        <w:rPr>
          <w:sz w:val="24"/>
          <w:szCs w:val="24"/>
          <w:lang w:val="ru-RU"/>
        </w:rPr>
      </w:pPr>
      <w:bookmarkStart w:id="20" w:name="_Toc50125131"/>
      <w:bookmarkStart w:id="21" w:name="_Toc214985841"/>
      <w:bookmarkStart w:id="22" w:name="_Toc54646408"/>
      <w:bookmarkStart w:id="23" w:name="_Toc50125127"/>
      <w:bookmarkStart w:id="24" w:name="_Toc51339697"/>
      <w:bookmarkStart w:id="25" w:name="_Toc46743510"/>
      <w:bookmarkStart w:id="26" w:name="_Toc50125126"/>
      <w:bookmarkEnd w:id="25"/>
      <w:bookmarkEnd w:id="2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27" w:name="_Hlk50465284"/>
      <w:r>
        <w:rPr>
          <w:sz w:val="24"/>
          <w:szCs w:val="24"/>
        </w:rPr>
        <w:t xml:space="preserve">Требования по срокам </w:t>
      </w:r>
      <w:bookmarkEnd w:id="23"/>
      <w:bookmarkEnd w:id="24"/>
      <w:bookmarkEnd w:id="27"/>
      <w:r>
        <w:rPr>
          <w:sz w:val="24"/>
          <w:szCs w:val="24"/>
          <w:lang w:val="ru-RU"/>
        </w:rPr>
        <w:t>выполнения работ</w:t>
      </w:r>
      <w:bookmarkEnd w:id="21"/>
      <w:bookmarkEnd w:id="22"/>
    </w:p>
    <w:tbl>
      <w:tblPr>
        <w:tblW w:w="14538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068"/>
        <w:gridCol w:w="4277"/>
        <w:gridCol w:w="4489"/>
        <w:gridCol w:w="4703"/>
      </w:tblGrid>
      <w:tr>
        <w:trPr>
          <w:trHeight w:val="834" w:hRule="atLeast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работ/ этапа работ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выполнения работ/ этапа работ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выполнения работ / этапа работ</w:t>
            </w:r>
          </w:p>
        </w:tc>
      </w:tr>
      <w:tr>
        <w:trPr>
          <w:trHeight w:val="348" w:hRule="atLeast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773" w:hRule="atLeast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Аварийно-ремонтный затвор (027-014-7-АРЗ)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Cs/>
                <w:sz w:val="24"/>
                <w:szCs w:val="24"/>
              </w:rPr>
              <w:t>20.</w:t>
            </w:r>
            <w:r>
              <w:rPr>
                <w:iCs/>
                <w:sz w:val="24"/>
                <w:szCs w:val="24"/>
                <w:lang w:val="en-US"/>
              </w:rPr>
              <w:t>07</w:t>
            </w:r>
            <w:r>
              <w:rPr>
                <w:iCs/>
                <w:sz w:val="24"/>
                <w:szCs w:val="24"/>
              </w:rPr>
              <w:t>.2026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iCs/>
                <w:sz w:val="24"/>
                <w:szCs w:val="24"/>
              </w:rPr>
              <w:t>09</w:t>
            </w:r>
            <w:r>
              <w:rPr>
                <w:iCs/>
                <w:sz w:val="24"/>
                <w:szCs w:val="24"/>
                <w:lang w:val="en-US"/>
              </w:rPr>
              <w:t>.</w:t>
            </w:r>
            <w:r>
              <w:rPr>
                <w:iCs/>
                <w:sz w:val="24"/>
                <w:szCs w:val="24"/>
              </w:rPr>
              <w:t>05.202</w:t>
            </w:r>
            <w:r>
              <w:rPr>
                <w:iCs/>
                <w:sz w:val="24"/>
                <w:szCs w:val="24"/>
                <w:lang w:val="en-US"/>
              </w:rPr>
              <w:t>7</w:t>
            </w:r>
          </w:p>
        </w:tc>
      </w:tr>
      <w:tr>
        <w:trPr>
          <w:trHeight w:val="773" w:hRule="atLeast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Окраска незаменяемых узлов турбины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08.09.2026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26.03.2027</w:t>
            </w:r>
          </w:p>
        </w:tc>
      </w:tr>
      <w:tr>
        <w:trPr>
          <w:trHeight w:val="773" w:hRule="atLeast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АКЗ узлов генератора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11.12.2026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11.04.2027</w:t>
            </w:r>
            <w:bookmarkStart w:id="28" w:name="_GoBack"/>
            <w:bookmarkEnd w:id="28"/>
          </w:p>
        </w:tc>
      </w:tr>
    </w:tbl>
    <w:p>
      <w:pPr>
        <w:pStyle w:val="Heading4"/>
        <w:ind w:left="720" w:hanging="0"/>
        <w:rPr/>
      </w:pPr>
      <w:r>
        <w:rPr/>
      </w:r>
    </w:p>
    <w:p>
      <w:pPr>
        <w:pStyle w:val="Normal"/>
        <w:ind w:left="720" w:hanging="0"/>
        <w:rPr/>
      </w:pPr>
      <w:r>
        <w:rPr/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1"/>
        <w:keepLines/>
        <w:tabs>
          <w:tab w:val="clear" w:pos="0"/>
        </w:tabs>
        <w:spacing w:before="240" w:after="60"/>
        <w:ind w:left="0" w:firstLine="709"/>
        <w:rPr>
          <w:sz w:val="24"/>
          <w:szCs w:val="24"/>
          <w:lang w:val="ru-RU"/>
        </w:rPr>
      </w:pPr>
      <w:bookmarkStart w:id="29" w:name="_Toc21498584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0"/>
      <w:r>
        <w:rPr>
          <w:sz w:val="24"/>
          <w:szCs w:val="24"/>
          <w:lang w:val="ru-RU"/>
        </w:rPr>
        <w:t>качеству работ</w:t>
      </w:r>
      <w:bookmarkEnd w:id="29"/>
      <w:r>
        <w:rPr>
          <w:sz w:val="24"/>
          <w:szCs w:val="24"/>
        </w:rPr>
        <w:t xml:space="preserve"> </w:t>
      </w:r>
    </w:p>
    <w:p>
      <w:pPr>
        <w:pStyle w:val="Normal"/>
        <w:snapToGrid w:val="false"/>
        <w:spacing w:before="0"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работ/этапа работ (позиция № 1Таблицы 2): </w:t>
      </w:r>
      <w:r>
        <w:rPr>
          <w:rFonts w:eastAsia="Calibri"/>
          <w:sz w:val="24"/>
          <w:szCs w:val="24"/>
        </w:rPr>
        <w:t>Работы по монтажу технологических систем г/а ст. №7 Нижегородской ГЭС</w:t>
      </w:r>
      <w:r>
        <w:rPr>
          <w:bCs/>
          <w:sz w:val="24"/>
          <w:szCs w:val="24"/>
        </w:rPr>
        <w:t xml:space="preserve">  выполняются </w:t>
      </w:r>
      <w:r>
        <w:rPr>
          <w:iCs/>
          <w:sz w:val="24"/>
          <w:szCs w:val="24"/>
        </w:rPr>
        <w:t>в соответствии с ведомостью объемов работ (Приложение №1 к настоящим Техническим требованиям).</w:t>
      </w:r>
    </w:p>
    <w:p>
      <w:pPr>
        <w:pStyle w:val="Normal"/>
        <w:snapToGrid w:val="false"/>
        <w:spacing w:before="0" w:after="120"/>
        <w:rPr>
          <w:rStyle w:val="Style8"/>
          <w:b w:val="false"/>
          <w:i w:val="false"/>
          <w:i w:val="false"/>
          <w:iCs/>
          <w:sz w:val="24"/>
          <w:szCs w:val="24"/>
        </w:rPr>
      </w:pPr>
      <w:r>
        <w:rPr>
          <w:b w:val="false"/>
          <w:i w:val="false"/>
          <w:iCs/>
          <w:sz w:val="24"/>
          <w:szCs w:val="24"/>
        </w:rPr>
      </w:r>
    </w:p>
    <w:tbl>
      <w:tblPr>
        <w:tblStyle w:val="affffc"/>
        <w:tblW w:w="15274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09"/>
        <w:gridCol w:w="2508"/>
        <w:gridCol w:w="5103"/>
        <w:gridCol w:w="3712"/>
        <w:gridCol w:w="3342"/>
      </w:tblGrid>
      <w:tr>
        <w:trPr>
          <w:trHeight w:val="276" w:hRule="atLeast"/>
        </w:trPr>
        <w:tc>
          <w:tcPr>
            <w:tcW w:w="609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50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103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7054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276" w:hRule="atLeast"/>
        </w:trPr>
        <w:tc>
          <w:tcPr>
            <w:tcW w:w="609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0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103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71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34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>
          <w:trHeight w:val="119" w:hRule="atLeast"/>
        </w:trPr>
        <w:tc>
          <w:tcPr>
            <w:tcW w:w="60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5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1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71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34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609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611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выполнению работ </w:t>
            </w:r>
          </w:p>
        </w:tc>
        <w:tc>
          <w:tcPr>
            <w:tcW w:w="371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34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09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rFonts w:cs="Times New Roman"/>
                <w:b/>
                <w:bCs/>
                <w:kern w:val="0"/>
                <w:lang w:val="ru-RU" w:eastAsia="ru-RU" w:bidi="ar-SA"/>
              </w:rPr>
            </w:r>
          </w:p>
        </w:tc>
        <w:tc>
          <w:tcPr>
            <w:tcW w:w="25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Общие требования к выполнению работ</w:t>
            </w:r>
          </w:p>
        </w:tc>
        <w:tc>
          <w:tcPr>
            <w:tcW w:w="51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Работы по монтажу технологических систем г/а ст. № 7 Нижегородской ГЭС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выполняются в соответствии с утвержденным графиком строительно – монтажных работ по гидроагрегату ст.№ 7 и ведомостью объемов работ № 1 (Приложение №1 к Техническим требованиям).</w:t>
            </w:r>
          </w:p>
        </w:tc>
        <w:tc>
          <w:tcPr>
            <w:tcW w:w="3712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334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09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08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Соблюдение при выполнении работ норм и правил нормативно-технических документов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10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ind w:left="148" w:firstLine="142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Основные нормативно-технические документы (НТД) и заводские инструкции по эксплуатации оборудования, определяющие требования к выполняемым работам: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numPr>
                <w:ilvl w:val="1"/>
                <w:numId w:val="9"/>
              </w:numPr>
              <w:tabs>
                <w:tab w:val="clear" w:pos="708"/>
                <w:tab w:val="left" w:pos="198" w:leader="none"/>
              </w:tabs>
              <w:suppressAutoHyphens w:val="true"/>
              <w:spacing w:before="0" w:after="0"/>
              <w:ind w:left="148" w:firstLine="142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РД 31.84.01-90 «Единые СО 34.04.181-2003 «Правила организации технического обслуживания и ремонта оборудования, зданий и сооружений электростанций и сетей».</w:t>
            </w:r>
          </w:p>
          <w:p>
            <w:pPr>
              <w:pStyle w:val="Normal"/>
              <w:widowControl/>
              <w:numPr>
                <w:ilvl w:val="1"/>
                <w:numId w:val="9"/>
              </w:numPr>
              <w:tabs>
                <w:tab w:val="clear" w:pos="708"/>
                <w:tab w:val="left" w:pos="198" w:leader="none"/>
              </w:tabs>
              <w:suppressAutoHyphens w:val="true"/>
              <w:spacing w:before="0" w:after="0"/>
              <w:ind w:left="148" w:firstLine="142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РД 10-33-93 (с изм. 1 – РД 10-231-98). Стропы грузовые общего назначения. Требования к устройству и безопасной эксплуатации.</w:t>
            </w:r>
          </w:p>
          <w:p>
            <w:pPr>
              <w:pStyle w:val="Normal"/>
              <w:widowControl/>
              <w:numPr>
                <w:ilvl w:val="1"/>
                <w:numId w:val="9"/>
              </w:numPr>
              <w:tabs>
                <w:tab w:val="clear" w:pos="708"/>
                <w:tab w:val="left" w:pos="198" w:leader="none"/>
              </w:tabs>
              <w:suppressAutoHyphens w:val="true"/>
              <w:spacing w:before="0" w:after="0"/>
              <w:ind w:left="148" w:firstLine="142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Межотраслевые правила по охране труда при работе на высоте (Приказ от 16 ноября 2020 года N782н).</w:t>
            </w:r>
          </w:p>
          <w:p>
            <w:pPr>
              <w:pStyle w:val="Normal"/>
              <w:widowControl/>
              <w:numPr>
                <w:ilvl w:val="1"/>
                <w:numId w:val="9"/>
              </w:numPr>
              <w:tabs>
                <w:tab w:val="clear" w:pos="708"/>
                <w:tab w:val="left" w:pos="-62" w:leader="none"/>
              </w:tabs>
              <w:suppressAutoHyphens w:val="true"/>
              <w:spacing w:before="0" w:after="0"/>
              <w:ind w:left="148" w:firstLine="142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Правила безопасности при работе с инструментом и приспособлениями (Приказ от 27 ноября 2020 г. N 835н)</w:t>
            </w:r>
          </w:p>
          <w:p>
            <w:pPr>
              <w:pStyle w:val="Normal"/>
              <w:widowControl/>
              <w:numPr>
                <w:ilvl w:val="1"/>
                <w:numId w:val="9"/>
              </w:numPr>
              <w:suppressAutoHyphens w:val="true"/>
              <w:spacing w:before="0" w:after="0"/>
              <w:ind w:left="148" w:firstLine="142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Приказ МЧС РФ от 18.11.2021 №806</w:t>
            </w:r>
          </w:p>
          <w:p>
            <w:pPr>
              <w:pStyle w:val="Normal"/>
              <w:widowControl/>
              <w:numPr>
                <w:ilvl w:val="1"/>
                <w:numId w:val="9"/>
              </w:numPr>
              <w:suppressAutoHyphens w:val="true"/>
              <w:spacing w:before="0" w:after="0"/>
              <w:ind w:left="148" w:firstLine="142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«Об определении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требований к содержанию указанных программ и категорий лиц, проходящих обучение по дополнительным профессиональным программам в области пожарной безопасности»</w:t>
            </w:r>
          </w:p>
          <w:p>
            <w:pPr>
              <w:pStyle w:val="Normal"/>
              <w:widowControl/>
              <w:numPr>
                <w:ilvl w:val="1"/>
                <w:numId w:val="9"/>
              </w:numPr>
              <w:tabs>
                <w:tab w:val="clear" w:pos="708"/>
                <w:tab w:val="left" w:pos="198" w:leader="none"/>
              </w:tabs>
              <w:suppressAutoHyphens w:val="true"/>
              <w:spacing w:before="0" w:after="0"/>
              <w:ind w:left="148" w:firstLine="142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Зарегистрировано в Минюсте России 18.11.2021 №806СТО РусГидро 02.03.69-2011. Гидрогенераторы. Общие технические условия на капитальный ремонт. Нормы и требования.</w:t>
            </w:r>
          </w:p>
          <w:p>
            <w:pPr>
              <w:pStyle w:val="Normal"/>
              <w:widowControl/>
              <w:numPr>
                <w:ilvl w:val="1"/>
                <w:numId w:val="9"/>
              </w:numPr>
              <w:tabs>
                <w:tab w:val="clear" w:pos="708"/>
                <w:tab w:val="left" w:pos="198" w:leader="none"/>
              </w:tabs>
              <w:suppressAutoHyphens w:val="true"/>
              <w:spacing w:before="0" w:after="0"/>
              <w:ind w:left="148" w:firstLine="142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СТО РусГидро 02.01.62 – 2012 Гидроэлектростанции. Ремонт и техническое обслуживание оборудования, зданий и сооружений. Организация производственных процессов. Нормы и требования.</w:t>
            </w:r>
          </w:p>
          <w:p>
            <w:pPr>
              <w:pStyle w:val="Normal"/>
              <w:widowControl/>
              <w:numPr>
                <w:ilvl w:val="1"/>
                <w:numId w:val="9"/>
              </w:numPr>
              <w:suppressAutoHyphens w:val="true"/>
              <w:spacing w:before="0" w:after="0"/>
              <w:ind w:left="148" w:firstLine="142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«Правила по охране труда при эксплуатации электроустановок» приказ Минтруда России от 15 декабря 2020 года N 903н).</w:t>
            </w:r>
          </w:p>
          <w:p>
            <w:pPr>
              <w:pStyle w:val="Normal"/>
              <w:widowControl/>
              <w:numPr>
                <w:ilvl w:val="1"/>
                <w:numId w:val="9"/>
              </w:numPr>
              <w:tabs>
                <w:tab w:val="clear" w:pos="708"/>
                <w:tab w:val="left" w:pos="23" w:leader="none"/>
                <w:tab w:val="left" w:pos="198" w:leader="none"/>
              </w:tabs>
              <w:suppressAutoHyphens w:val="true"/>
              <w:spacing w:before="0" w:after="0"/>
              <w:ind w:left="148" w:firstLine="142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Правила противопожарного режима в Российской Федерации утвержденные постановлением правительства РФ №390 от 25.04.2012г. (с изменениями на 30 декабря 2017 года).</w:t>
            </w:r>
          </w:p>
          <w:p>
            <w:pPr>
              <w:pStyle w:val="Normal"/>
              <w:widowControl/>
              <w:numPr>
                <w:ilvl w:val="1"/>
                <w:numId w:val="9"/>
              </w:numPr>
              <w:tabs>
                <w:tab w:val="clear" w:pos="708"/>
                <w:tab w:val="left" w:pos="198" w:leader="none"/>
              </w:tabs>
              <w:suppressAutoHyphens w:val="true"/>
              <w:spacing w:before="0" w:after="0"/>
              <w:ind w:left="148" w:firstLine="142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Инструкция о порядке организации и мерах пожарной безопасности при проведении пожароопасных работ в филиале ПАО «РусГидро» – «Нижегородская ГЭС», (будет предоставлена Субподрядчику до начала работ).</w:t>
            </w:r>
          </w:p>
          <w:p>
            <w:pPr>
              <w:pStyle w:val="Normal"/>
              <w:widowControl w:val="false"/>
              <w:numPr>
                <w:ilvl w:val="1"/>
                <w:numId w:val="9"/>
              </w:numPr>
              <w:tabs>
                <w:tab w:val="clear" w:pos="708"/>
                <w:tab w:val="left" w:pos="198" w:leader="none"/>
              </w:tabs>
              <w:suppressAutoHyphens w:val="true"/>
              <w:spacing w:before="0" w:after="0"/>
              <w:ind w:left="360" w:hanging="4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Приказ Министерства строительства и жилищно – коммунального хозяйства РФ № 344/пр от 16.05.2023 г.</w:t>
            </w:r>
          </w:p>
          <w:p>
            <w:pPr>
              <w:pStyle w:val="Normal"/>
              <w:widowControl/>
              <w:numPr>
                <w:ilvl w:val="1"/>
                <w:numId w:val="9"/>
              </w:numPr>
              <w:tabs>
                <w:tab w:val="clear" w:pos="708"/>
                <w:tab w:val="left" w:pos="198" w:leader="none"/>
              </w:tabs>
              <w:suppressAutoHyphens w:val="true"/>
              <w:spacing w:before="0" w:after="0"/>
              <w:ind w:left="148" w:firstLine="142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Федеральный закон № 123-ФЗ Технический регламент о требованиях пожарной безопасности (с изменениями на 10 июля 2012 года).</w:t>
            </w:r>
          </w:p>
          <w:p>
            <w:pPr>
              <w:pStyle w:val="Normal"/>
              <w:widowControl/>
              <w:numPr>
                <w:ilvl w:val="1"/>
                <w:numId w:val="9"/>
              </w:numPr>
              <w:suppressAutoHyphens w:val="true"/>
              <w:spacing w:before="0" w:after="0"/>
              <w:ind w:left="148" w:firstLine="142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 153-34.03.305-2003 «Инструкция о мерах пожарной безопасности при проведении огневых работ на энергетических предприятиях».</w:t>
            </w:r>
          </w:p>
        </w:tc>
        <w:tc>
          <w:tcPr>
            <w:tcW w:w="371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left="148" w:firstLine="142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34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left="148" w:firstLine="142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09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организации работ</w:t>
            </w:r>
          </w:p>
          <w:p>
            <w:pPr>
              <w:pStyle w:val="ListParagraph"/>
              <w:widowControl/>
              <w:tabs>
                <w:tab w:val="clear" w:pos="708"/>
                <w:tab w:val="left" w:pos="373" w:leader="none"/>
              </w:tabs>
              <w:suppressAutoHyphens w:val="true"/>
              <w:spacing w:before="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103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10"/>
              </w:numPr>
              <w:tabs>
                <w:tab w:val="clear" w:pos="708"/>
                <w:tab w:val="left" w:pos="45" w:leader="none"/>
              </w:tabs>
              <w:suppressAutoHyphens w:val="true"/>
              <w:spacing w:before="0" w:after="0"/>
              <w:ind w:left="4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Работы выполняются в соответствии с ведомостью объемов работ (Приложение №1 к Техническим требованиям, рабочей и конструкторской документацией (Приложение №3;4;5;6;7;8;9;10;11;12;13 к Техническим требованиям), а также ППР и ППРнВ, утвержденными Заказчиком и Генеральным Подрядчиком.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tabs>
                <w:tab w:val="clear" w:pos="708"/>
                <w:tab w:val="left" w:pos="45" w:leader="none"/>
              </w:tabs>
              <w:suppressAutoHyphens w:val="true"/>
              <w:spacing w:before="0" w:after="0"/>
              <w:ind w:left="4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Использование в работе собственного (Субподрядчика) или арендованного инструмента, приспособлений и механизмов.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tabs>
                <w:tab w:val="clear" w:pos="708"/>
                <w:tab w:val="left" w:pos="45" w:leader="none"/>
              </w:tabs>
              <w:suppressAutoHyphens w:val="true"/>
              <w:spacing w:before="0" w:after="0"/>
              <w:ind w:left="4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Все необходимые работы (включая необходимое оборудование и технику, аппаратуру), верхолазные работы, работы с применением грузоподъёмных механизмов (включая работы, связанные с транспортировкой, разгрузкой на территории и доставкой на место работы), работы по недопущению распространения пыли из рабочей зоны организуются и выполняются силами и средствами Субподрядчика.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tabs>
                <w:tab w:val="clear" w:pos="708"/>
                <w:tab w:val="left" w:pos="45" w:leader="none"/>
              </w:tabs>
              <w:suppressAutoHyphens w:val="true"/>
              <w:spacing w:before="0" w:after="0"/>
              <w:ind w:left="4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Перечень давальческих материалов указан в ведомости объёмов работ -Приложение №1 к настоящим Техническим требованиям.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tabs>
                <w:tab w:val="clear" w:pos="708"/>
                <w:tab w:val="left" w:pos="45" w:leader="none"/>
              </w:tabs>
              <w:suppressAutoHyphens w:val="true"/>
              <w:spacing w:before="0" w:after="0"/>
              <w:ind w:left="4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Все образующиеся в процессе работ отходы и строительный мусор утилизируются силами и средствами Субподрядчика.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tabs>
                <w:tab w:val="clear" w:pos="708"/>
                <w:tab w:val="left" w:pos="45" w:leader="none"/>
              </w:tabs>
              <w:suppressAutoHyphens w:val="true"/>
              <w:spacing w:before="0" w:after="0"/>
              <w:ind w:left="4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При выполнении работ не допускается повреждение существующего оборудования и коммуникаций.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tabs>
                <w:tab w:val="clear" w:pos="708"/>
                <w:tab w:val="left" w:pos="45" w:leader="none"/>
              </w:tabs>
              <w:suppressAutoHyphens w:val="true"/>
              <w:spacing w:before="0" w:after="0"/>
              <w:ind w:left="4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Утилизация отходов должна производиться в соответствии с «Инструкцией по обращению с отходами производства и потребления филиала ПАО «РусГидро» – «Нижегородская ГЭС».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tabs>
                <w:tab w:val="clear" w:pos="708"/>
                <w:tab w:val="left" w:pos="45" w:leader="none"/>
              </w:tabs>
              <w:suppressAutoHyphens w:val="true"/>
              <w:spacing w:before="0" w:after="0"/>
              <w:ind w:left="4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Образовавшиеся в процессе выполнения работ отходы Субподрядчик временно накапливает в месте производства работ в соответствии с санитарными требованиями и требованиями в области охраны окружающей среды к накоплению отходов, установленными законодательством Российской Федерации, а также требованиями, установленными локальной нормативной документацией в области обращения с отходами Заказчика (инструкциями, положениями и др.).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tabs>
                <w:tab w:val="clear" w:pos="708"/>
                <w:tab w:val="left" w:pos="45" w:leader="none"/>
              </w:tabs>
              <w:suppressAutoHyphens w:val="true"/>
              <w:spacing w:before="0" w:after="0"/>
              <w:ind w:left="4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По окончании работ Субподрядчик перемещает временно накопленные на месте производства работ отходы в указанные Заказчиком места накопления отходов на его территории.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tabs>
                <w:tab w:val="clear" w:pos="708"/>
                <w:tab w:val="left" w:pos="45" w:leader="none"/>
              </w:tabs>
              <w:suppressAutoHyphens w:val="true"/>
              <w:spacing w:before="0" w:after="0"/>
              <w:ind w:left="4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Образовавшиеся в процессе производства работ отходы, подлежащие передаче специализированным организациям для обезвреживания и утилизации (лом черных и цветных металлов) являются собственностью Заказчика и подлежат передаче Заказчику.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tabs>
                <w:tab w:val="clear" w:pos="708"/>
                <w:tab w:val="left" w:pos="45" w:leader="none"/>
              </w:tabs>
              <w:suppressAutoHyphens w:val="true"/>
              <w:spacing w:before="0" w:after="0"/>
              <w:ind w:left="4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Отходы, образующиеся в результате деятельности Субподрядчика, не связанной с исполнением работ, в том числе отходы, образующиеся в процессе административно-хозяйственной деятельности персонала Субподрядчика на территории Филиала, являются собственностью Субподрядчика. Деятельность по обращению с такими отходами, а также связанная с этим ответственность, является обязанностью Субподрядчика.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tabs>
                <w:tab w:val="clear" w:pos="708"/>
                <w:tab w:val="left" w:pos="45" w:leader="none"/>
              </w:tabs>
              <w:suppressAutoHyphens w:val="true"/>
              <w:spacing w:before="0" w:after="0"/>
              <w:ind w:left="4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Не допускается накопление отходов сверх объема, который вмещает место накопления отходов.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tabs>
                <w:tab w:val="clear" w:pos="708"/>
                <w:tab w:val="left" w:pos="45" w:leader="none"/>
              </w:tabs>
              <w:suppressAutoHyphens w:val="true"/>
              <w:spacing w:before="0" w:after="0"/>
              <w:ind w:left="4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Субподрядчик обеспечивает своевременное удаление образовавшихся в процессе производства работ отходов из мест накопления отходов на территории Заказчика на объекты размещения/захоронения отходов, по Договорам Заказчика в соответствии с требованиями законодательства РФ. При этом затраты на погрузку и транспортирование отходов на объекты размещения/захоронения отходов включаются в смету затрат по договору. Количество (тонн), класс опасности отходов указывается в ведомости объема работ по договору.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tabs>
                <w:tab w:val="clear" w:pos="708"/>
                <w:tab w:val="left" w:pos="45" w:leader="none"/>
              </w:tabs>
              <w:suppressAutoHyphens w:val="true"/>
              <w:spacing w:before="0" w:after="0"/>
              <w:ind w:left="4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Персонал Субподрядчика обеспечивает поддержание чистоты в местах производства работ (на рабочих местах), своевременную уборку указанной (выделенной) Генеральным Подрядчиком площадки производства работ.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tabs>
                <w:tab w:val="clear" w:pos="708"/>
                <w:tab w:val="left" w:pos="45" w:leader="none"/>
              </w:tabs>
              <w:suppressAutoHyphens w:val="true"/>
              <w:spacing w:before="0" w:after="0"/>
              <w:ind w:left="4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Субподрядчик при выполнении работ обеспечивает соблюдение санитарных требований и требований в области охраны окружающей среды к обращению с отходами, установленных законодательством Российской Федерации законодательства.</w:t>
            </w:r>
          </w:p>
        </w:tc>
        <w:tc>
          <w:tcPr>
            <w:tcW w:w="3712" w:type="dxa"/>
            <w:vMerge w:val="continue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45" w:leader="none"/>
              </w:tabs>
              <w:suppressAutoHyphens w:val="true"/>
              <w:spacing w:before="0" w:after="0"/>
              <w:ind w:left="4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34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45" w:leader="none"/>
              </w:tabs>
              <w:suppressAutoHyphens w:val="true"/>
              <w:spacing w:before="0" w:after="0"/>
              <w:ind w:left="4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609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Организационно-технические мероприятия по допуску персонала подрядчика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10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7" w:leader="none"/>
              </w:tabs>
              <w:suppressAutoHyphens w:val="true"/>
              <w:spacing w:before="0" w:after="0"/>
              <w:ind w:left="37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Допуск персонала Субподрядчика для выполнения Работ осуществляется в соответствии с</w:t>
            </w:r>
          </w:p>
          <w:p>
            <w:pPr>
              <w:pStyle w:val="Normal"/>
              <w:widowControl/>
              <w:tabs>
                <w:tab w:val="clear" w:pos="708"/>
                <w:tab w:val="left" w:pos="37" w:leader="none"/>
              </w:tabs>
              <w:suppressAutoHyphens w:val="true"/>
              <w:spacing w:before="0" w:after="0"/>
              <w:ind w:left="37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Регламентом процесса «Допуск персонала подрядных организаций на объекты ПАО «РусГидро» (утв. приказом ПАО «РусГидро» №82 от 04.02.2022г)» с обязательным оформлением необходимых нарядов-допусков. </w:t>
            </w:r>
          </w:p>
          <w:p>
            <w:pPr>
              <w:pStyle w:val="Normal"/>
              <w:widowControl/>
              <w:tabs>
                <w:tab w:val="clear" w:pos="708"/>
                <w:tab w:val="left" w:pos="37" w:leader="none"/>
              </w:tabs>
              <w:suppressAutoHyphens w:val="true"/>
              <w:spacing w:before="0" w:after="0"/>
              <w:ind w:left="37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Допуск к выполнению работ выполняет персонал Нижегородской ГЭС.</w:t>
            </w:r>
          </w:p>
        </w:tc>
        <w:tc>
          <w:tcPr>
            <w:tcW w:w="3712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37" w:leader="none"/>
              </w:tabs>
              <w:suppressAutoHyphens w:val="true"/>
              <w:spacing w:before="0" w:after="0"/>
              <w:ind w:left="37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34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7" w:leader="none"/>
              </w:tabs>
              <w:suppressAutoHyphens w:val="true"/>
              <w:spacing w:before="0" w:after="0"/>
              <w:ind w:left="37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1093" w:hRule="atLeast"/>
        </w:trPr>
        <w:tc>
          <w:tcPr>
            <w:tcW w:w="609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08" w:type="dxa"/>
            <w:tcBorders/>
            <w:vAlign w:val="center"/>
          </w:tcPr>
          <w:p>
            <w:pPr>
              <w:pStyle w:val="ListParagraph"/>
              <w:widowControl/>
              <w:tabs>
                <w:tab w:val="clear" w:pos="708"/>
                <w:tab w:val="left" w:pos="373" w:leader="none"/>
              </w:tabs>
              <w:suppressAutoHyphens w:val="true"/>
              <w:spacing w:before="0" w:after="0"/>
              <w:ind w:left="2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Требования к применяемым при выполнении работ оборудованию, материалам, технологиям, программно-аппаратным средствам</w:t>
            </w:r>
          </w:p>
        </w:tc>
        <w:tc>
          <w:tcPr>
            <w:tcW w:w="5103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10"/>
              </w:numPr>
              <w:tabs>
                <w:tab w:val="clear" w:pos="708"/>
                <w:tab w:val="left" w:pos="373" w:leader="none"/>
              </w:tabs>
              <w:suppressAutoHyphens w:val="true"/>
              <w:spacing w:before="0" w:after="0"/>
              <w:ind w:left="43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Наличие в собственности или аренде инструмента и оборудования необходимого для выполнения работ в рамках рабочей и конструкторской документации и настоящего ТТ, на момент начала работ.  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712" w:type="dxa"/>
            <w:vMerge w:val="continue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373" w:leader="none"/>
              </w:tabs>
              <w:suppressAutoHyphens w:val="true"/>
              <w:spacing w:before="0" w:after="0"/>
              <w:ind w:left="43" w:hanging="0"/>
              <w:contextualSpacing/>
              <w:jc w:val="both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342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373" w:leader="none"/>
              </w:tabs>
              <w:suppressAutoHyphens w:val="true"/>
              <w:spacing w:before="0" w:after="0"/>
              <w:ind w:left="43" w:hanging="0"/>
              <w:contextualSpacing/>
              <w:jc w:val="both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609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611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Субподрядчика</w:t>
            </w:r>
          </w:p>
        </w:tc>
        <w:tc>
          <w:tcPr>
            <w:tcW w:w="371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34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09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Квалификация персонала подрядчика, привлекаемого к выполнению работ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10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7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Наличие трудовых договоров с работниками, привлекаемыми к производству работ на территории филиала ПАО «РусГидро» «Нижегородская ГЭС».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7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В соответствии с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Приказом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 Минтруда РФ №903н от 15 декабря 2020г. обязательно наличие в бригаде: минимум 1 работник с 5 группой по электробезопасности (далее э/б) (мастер), минимум 2 работника с 4 группой по э/б (производитель работ), а также работники с 3 группой по э/б (рабочие) и 2 группой, но не более 3 работников на бригаду с учетом, что на каждого работника со 2 группой должен приходиться 1 работник с 3 группой;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7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Персонал должен быть обучен выполнению работ на высоте (Наличие удостоверений обязательно) минимум 1 работник с 3-й группой, 1 работник со 2-й группой, остальной рабочий персонал с 1-й группой.)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7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Т.к. для подачи строительных материалов к месту производства работ, а также для удаления образующихся отходов на объекте есть возможность применения подъемного сооружения (далее ПС), штат исполнителя работ должен быть укомплектован стропальщиком (минимум 2-разряда) и лицом ответственным за работу с ПС.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7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Необходимые удостоверения подтверждающие группы по промышленной безопасности предоставляются для оформления пропусков Генеральному Подрядчику не позднее чем за 10 дней до прибытия работников к месту производства работ.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7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 До начала работ субподрядчик представляет документы, подтверждающие аттестацию руководителей и специалистов организации в области Промышленной безопасности, в том числе в части грузоподъемных механизмов и гидротехнических сооружений;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7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 До начала работ для персонала, участвующего в выполнении специальных работ, субподрядчик представляет копии действующих квалификационных документов (удостоверения, аттестаты) подтверждающих право проведения данных работ, удостоверений по электробезопасности;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7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 Для персонала, участвующего в выполнении грузоподъёмных работ кранами до начала работ субподрядчик представляет копии действующих квалификационных документов, подтверждающих право проведения данных работ (ответственные за производство работ кранами, стропальщики);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7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 До начала работ субподрядчик представляет список персонала, имеющего право быть ответственными лицами при работах по наряду-допуску и распоряжению, при выполнении специальных работ.</w:t>
            </w:r>
          </w:p>
        </w:tc>
        <w:tc>
          <w:tcPr>
            <w:tcW w:w="3712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7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34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7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09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611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 работ и охране труда</w:t>
            </w:r>
          </w:p>
          <w:p>
            <w:pPr>
              <w:pStyle w:val="ListParagraph"/>
              <w:widowControl/>
              <w:tabs>
                <w:tab w:val="clear" w:pos="708"/>
                <w:tab w:val="left" w:pos="373" w:leader="none"/>
              </w:tabs>
              <w:suppressAutoHyphens w:val="true"/>
              <w:spacing w:before="0" w:after="0"/>
              <w:ind w:left="25" w:hanging="0"/>
              <w:contextualSpacing/>
              <w:jc w:val="both"/>
              <w:rPr>
                <w:color w:val="FF0000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–</w:t>
            </w:r>
            <w:r>
              <w:rPr>
                <w:rFonts w:cs="Times New Roman"/>
                <w:color w:val="FF0000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kern w:val="0"/>
                <w:lang w:val="ru-RU" w:eastAsia="ru-RU" w:bidi="ar-SA"/>
              </w:rPr>
              <w:t>технические и организационные возможности, комплектность персонала, безопасность производства работ должны соответствовать характеру выполняемых работ.</w:t>
            </w:r>
          </w:p>
        </w:tc>
        <w:tc>
          <w:tcPr>
            <w:tcW w:w="371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342" w:type="dxa"/>
            <w:tcBorders/>
          </w:tcPr>
          <w:p>
            <w:pPr>
              <w:pStyle w:val="Normal"/>
              <w:widowControl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09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Требования к безопасности выполняемых работ</w:t>
            </w:r>
          </w:p>
        </w:tc>
        <w:tc>
          <w:tcPr>
            <w:tcW w:w="510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Субподрядчик должен:</w:t>
            </w:r>
          </w:p>
          <w:p>
            <w:pPr>
              <w:pStyle w:val="ListParagraph"/>
              <w:widowControl/>
              <w:numPr>
                <w:ilvl w:val="0"/>
                <w:numId w:val="11"/>
              </w:numPr>
              <w:suppressAutoHyphens w:val="true"/>
              <w:spacing w:before="0" w:after="0"/>
              <w:ind w:left="203" w:hanging="203"/>
              <w:contextualSpacing/>
              <w:jc w:val="left"/>
              <w:rPr>
                <w:iCs/>
              </w:rPr>
            </w:pPr>
            <w:r>
              <w:rPr>
                <w:rFonts w:cs="Times New Roman"/>
                <w:iCs/>
                <w:kern w:val="0"/>
                <w:lang w:val="ru-RU" w:eastAsia="ru-RU" w:bidi="ar-SA"/>
              </w:rPr>
              <w:t>Соблюдать требования действующего федерального законодательства Российской Федерации, нормативных правовых актов субъектов Российской Федерации, в т.ч. законодательство о недрах, охране окружающей среды, промышленной и пожарной безопасности, охране труда, энергоэффективности, рационального использования природных ресурсов и полезных ископаемых.</w:t>
            </w:r>
          </w:p>
          <w:p>
            <w:pPr>
              <w:pStyle w:val="ListParagraph"/>
              <w:widowControl/>
              <w:numPr>
                <w:ilvl w:val="0"/>
                <w:numId w:val="11"/>
              </w:numPr>
              <w:suppressAutoHyphens w:val="true"/>
              <w:spacing w:before="0" w:after="0"/>
              <w:ind w:left="405" w:hanging="284"/>
              <w:contextualSpacing/>
              <w:jc w:val="left"/>
              <w:rPr>
                <w:iCs/>
              </w:rPr>
            </w:pPr>
            <w:r>
              <w:rPr>
                <w:rFonts w:cs="Times New Roman"/>
                <w:iCs/>
                <w:kern w:val="0"/>
                <w:lang w:val="ru-RU" w:eastAsia="ru-RU" w:bidi="ar-SA"/>
              </w:rPr>
              <w:t>Субподрядчик обязан:</w:t>
            </w:r>
          </w:p>
          <w:p>
            <w:pPr>
              <w:pStyle w:val="ListParagraph"/>
              <w:widowControl/>
              <w:suppressAutoHyphens w:val="true"/>
              <w:spacing w:before="0" w:after="0"/>
              <w:ind w:left="169" w:hanging="0"/>
              <w:contextualSpacing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направлять на объекты Заказчика работников, обученных правилам безопасного ведения работ и имеющих все необходимые допуски к производству работ, а также представлять документы на русском языке, подтверждающие аттестацию работников на проведение соответствующих видов работ.</w:t>
            </w:r>
          </w:p>
        </w:tc>
        <w:tc>
          <w:tcPr>
            <w:tcW w:w="371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34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09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611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работ</w:t>
            </w:r>
          </w:p>
        </w:tc>
        <w:tc>
          <w:tcPr>
            <w:tcW w:w="371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34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09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работ</w:t>
            </w:r>
          </w:p>
        </w:tc>
        <w:tc>
          <w:tcPr>
            <w:tcW w:w="51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Работы выполняются в таком объеме, который позволяет начать эксплуатацию результатов работ без проведения закупочных процедур Генеральным подрядчиком, включающих дополнительные объёмы каких-либо материалов, оборудования и работ, выявленных в процессе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выполнения работ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.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Работы считаются выполненными после приемки объекта комиссией филиала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ПАО «РусГидро» - «Нижегородской ГЭС» с оформлением отчётной документации со стороны Субподрядчика.</w:t>
            </w:r>
          </w:p>
        </w:tc>
        <w:tc>
          <w:tcPr>
            <w:tcW w:w="371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6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342" w:type="dxa"/>
            <w:tcBorders/>
          </w:tcPr>
          <w:p>
            <w:pPr>
              <w:pStyle w:val="Normal"/>
              <w:widowControl/>
              <w:suppressAutoHyphens w:val="true"/>
              <w:spacing w:before="6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09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оформлению документации</w:t>
            </w:r>
          </w:p>
        </w:tc>
        <w:tc>
          <w:tcPr>
            <w:tcW w:w="51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Представить Генподрядчику с актами выполненных работ и ведомостями выполненных работ исполнительную документацию (журналы ведения работ, акты на скрытые работы, исполнительные схемы и чертежи;), в соответствии с РД-11-02-2006 «Требования к составу и порядку ведения исполнительной документации при строительстве, реконструкции, капитальном ремонте объектов капитального строительства и требования, предъявляемые к актам освидетельствования работ, конструкций, участков сетей инженерно-технического обеспечения».</w:t>
            </w:r>
          </w:p>
        </w:tc>
        <w:tc>
          <w:tcPr>
            <w:tcW w:w="371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342" w:type="dxa"/>
            <w:tcBorders/>
          </w:tcPr>
          <w:p>
            <w:pPr>
              <w:pStyle w:val="Normal"/>
              <w:widowControl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09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оформлению документации</w:t>
            </w:r>
          </w:p>
        </w:tc>
        <w:tc>
          <w:tcPr>
            <w:tcW w:w="5103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uppressAutoHyphens w:val="true"/>
              <w:spacing w:before="60" w:after="0"/>
              <w:ind w:left="27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Представить Генподрядчику с актами выполненных работ и ведомостями выполненных работ исполнительную документацию (журналы ведения работ, формуляры);</w:t>
            </w:r>
          </w:p>
          <w:p>
            <w:pPr>
              <w:pStyle w:val="ListParagraph"/>
              <w:widowControl/>
              <w:numPr>
                <w:ilvl w:val="0"/>
                <w:numId w:val="12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Журнал учета выполненных работ по форме КС-6А, общего и специального журнала выполненных работ установленной требованиями Приказа Минстроя России от 02.12.2022 N 1026/пр; </w:t>
            </w:r>
          </w:p>
          <w:p>
            <w:pPr>
              <w:pStyle w:val="ListParagraph"/>
              <w:widowControl/>
              <w:numPr>
                <w:ilvl w:val="0"/>
                <w:numId w:val="12"/>
              </w:numPr>
              <w:suppressAutoHyphens w:val="true"/>
              <w:spacing w:before="60" w:after="0"/>
              <w:ind w:left="27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Справку о фактических трудозатратах на выполненные работы;</w:t>
            </w:r>
          </w:p>
          <w:p>
            <w:pPr>
              <w:pStyle w:val="ListParagraph"/>
              <w:widowControl/>
              <w:numPr>
                <w:ilvl w:val="0"/>
                <w:numId w:val="12"/>
              </w:numPr>
              <w:suppressAutoHyphens w:val="true"/>
              <w:spacing w:before="60" w:after="0"/>
              <w:ind w:left="27" w:hanging="0"/>
              <w:contextualSpacing/>
              <w:jc w:val="left"/>
              <w:rPr>
                <w:b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Отчётные документы представить на бумажном носителе в 3 экземплярах, на электронном носителе в 1 экземпляре в форматах *.dwg, *.vsd, *.dос, *.хls.</w:t>
            </w:r>
          </w:p>
        </w:tc>
        <w:tc>
          <w:tcPr>
            <w:tcW w:w="3712" w:type="dxa"/>
            <w:vMerge w:val="continue"/>
            <w:tcBorders/>
          </w:tcPr>
          <w:p>
            <w:pPr>
              <w:pStyle w:val="ListParagraph"/>
              <w:widowControl/>
              <w:suppressAutoHyphens w:val="true"/>
              <w:spacing w:before="60" w:after="0"/>
              <w:ind w:left="27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342" w:type="dxa"/>
            <w:tcBorders/>
          </w:tcPr>
          <w:p>
            <w:pPr>
              <w:pStyle w:val="ListParagraph"/>
              <w:widowControl/>
              <w:suppressAutoHyphens w:val="true"/>
              <w:spacing w:before="60" w:after="0"/>
              <w:ind w:left="27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609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Документы, передаваемые Генподрядчику по результатам выполненных работ</w:t>
            </w:r>
          </w:p>
        </w:tc>
        <w:tc>
          <w:tcPr>
            <w:tcW w:w="5103" w:type="dxa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uppressAutoHyphens w:val="true"/>
              <w:spacing w:before="0" w:after="0"/>
              <w:ind w:left="148" w:hanging="20"/>
              <w:contextualSpacing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 xml:space="preserve">Субподрядчик обязан одновременно с актами выполненных работ и ведомостями выполненных работ предоставить Генподрядчику исполнительную документацию (журналы ведения работ, акты на скрытые работы, исполнительные схемы и чертежи;)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и </w:t>
            </w: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справку о фактических трудозатратах на выполненные работы. Отчётные документы по всем выполненным работам представить на бумажном носителе в 3 экземплярах, на электронном носителе в форматах *.dwg, *.vsd, *.dос, *.хls.</w:t>
            </w:r>
          </w:p>
        </w:tc>
        <w:tc>
          <w:tcPr>
            <w:tcW w:w="3712" w:type="dxa"/>
            <w:vMerge w:val="continue"/>
            <w:tcBorders/>
          </w:tcPr>
          <w:p>
            <w:pPr>
              <w:pStyle w:val="ListParagraph"/>
              <w:widowControl/>
              <w:suppressAutoHyphens w:val="true"/>
              <w:spacing w:before="0" w:after="0"/>
              <w:ind w:left="148" w:hanging="0"/>
              <w:contextualSpacing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</w:r>
          </w:p>
        </w:tc>
        <w:tc>
          <w:tcPr>
            <w:tcW w:w="3342" w:type="dxa"/>
            <w:tcBorders/>
          </w:tcPr>
          <w:p>
            <w:pPr>
              <w:pStyle w:val="ListParagraph"/>
              <w:widowControl/>
              <w:suppressAutoHyphens w:val="true"/>
              <w:spacing w:before="0" w:after="0"/>
              <w:ind w:left="148" w:hanging="0"/>
              <w:contextualSpacing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609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4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субподрядчика</w:t>
            </w:r>
          </w:p>
          <w:p>
            <w:pPr>
              <w:pStyle w:val="Normal"/>
              <w:widowControl/>
              <w:suppressAutoHyphens w:val="true"/>
              <w:spacing w:before="4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103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uppressAutoHyphens w:val="true"/>
              <w:spacing w:before="0" w:after="0"/>
              <w:ind w:left="102" w:hanging="0"/>
              <w:contextualSpacing/>
              <w:jc w:val="left"/>
              <w:rPr>
                <w:rFonts w:eastAsia="Times New Roman"/>
                <w:iCs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Срок гарантии на результаты работ – не менее 5 лет.</w:t>
            </w:r>
          </w:p>
          <w:p>
            <w:pPr>
              <w:pStyle w:val="ListParagraph"/>
              <w:widowControl/>
              <w:numPr>
                <w:ilvl w:val="0"/>
                <w:numId w:val="13"/>
              </w:numPr>
              <w:suppressAutoHyphens w:val="true"/>
              <w:spacing w:before="0" w:after="0"/>
              <w:ind w:left="102" w:hanging="0"/>
              <w:contextualSpacing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В случае повреждения строительных конструкций в ходе выполнения работ Субподрядчик обязуется устранить возникшие повреждения за свой счет в согласованные с Генеральным подрядчиком сроки, но не позднее 15 дней с момента подписания акта приемки работ.</w:t>
            </w:r>
          </w:p>
          <w:p>
            <w:pPr>
              <w:pStyle w:val="ListParagraph"/>
              <w:widowControl/>
              <w:numPr>
                <w:ilvl w:val="0"/>
                <w:numId w:val="13"/>
              </w:numPr>
              <w:suppressAutoHyphens w:val="true"/>
              <w:spacing w:before="0" w:after="0"/>
              <w:ind w:left="102" w:hanging="0"/>
              <w:contextualSpacing/>
              <w:jc w:val="left"/>
              <w:rPr>
                <w:b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Для участия в составлении акта, фиксирующего дефекты, согласования порядка и сроков их устранения Субподрядчик обязан направить своего представителя в течение суток со дня получения письменного извещения Генерального подрядчика.</w:t>
            </w:r>
          </w:p>
        </w:tc>
        <w:tc>
          <w:tcPr>
            <w:tcW w:w="3712" w:type="dxa"/>
            <w:vMerge w:val="continue"/>
            <w:tcBorders/>
          </w:tcPr>
          <w:p>
            <w:pPr>
              <w:pStyle w:val="ListParagraph"/>
              <w:widowControl/>
              <w:suppressAutoHyphens w:val="true"/>
              <w:spacing w:before="0" w:after="0"/>
              <w:ind w:left="102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342" w:type="dxa"/>
            <w:tcBorders/>
          </w:tcPr>
          <w:p>
            <w:pPr>
              <w:pStyle w:val="ListParagraph"/>
              <w:widowControl/>
              <w:suppressAutoHyphens w:val="true"/>
              <w:spacing w:before="0" w:after="0"/>
              <w:ind w:left="102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609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0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Cs/>
                <w:kern w:val="0"/>
                <w:sz w:val="24"/>
                <w:szCs w:val="24"/>
                <w:lang w:val="ru-RU" w:eastAsia="ru-RU" w:bidi="ar-SA"/>
              </w:rPr>
              <w:t>Требования к субподрядчику и его обязательствам, влияющим на исполнение договора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ind w:left="356" w:hanging="0"/>
              <w:contextualSpacing/>
              <w:jc w:val="left"/>
              <w:rPr>
                <w:iCs/>
              </w:rPr>
            </w:pPr>
            <w:r>
              <w:rPr>
                <w:rFonts w:cs="Times New Roman"/>
                <w:iCs/>
                <w:kern w:val="0"/>
                <w:lang w:val="ru-RU" w:eastAsia="ru-RU" w:bidi="ar-SA"/>
              </w:rPr>
            </w:r>
          </w:p>
        </w:tc>
        <w:tc>
          <w:tcPr>
            <w:tcW w:w="510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37" w:leader="none"/>
              </w:tabs>
              <w:suppressAutoHyphens w:val="true"/>
              <w:spacing w:before="60" w:after="0"/>
              <w:ind w:left="178" w:hanging="36"/>
              <w:contextualSpacing/>
              <w:jc w:val="left"/>
              <w:rPr>
                <w:iCs/>
              </w:rPr>
            </w:pPr>
            <w:r>
              <w:rPr>
                <w:rFonts w:cs="Times New Roman"/>
                <w:iCs/>
                <w:kern w:val="0"/>
                <w:lang w:val="ru-RU" w:eastAsia="ru-RU" w:bidi="ar-SA"/>
              </w:rPr>
              <w:t>Персонал Субподрядчика обеспечивает поддержание чистоты на рабочих местах, своевременную уборку ремонтной площадки и ликвидацию отходов по окончании Работ.</w:t>
            </w:r>
          </w:p>
          <w:p>
            <w:pPr>
              <w:pStyle w:val="ListParagraph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37" w:leader="none"/>
              </w:tabs>
              <w:suppressAutoHyphens w:val="true"/>
              <w:spacing w:before="60" w:after="0"/>
              <w:ind w:left="178" w:hanging="36"/>
              <w:contextualSpacing/>
              <w:jc w:val="left"/>
              <w:rPr>
                <w:iCs/>
              </w:rPr>
            </w:pPr>
            <w:r>
              <w:rPr>
                <w:rFonts w:cs="Times New Roman"/>
                <w:iCs/>
                <w:kern w:val="0"/>
                <w:lang w:val="ru-RU" w:eastAsia="ru-RU" w:bidi="ar-SA"/>
              </w:rPr>
              <w:t xml:space="preserve">Субподрядчик своевременно предупреждает Генерального подрядчика о необходимости выполнения дополнительных Работ. </w:t>
            </w:r>
          </w:p>
          <w:p>
            <w:pPr>
              <w:pStyle w:val="ListParagraph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37" w:leader="none"/>
              </w:tabs>
              <w:suppressAutoHyphens w:val="true"/>
              <w:spacing w:before="60" w:after="0"/>
              <w:ind w:left="178" w:hanging="36"/>
              <w:contextualSpacing/>
              <w:jc w:val="left"/>
              <w:rPr>
                <w:iCs/>
              </w:rPr>
            </w:pPr>
            <w:r>
              <w:rPr>
                <w:rFonts w:cs="Times New Roman"/>
                <w:iCs/>
                <w:kern w:val="0"/>
                <w:lang w:val="ru-RU" w:eastAsia="ru-RU" w:bidi="ar-SA"/>
              </w:rPr>
              <w:t>Субподрядчик представляет Генподрядчику по его запросу письменный отчет о текущем исполнении своих обязательств.</w:t>
            </w:r>
          </w:p>
        </w:tc>
        <w:tc>
          <w:tcPr>
            <w:tcW w:w="3712" w:type="dxa"/>
            <w:vMerge w:val="continue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37" w:leader="none"/>
              </w:tabs>
              <w:suppressAutoHyphens w:val="true"/>
              <w:spacing w:before="60" w:after="0"/>
              <w:ind w:left="178" w:hanging="0"/>
              <w:contextualSpacing/>
              <w:jc w:val="left"/>
              <w:rPr>
                <w:iCs/>
              </w:rPr>
            </w:pPr>
            <w:r>
              <w:rPr>
                <w:rFonts w:cs="Times New Roman"/>
                <w:iCs/>
                <w:kern w:val="0"/>
                <w:lang w:val="ru-RU" w:eastAsia="ru-RU" w:bidi="ar-SA"/>
              </w:rPr>
            </w:r>
          </w:p>
        </w:tc>
        <w:tc>
          <w:tcPr>
            <w:tcW w:w="3342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37" w:leader="none"/>
              </w:tabs>
              <w:suppressAutoHyphens w:val="true"/>
              <w:spacing w:before="60" w:after="0"/>
              <w:ind w:left="178" w:hanging="0"/>
              <w:contextualSpacing/>
              <w:jc w:val="left"/>
              <w:rPr>
                <w:iCs/>
              </w:rPr>
            </w:pPr>
            <w:r>
              <w:rPr>
                <w:rFonts w:cs="Times New Roman"/>
                <w:iCs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609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0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Требования к  подрядным организациям, привлекаемых к выполнению работ субподрядчиком</w:t>
            </w:r>
          </w:p>
        </w:tc>
        <w:tc>
          <w:tcPr>
            <w:tcW w:w="510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В случае привлечения к выполнению работ подрядных организаций субподрядчик обязан предоставить Генеральному подрядчику, на момент согласования договора, документы подтверждающие соответствие их квалификационного уровня, а также готовность и возможность выполнения ими работ.</w:t>
            </w:r>
          </w:p>
        </w:tc>
        <w:tc>
          <w:tcPr>
            <w:tcW w:w="371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34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sectPr>
          <w:headerReference w:type="default" r:id="rId6"/>
          <w:headerReference w:type="first" r:id="rId7"/>
          <w:footerReference w:type="default" r:id="rId8"/>
          <w:type w:val="nextPage"/>
          <w:pgSz w:orient="landscape" w:w="16838" w:h="11906"/>
          <w:pgMar w:left="992" w:right="567" w:gutter="0" w:header="680" w:top="851" w:footer="737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30" w:name="_Toc214985843"/>
      <w:bookmarkStart w:id="31" w:name="_Toc137713691"/>
      <w:bookmarkStart w:id="32" w:name="_Toc53393312"/>
      <w:r>
        <w:rPr>
          <w:lang w:val="ru-RU"/>
        </w:rPr>
        <w:t>Требования к документации по ценообразованию</w:t>
      </w:r>
      <w:bookmarkEnd w:id="32"/>
      <w:r>
        <w:rPr>
          <w:lang w:val="ru-RU"/>
        </w:rPr>
        <w:t xml:space="preserve"> на этапе закупки</w:t>
      </w:r>
      <w:bookmarkEnd w:id="30"/>
      <w:bookmarkEnd w:id="31"/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обоснование стоимости своей заявки Участник закупки предоставляет Коммерческое предложение по форме (с учётом прилагаемой к ней инструкции по заполнению), приведённой в Документации о закупке (с указанием конкурсного коэффициента). Дополнительные документы по ценообразованию (сметная документация) в состав заявки Участника не включаются.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Стоимость предложений участника закупки определяется по формуле: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P=N*k,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где P – стоимость предложения участника (принимается с округлением до целого значения);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N – начальная (максимальная) цена договора (цена лота);</w:t>
      </w:r>
    </w:p>
    <w:p>
      <w:pPr>
        <w:pStyle w:val="Normal"/>
        <w:jc w:val="both"/>
        <w:rPr>
          <w:rFonts w:eastAsia="Calibri"/>
          <w:b/>
          <w:iCs/>
          <w:lang w:val="x-none" w:eastAsia="x-none"/>
        </w:rPr>
      </w:pPr>
      <w:r>
        <w:rPr>
          <w:sz w:val="24"/>
          <w:szCs w:val="24"/>
        </w:rPr>
        <w:t>k – конкурсный коэффициент, заявленный участником в расчете цены заявки, величину данного коэффициента рекомендуется учитывать с округлением до 3 знаков после запятой.</w:t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0" w:firstLine="142"/>
        <w:jc w:val="center"/>
        <w:rPr>
          <w:lang w:val="ru-RU"/>
        </w:rPr>
      </w:pPr>
      <w:bookmarkStart w:id="33" w:name="_Toc214985844"/>
      <w:bookmarkStart w:id="34" w:name="_Toc137713692"/>
      <w:r>
        <w:rPr>
          <w:lang w:val="ru-RU"/>
        </w:rPr>
        <w:t>Требования к документации по ценообразованию на этапе заключения (исполнения) договора</w:t>
      </w:r>
      <w:bookmarkEnd w:id="33"/>
      <w:bookmarkEnd w:id="34"/>
    </w:p>
    <w:p>
      <w:pPr>
        <w:pStyle w:val="Normal"/>
        <w:jc w:val="both"/>
        <w:rPr>
          <w:rFonts w:eastAsia="Calibri"/>
          <w:b/>
          <w:iCs/>
          <w:sz w:val="24"/>
          <w:szCs w:val="24"/>
          <w:lang w:eastAsia="x-none"/>
        </w:rPr>
      </w:pPr>
      <w:r>
        <w:rPr>
          <w:rStyle w:val="Cef1edeee2edeee9f8f0e8f4f2e0e1e7e0f6e0"/>
          <w:sz w:val="24"/>
          <w:szCs w:val="24"/>
        </w:rPr>
        <w:t>Сметную документацию составлять и оформлять в соответствии с требованиями к документации по ценообразованию (Приложение №2 к настоящим техническим требованиям) с применением конкурсного коэффициента, указанного в заявке Участника, с которым принято решение заключить договор, коэффициент начисляется в каждой локальной смете к итогу.</w:t>
      </w:r>
    </w:p>
    <w:p>
      <w:pPr>
        <w:pStyle w:val="Normal"/>
        <w:jc w:val="both"/>
        <w:rPr>
          <w:rFonts w:eastAsia="Calibri"/>
          <w:b/>
          <w:iCs/>
          <w:sz w:val="24"/>
          <w:szCs w:val="24"/>
          <w:lang w:eastAsia="x-none"/>
        </w:rPr>
      </w:pPr>
      <w:r>
        <w:rPr>
          <w:rFonts w:eastAsia="Calibri"/>
          <w:b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rFonts w:eastAsia="Calibri"/>
          <w:b/>
          <w:iCs/>
          <w:sz w:val="24"/>
          <w:szCs w:val="24"/>
          <w:lang w:eastAsia="x-none"/>
        </w:rPr>
      </w:pPr>
      <w:r>
        <w:rPr>
          <w:rFonts w:eastAsia="Calibri"/>
          <w:b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rFonts w:eastAsia="Calibri"/>
          <w:b/>
          <w:iCs/>
          <w:sz w:val="24"/>
          <w:szCs w:val="24"/>
          <w:lang w:eastAsia="x-none"/>
        </w:rPr>
      </w:pPr>
      <w:r>
        <w:rPr>
          <w:rFonts w:eastAsia="Calibri"/>
          <w:b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rFonts w:eastAsia="Calibri"/>
          <w:b/>
          <w:iCs/>
          <w:sz w:val="24"/>
          <w:szCs w:val="24"/>
          <w:lang w:eastAsia="x-none"/>
        </w:rPr>
      </w:pPr>
      <w:r>
        <w:rPr>
          <w:rFonts w:eastAsia="Calibri"/>
          <w:b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rFonts w:eastAsia="Calibri"/>
          <w:b/>
          <w:iCs/>
          <w:sz w:val="24"/>
          <w:szCs w:val="24"/>
          <w:lang w:eastAsia="x-none"/>
        </w:rPr>
      </w:pPr>
      <w:r>
        <w:rPr>
          <w:rFonts w:eastAsia="Calibri"/>
          <w:b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rFonts w:eastAsia="Calibri"/>
          <w:b/>
          <w:iCs/>
          <w:sz w:val="24"/>
          <w:szCs w:val="24"/>
          <w:lang w:eastAsia="x-none"/>
        </w:rPr>
      </w:pPr>
      <w:r>
        <w:rPr>
          <w:rFonts w:eastAsia="Calibri"/>
          <w:b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rFonts w:eastAsia="Calibri"/>
          <w:b/>
          <w:iCs/>
          <w:sz w:val="24"/>
          <w:szCs w:val="24"/>
          <w:lang w:eastAsia="x-none"/>
        </w:rPr>
      </w:pPr>
      <w:r>
        <w:rPr>
          <w:rFonts w:eastAsia="Calibri"/>
          <w:b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rFonts w:eastAsia="Calibri"/>
          <w:b/>
          <w:iCs/>
          <w:sz w:val="24"/>
          <w:szCs w:val="24"/>
          <w:lang w:eastAsia="x-none"/>
        </w:rPr>
      </w:pPr>
      <w:r>
        <w:rPr>
          <w:rFonts w:eastAsia="Calibri"/>
          <w:b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rFonts w:eastAsia="Calibri"/>
          <w:b/>
          <w:iCs/>
          <w:sz w:val="24"/>
          <w:szCs w:val="24"/>
          <w:lang w:eastAsia="x-none"/>
        </w:rPr>
      </w:pPr>
      <w:r>
        <w:rPr>
          <w:rFonts w:eastAsia="Calibri"/>
          <w:b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rFonts w:eastAsia="Calibri"/>
          <w:b/>
          <w:iCs/>
          <w:sz w:val="24"/>
          <w:szCs w:val="24"/>
          <w:lang w:eastAsia="x-none"/>
        </w:rPr>
      </w:pPr>
      <w:r>
        <w:rPr>
          <w:rFonts w:eastAsia="Calibri"/>
          <w:b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rFonts w:eastAsia="Calibri"/>
          <w:b/>
          <w:iCs/>
          <w:sz w:val="24"/>
          <w:szCs w:val="24"/>
          <w:lang w:eastAsia="x-none"/>
        </w:rPr>
      </w:pPr>
      <w:r>
        <w:rPr>
          <w:rFonts w:eastAsia="Calibri"/>
          <w:b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rFonts w:eastAsia="Calibri"/>
          <w:b/>
          <w:iCs/>
          <w:sz w:val="24"/>
          <w:szCs w:val="24"/>
          <w:lang w:eastAsia="x-none"/>
        </w:rPr>
      </w:pPr>
      <w:r>
        <w:rPr>
          <w:rFonts w:eastAsia="Calibri"/>
          <w:b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rFonts w:eastAsia="Calibri"/>
          <w:b/>
          <w:iCs/>
          <w:sz w:val="24"/>
          <w:szCs w:val="24"/>
          <w:lang w:eastAsia="x-none"/>
        </w:rPr>
      </w:pPr>
      <w:r>
        <w:rPr>
          <w:rFonts w:eastAsia="Calibri"/>
          <w:b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rFonts w:eastAsia="Calibri"/>
          <w:b/>
          <w:iCs/>
          <w:sz w:val="24"/>
          <w:szCs w:val="24"/>
          <w:lang w:eastAsia="x-none"/>
        </w:rPr>
      </w:pPr>
      <w:r>
        <w:rPr>
          <w:rFonts w:eastAsia="Calibri"/>
          <w:b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rFonts w:eastAsia="Calibri"/>
          <w:b/>
          <w:iCs/>
          <w:sz w:val="24"/>
          <w:szCs w:val="24"/>
          <w:lang w:eastAsia="x-none"/>
        </w:rPr>
      </w:pPr>
      <w:r>
        <w:rPr>
          <w:rFonts w:eastAsia="Calibri"/>
          <w:b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rFonts w:eastAsia="Calibri"/>
          <w:b/>
          <w:iCs/>
          <w:sz w:val="24"/>
          <w:szCs w:val="24"/>
          <w:lang w:eastAsia="x-none"/>
        </w:rPr>
      </w:pPr>
      <w:r>
        <w:rPr>
          <w:rFonts w:eastAsia="Calibri"/>
          <w:b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rFonts w:eastAsia="Calibri"/>
          <w:b/>
          <w:iCs/>
          <w:sz w:val="24"/>
          <w:szCs w:val="24"/>
          <w:lang w:eastAsia="x-none"/>
        </w:rPr>
      </w:pPr>
      <w:r>
        <w:rPr>
          <w:rFonts w:eastAsia="Calibri"/>
          <w:b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rFonts w:eastAsia="Calibri"/>
          <w:b/>
          <w:iCs/>
          <w:sz w:val="24"/>
          <w:szCs w:val="24"/>
          <w:lang w:eastAsia="x-none"/>
        </w:rPr>
      </w:pPr>
      <w:r>
        <w:rPr>
          <w:rFonts w:eastAsia="Calibri"/>
          <w:b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rFonts w:eastAsia="Calibri"/>
          <w:b/>
          <w:iCs/>
          <w:sz w:val="24"/>
          <w:szCs w:val="24"/>
          <w:lang w:eastAsia="x-none"/>
        </w:rPr>
      </w:pPr>
      <w:r>
        <w:rPr>
          <w:rFonts w:eastAsia="Calibri"/>
          <w:b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rFonts w:eastAsia="Calibri"/>
          <w:b/>
          <w:iCs/>
          <w:sz w:val="24"/>
          <w:szCs w:val="24"/>
          <w:lang w:eastAsia="x-none"/>
        </w:rPr>
      </w:pPr>
      <w:r>
        <w:rPr>
          <w:rFonts w:eastAsia="Calibri"/>
          <w:b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rFonts w:eastAsia="Calibri"/>
          <w:b/>
          <w:iCs/>
          <w:sz w:val="24"/>
          <w:szCs w:val="24"/>
          <w:lang w:eastAsia="x-none"/>
        </w:rPr>
      </w:pPr>
      <w:r>
        <w:rPr>
          <w:rFonts w:eastAsia="Calibri"/>
          <w:b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rFonts w:eastAsia="Calibri"/>
          <w:b/>
          <w:iCs/>
          <w:sz w:val="24"/>
          <w:szCs w:val="24"/>
          <w:lang w:eastAsia="x-none"/>
        </w:rPr>
      </w:pPr>
      <w:r>
        <w:rPr>
          <w:rFonts w:eastAsia="Calibri"/>
          <w:b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rFonts w:eastAsia="Calibri"/>
          <w:b/>
          <w:iCs/>
          <w:sz w:val="24"/>
          <w:szCs w:val="24"/>
          <w:lang w:eastAsia="x-none"/>
        </w:rPr>
      </w:pPr>
      <w:r>
        <w:rPr>
          <w:rFonts w:eastAsia="Calibri"/>
          <w:b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rFonts w:eastAsia="Calibri"/>
          <w:b/>
          <w:iCs/>
          <w:sz w:val="24"/>
          <w:szCs w:val="24"/>
          <w:lang w:eastAsia="x-none"/>
        </w:rPr>
      </w:pPr>
      <w:r>
        <w:rPr>
          <w:rFonts w:eastAsia="Calibri"/>
          <w:b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rFonts w:eastAsia="Calibri"/>
          <w:b/>
          <w:iCs/>
          <w:sz w:val="24"/>
          <w:szCs w:val="24"/>
          <w:lang w:eastAsia="x-none"/>
        </w:rPr>
      </w:pPr>
      <w:r>
        <w:rPr>
          <w:rFonts w:eastAsia="Calibri"/>
          <w:b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rFonts w:eastAsia="Calibri"/>
          <w:b/>
          <w:iCs/>
          <w:sz w:val="24"/>
          <w:szCs w:val="24"/>
          <w:lang w:eastAsia="x-none"/>
        </w:rPr>
      </w:pPr>
      <w:r>
        <w:rPr>
          <w:rFonts w:eastAsia="Calibri"/>
          <w:b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rFonts w:eastAsia="Calibri"/>
          <w:b/>
          <w:iCs/>
          <w:sz w:val="24"/>
          <w:szCs w:val="24"/>
          <w:lang w:eastAsia="x-none"/>
        </w:rPr>
      </w:pPr>
      <w:r>
        <w:rPr>
          <w:rFonts w:eastAsia="Calibri"/>
          <w:b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rFonts w:eastAsia="Calibri"/>
          <w:b/>
          <w:iCs/>
          <w:sz w:val="24"/>
          <w:szCs w:val="24"/>
          <w:lang w:eastAsia="x-none"/>
        </w:rPr>
      </w:pPr>
      <w:r>
        <w:rPr>
          <w:rFonts w:eastAsia="Calibri"/>
          <w:b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rFonts w:eastAsia="Calibri"/>
          <w:b/>
          <w:iCs/>
          <w:sz w:val="24"/>
          <w:szCs w:val="24"/>
          <w:lang w:eastAsia="x-none"/>
        </w:rPr>
      </w:pPr>
      <w:r>
        <w:rPr>
          <w:rFonts w:eastAsia="Calibri"/>
          <w:b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rFonts w:eastAsia="Calibri"/>
          <w:b/>
          <w:iCs/>
          <w:sz w:val="24"/>
          <w:szCs w:val="24"/>
          <w:lang w:eastAsia="x-none"/>
        </w:rPr>
      </w:pPr>
      <w:r>
        <w:rPr>
          <w:rFonts w:eastAsia="Calibri"/>
          <w:b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rFonts w:eastAsia="Calibri"/>
          <w:b/>
          <w:iCs/>
          <w:sz w:val="24"/>
          <w:szCs w:val="24"/>
          <w:lang w:eastAsia="x-none"/>
        </w:rPr>
      </w:pPr>
      <w:r>
        <w:rPr>
          <w:rFonts w:eastAsia="Calibri"/>
          <w:b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rFonts w:eastAsia="Calibri"/>
          <w:b/>
          <w:iCs/>
          <w:sz w:val="24"/>
          <w:szCs w:val="24"/>
          <w:lang w:eastAsia="x-none"/>
        </w:rPr>
      </w:pPr>
      <w:r>
        <w:rPr>
          <w:rFonts w:eastAsia="Calibri"/>
          <w:b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rFonts w:eastAsia="Calibri"/>
          <w:b/>
          <w:iCs/>
          <w:sz w:val="24"/>
          <w:szCs w:val="24"/>
          <w:lang w:eastAsia="x-none"/>
        </w:rPr>
      </w:pPr>
      <w:r>
        <w:rPr>
          <w:rFonts w:eastAsia="Calibri"/>
          <w:b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rFonts w:eastAsia="Calibri"/>
          <w:b/>
          <w:iCs/>
          <w:sz w:val="24"/>
          <w:szCs w:val="24"/>
          <w:lang w:eastAsia="x-none"/>
        </w:rPr>
      </w:pPr>
      <w:r>
        <w:rPr>
          <w:rFonts w:eastAsia="Calibri"/>
          <w:b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rFonts w:eastAsia="Calibri"/>
          <w:b/>
          <w:iCs/>
          <w:sz w:val="24"/>
          <w:szCs w:val="24"/>
          <w:lang w:eastAsia="x-none"/>
        </w:rPr>
      </w:pPr>
      <w:r>
        <w:rPr>
          <w:rFonts w:eastAsia="Calibri"/>
          <w:b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rFonts w:eastAsia="Calibri"/>
          <w:b/>
          <w:iCs/>
          <w:sz w:val="24"/>
          <w:szCs w:val="24"/>
          <w:lang w:eastAsia="x-none"/>
        </w:rPr>
      </w:pPr>
      <w:r>
        <w:rPr>
          <w:rFonts w:eastAsia="Calibri"/>
          <w:b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rFonts w:eastAsia="Calibri"/>
          <w:b/>
          <w:iCs/>
          <w:sz w:val="24"/>
          <w:szCs w:val="24"/>
          <w:lang w:eastAsia="x-none"/>
        </w:rPr>
      </w:pPr>
      <w:r>
        <w:rPr>
          <w:rFonts w:eastAsia="Calibri"/>
          <w:b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rFonts w:eastAsia="Calibri"/>
          <w:b/>
          <w:iCs/>
          <w:sz w:val="24"/>
          <w:szCs w:val="24"/>
          <w:lang w:eastAsia="x-none"/>
        </w:rPr>
      </w:pPr>
      <w:r>
        <w:rPr>
          <w:rFonts w:eastAsia="Calibri"/>
          <w:b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rFonts w:eastAsia="Calibri"/>
          <w:b/>
          <w:iCs/>
          <w:sz w:val="24"/>
          <w:szCs w:val="24"/>
          <w:lang w:eastAsia="x-none"/>
        </w:rPr>
      </w:pPr>
      <w:r>
        <w:rPr>
          <w:rFonts w:eastAsia="Calibri"/>
          <w:b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rFonts w:eastAsia="Calibri"/>
          <w:b/>
          <w:iCs/>
          <w:sz w:val="24"/>
          <w:szCs w:val="24"/>
          <w:lang w:eastAsia="x-none"/>
        </w:rPr>
      </w:pPr>
      <w:r>
        <w:rPr>
          <w:rFonts w:eastAsia="Calibri"/>
          <w:b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rFonts w:eastAsia="Calibri"/>
          <w:b/>
          <w:iCs/>
          <w:sz w:val="24"/>
          <w:szCs w:val="24"/>
          <w:lang w:eastAsia="x-none"/>
        </w:rPr>
      </w:pPr>
      <w:r>
        <w:rPr>
          <w:rFonts w:eastAsia="Calibri"/>
          <w:b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rFonts w:eastAsia="Calibri"/>
          <w:b/>
          <w:iCs/>
          <w:sz w:val="24"/>
          <w:szCs w:val="24"/>
          <w:lang w:eastAsia="x-none"/>
        </w:rPr>
      </w:pPr>
      <w:r>
        <w:rPr>
          <w:rFonts w:eastAsia="Calibri"/>
          <w:b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rFonts w:eastAsia="Calibri"/>
          <w:b/>
          <w:iCs/>
          <w:sz w:val="24"/>
          <w:szCs w:val="24"/>
          <w:lang w:eastAsia="x-none"/>
        </w:rPr>
      </w:pPr>
      <w:r>
        <w:rPr>
          <w:rFonts w:eastAsia="Calibri"/>
          <w:b/>
          <w:iCs/>
          <w:sz w:val="24"/>
          <w:szCs w:val="24"/>
          <w:lang w:eastAsia="x-none"/>
        </w:rPr>
      </w:r>
    </w:p>
    <w:p>
      <w:pPr>
        <w:pStyle w:val="Normal"/>
        <w:jc w:val="both"/>
        <w:rPr>
          <w:rFonts w:eastAsia="Calibri"/>
          <w:b/>
          <w:iCs/>
          <w:sz w:val="24"/>
          <w:szCs w:val="24"/>
          <w:lang w:eastAsia="x-none"/>
        </w:rPr>
      </w:pPr>
      <w:r>
        <w:rPr>
          <w:rFonts w:eastAsia="Calibri"/>
          <w:b/>
          <w:iCs/>
          <w:sz w:val="24"/>
          <w:szCs w:val="24"/>
          <w:lang w:eastAsia="x-none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rPr>
          <w:iCs/>
          <w:caps/>
          <w:sz w:val="24"/>
          <w:szCs w:val="24"/>
        </w:rPr>
      </w:pPr>
      <w:bookmarkStart w:id="35" w:name="_Toc214985845"/>
      <w:bookmarkStart w:id="36" w:name="_Toc46743519"/>
      <w:bookmarkStart w:id="37" w:name="_Toc51339699"/>
      <w:r>
        <w:rPr>
          <w:iCs/>
          <w:sz w:val="24"/>
          <w:szCs w:val="24"/>
        </w:rPr>
        <w:t>Приложения</w:t>
      </w:r>
      <w:bookmarkEnd w:id="36"/>
      <w:bookmarkEnd w:id="37"/>
      <w:r>
        <w:rPr>
          <w:iCs/>
          <w:sz w:val="24"/>
          <w:szCs w:val="24"/>
          <w:lang w:val="ru-RU"/>
        </w:rPr>
        <w:t>:</w:t>
      </w:r>
      <w:bookmarkEnd w:id="35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sz w:val="24"/>
          <w:szCs w:val="24"/>
        </w:rPr>
      </w:pPr>
      <w:r>
        <w:rPr>
          <w:sz w:val="24"/>
          <w:szCs w:val="24"/>
        </w:rPr>
        <w:t>1. Приложение №1 «Ведомость объемов работ»;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sz w:val="24"/>
          <w:szCs w:val="24"/>
        </w:rPr>
      </w:pPr>
      <w:r>
        <w:rPr>
          <w:sz w:val="24"/>
          <w:szCs w:val="24"/>
        </w:rPr>
        <w:t>2. Приложение №2 «Требования к оформлению и составлению сметной документации»;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left="284" w:hanging="284"/>
        <w:rPr>
          <w:sz w:val="24"/>
          <w:szCs w:val="24"/>
        </w:rPr>
      </w:pPr>
      <w:r>
        <w:rPr>
          <w:sz w:val="24"/>
          <w:szCs w:val="24"/>
        </w:rPr>
        <w:t>3. Приложение №3 «Комплект рабочей и конструкторской документации на технологические системы».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/>
      </w:r>
    </w:p>
    <w:sectPr>
      <w:headerReference w:type="even" r:id="rId9"/>
      <w:headerReference w:type="default" r:id="rId10"/>
      <w:headerReference w:type="first" r:id="rId11"/>
      <w:footerReference w:type="default" r:id="rId12"/>
      <w:footerReference w:type="first" r:id="rId13"/>
      <w:type w:val="nextPage"/>
      <w:pgSz w:w="11906" w:h="16838"/>
      <w:pgMar w:left="1701" w:right="851" w:gutter="0" w:header="680" w:top="1134" w:footer="169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alibri Light">
    <w:charset w:val="01"/>
    <w:family w:val="roman"/>
    <w:pitch w:val="variable"/>
  </w:font>
  <w:font w:name="Arial CYR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427628564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45228822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18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18068284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5503853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55038533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2.1.1.%2."/>
      <w:lvlJc w:val="left"/>
      <w:pPr>
        <w:tabs>
          <w:tab w:val="num" w:pos="0"/>
        </w:tabs>
        <w:ind w:left="0" w:hanging="0"/>
      </w:pPr>
      <w:rPr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0">
    <w:lvl w:ilvl="0">
      <w:start w:val="1"/>
      <w:numFmt w:val="bullet"/>
      <w:lvlText w:val=""/>
      <w:lvlJc w:val="left"/>
      <w:pPr>
        <w:tabs>
          <w:tab w:val="num" w:pos="0"/>
        </w:tabs>
        <w:ind w:left="135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bullet"/>
      <w:lvlText w:val=""/>
      <w:lvlJc w:val="left"/>
      <w:pPr>
        <w:tabs>
          <w:tab w:val="num" w:pos="0"/>
        </w:tabs>
        <w:ind w:left="397" w:hanging="3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upperRoman"/>
      <w:lvlText w:val="Раздел %1."/>
      <w:lvlJc w:val="left"/>
      <w:pPr>
        <w:tabs>
          <w:tab w:val="num" w:pos="0"/>
        </w:tabs>
        <w:ind w:left="1701" w:hanging="1701"/>
      </w:pPr>
      <w:rPr>
        <w:rFonts w:cs="Times New Roman"/>
      </w:rPr>
    </w:lvl>
    <w:lvl w:ilvl="1">
      <w:start w:val="1"/>
      <w:numFmt w:val="decimal"/>
      <w:lvlText w:val="Глава %2."/>
      <w:lvlJc w:val="left"/>
      <w:pPr>
        <w:tabs>
          <w:tab w:val="num" w:pos="0"/>
        </w:tabs>
        <w:ind w:left="2552" w:hanging="1701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/>
        <w:kern w:val="0"/>
        <w:effect w:val="none"/>
        <w:iCs w:val="false"/>
        <w:bCs/>
        <w:vanish w:val="false"/>
        <w:rFonts w:cs="Times New Roman"/>
        <w:color w:val="000000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907" w:hanging="907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191" w:hanging="907"/>
      </w:pPr>
      <w:rPr>
        <w:sz w:val="26"/>
        <w:b w:val="false"/>
        <w:szCs w:val="26"/>
        <w:bCs w:val="false"/>
        <w:rFonts w:cs="Times New Roman"/>
        <w:color w:val="auto"/>
      </w:r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1474" w:hanging="567"/>
      </w:pPr>
      <w:rPr>
        <w:b w:val="false"/>
        <w:bCs/>
        <w:rFonts w:ascii="Calibri Light" w:hAnsi="Calibri Light" w:cs="Calibri Light" w:asciiTheme="majorHAnsi" w:hAnsiTheme="majorHAnsi"/>
      </w:rPr>
    </w:lvl>
    <w:lvl w:ilvl="5">
      <w:start w:val="1"/>
      <w:numFmt w:val="none"/>
      <w:suff w:val="nothing"/>
      <w:lvlText w:val="–"/>
      <w:lvlJc w:val="left"/>
      <w:pPr>
        <w:tabs>
          <w:tab w:val="num" w:pos="0"/>
        </w:tabs>
        <w:ind w:left="2041" w:hanging="567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</w:abstractNum>
  <w:abstractNum w:abstractNumId="1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 w:qFormat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uiPriority="99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5123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uiPriority w:val="9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uiPriority w:val="9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uiPriority w:val="9"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uiPriority w:val="9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uiPriority w:val="9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uiPriority w:val="9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3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1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1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Нижний колонтитул Знак"/>
    <w:basedOn w:val="DefaultParagraphFont"/>
    <w:uiPriority w:val="99"/>
    <w:qFormat/>
    <w:rsid w:val="00946956"/>
    <w:rPr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0d309a"/>
    <w:rPr>
      <w:color w:val="954F72"/>
      <w:u w:val="single"/>
    </w:rPr>
  </w:style>
  <w:style w:type="character" w:styleId="PlaceholderText">
    <w:name w:val="Placeholder Text"/>
    <w:basedOn w:val="DefaultParagraphFont"/>
    <w:uiPriority w:val="99"/>
    <w:semiHidden/>
    <w:qFormat/>
    <w:rsid w:val="003906dd"/>
    <w:rPr>
      <w:color w:val="808080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3906dd"/>
    <w:rPr>
      <w:rFonts w:ascii="Tahoma" w:hAnsi="Tahoma" w:cs="Tahoma"/>
      <w:sz w:val="16"/>
      <w:szCs w:val="16"/>
    </w:rPr>
  </w:style>
  <w:style w:type="character" w:styleId="Cef1edeee2edeee9f8f0e8f4f2e0e1e7e0f6e0" w:customStyle="1">
    <w:name w:val="Оceсf1нedоeeвe2нedоeeйe9 шf8рf0иe8фf4тf2 аe0бe1зe7аe0цf6аe0"/>
    <w:uiPriority w:val="99"/>
    <w:qFormat/>
    <w:rsid w:val="00f416b3"/>
    <w:rPr>
      <w:rFonts w:ascii="Times New Roman" w:hAnsi="Times New Roman" w:cs="Times New Roman"/>
      <w:sz w:val="22"/>
      <w:szCs w:val="22"/>
    </w:rPr>
  </w:style>
  <w:style w:type="character" w:styleId="Style16" w:customStyle="1">
    <w:name w:val="Ссылка указателя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Style1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2" w:customStyle="1">
    <w:name w:val="Колонтитул"/>
    <w:basedOn w:val="Normal"/>
    <w:qFormat/>
    <w:rsid w:val="003906dd"/>
    <w:pPr>
      <w:jc w:val="center"/>
    </w:pPr>
    <w:rPr>
      <w:rFonts w:eastAsia="Calibri" w:cs="Arial" w:cstheme="minorBidi" w:eastAsiaTheme="minorHAnsi"/>
      <w:sz w:val="18"/>
      <w:szCs w:val="22"/>
      <w:lang w:eastAsia="en-US"/>
    </w:rPr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4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qFormat/>
    <w:rsid w:val="001567af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qFormat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4" w:customStyle="1">
    <w:name w:val="Раздел регламента"/>
    <w:basedOn w:val="Normal"/>
    <w:qFormat/>
    <w:rsid w:val="00e228fa"/>
    <w:pPr/>
    <w:rPr/>
  </w:style>
  <w:style w:type="paragraph" w:styleId="Style2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qFormat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link w:val="Style15"/>
    <w:uiPriority w:val="99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uiPriority w:val="39"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946956"/>
    <w:pPr>
      <w:tabs>
        <w:tab w:val="clear" w:pos="708"/>
        <w:tab w:val="left" w:pos="1120" w:leader="none"/>
        <w:tab w:val="right" w:pos="10194" w:leader="dot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" w:customStyle="1">
    <w:name w:val="caption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1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 w:customStyle="1">
    <w:name w:val="Подподпункт"/>
    <w:basedOn w:val="Style23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2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5" w:customStyle="1">
    <w:name w:val="[РГ] Подраздел"/>
    <w:basedOn w:val="ListParagraph"/>
    <w:next w:val="Style36"/>
    <w:qFormat/>
    <w:rsid w:val="000653e1"/>
    <w:pPr>
      <w:keepNext w:val="true"/>
      <w:numPr>
        <w:ilvl w:val="2"/>
        <w:numId w:val="15"/>
      </w:numPr>
      <w:snapToGrid w:val="false"/>
      <w:spacing w:before="240" w:after="0"/>
      <w:ind w:left="993" w:hanging="993"/>
      <w:contextualSpacing w:val="false"/>
      <w:jc w:val="both"/>
      <w:outlineLvl w:val="2"/>
    </w:pPr>
    <w:rPr>
      <w:rFonts w:ascii="Calibri Light" w:hAnsi="Calibri Light" w:eastAsia="Times New Roman" w:cs="Calibri Light" w:asciiTheme="majorHAnsi" w:hAnsiTheme="majorHAnsi"/>
      <w:b/>
      <w:bCs/>
      <w:iCs/>
      <w:color w:val="000000"/>
      <w:sz w:val="26"/>
      <w:szCs w:val="26"/>
      <w:lang w:eastAsia="en-US"/>
    </w:rPr>
  </w:style>
  <w:style w:type="paragraph" w:styleId="Style36" w:customStyle="1">
    <w:name w:val="[РГ] Пункт"/>
    <w:basedOn w:val="ListParagraph"/>
    <w:qFormat/>
    <w:rsid w:val="000653e1"/>
    <w:pPr>
      <w:numPr>
        <w:ilvl w:val="3"/>
        <w:numId w:val="15"/>
      </w:numPr>
      <w:snapToGrid w:val="false"/>
      <w:spacing w:before="120" w:after="240"/>
      <w:ind w:left="992" w:hanging="992"/>
      <w:contextualSpacing w:val="false"/>
      <w:jc w:val="both"/>
      <w:outlineLvl w:val="3"/>
    </w:pPr>
    <w:rPr>
      <w:rFonts w:ascii="Calibri Light" w:hAnsi="Calibri Light" w:eastAsia="Times New Roman" w:cs="Calibri Light" w:asciiTheme="majorHAnsi" w:hAnsiTheme="majorHAnsi"/>
      <w:color w:val="000000"/>
      <w:sz w:val="26"/>
      <w:szCs w:val="26"/>
      <w:lang w:eastAsia="en-US"/>
    </w:rPr>
  </w:style>
  <w:style w:type="paragraph" w:styleId="Style37" w:customStyle="1">
    <w:name w:val="[РГ] Подпункт"/>
    <w:basedOn w:val="ListParagraph"/>
    <w:qFormat/>
    <w:rsid w:val="000653e1"/>
    <w:pPr>
      <w:numPr>
        <w:ilvl w:val="4"/>
        <w:numId w:val="15"/>
      </w:numPr>
      <w:snapToGrid w:val="false"/>
      <w:spacing w:before="120" w:after="240"/>
      <w:contextualSpacing w:val="false"/>
      <w:jc w:val="both"/>
      <w:outlineLvl w:val="4"/>
    </w:pPr>
    <w:rPr>
      <w:rFonts w:ascii="Calibri Light" w:hAnsi="Calibri Light" w:eastAsia="Times New Roman" w:cs="Calibri Light" w:asciiTheme="majorHAnsi" w:hAnsiTheme="majorHAnsi"/>
      <w:bCs/>
      <w:iCs/>
      <w:color w:val="000000"/>
      <w:sz w:val="26"/>
      <w:szCs w:val="26"/>
      <w:lang w:eastAsia="en-US"/>
    </w:rPr>
  </w:style>
  <w:style w:type="paragraph" w:styleId="Msonormal" w:customStyle="1">
    <w:name w:val="msonormal"/>
    <w:basedOn w:val="Normal"/>
    <w:qFormat/>
    <w:rsid w:val="000d309a"/>
    <w:pPr>
      <w:spacing w:beforeAutospacing="1" w:afterAutospacing="1"/>
    </w:pPr>
    <w:rPr>
      <w:sz w:val="24"/>
      <w:szCs w:val="24"/>
    </w:rPr>
  </w:style>
  <w:style w:type="paragraph" w:styleId="Xl65" w:customStyle="1">
    <w:name w:val="xl65"/>
    <w:basedOn w:val="Normal"/>
    <w:qFormat/>
    <w:rsid w:val="000d309a"/>
    <w:pPr>
      <w:spacing w:beforeAutospacing="1" w:afterAutospacing="1"/>
    </w:pPr>
    <w:rPr>
      <w:rFonts w:ascii="Arial" w:hAnsi="Arial" w:cs="Arial"/>
      <w:sz w:val="16"/>
      <w:szCs w:val="16"/>
    </w:rPr>
  </w:style>
  <w:style w:type="paragraph" w:styleId="Xl66" w:customStyle="1">
    <w:name w:val="xl66"/>
    <w:basedOn w:val="Normal"/>
    <w:qFormat/>
    <w:rsid w:val="000d309a"/>
    <w:pPr>
      <w:spacing w:beforeAutospacing="1" w:afterAutospacing="1"/>
    </w:pPr>
    <w:rPr>
      <w:rFonts w:ascii="Arial" w:hAnsi="Arial" w:cs="Arial"/>
      <w:sz w:val="16"/>
      <w:szCs w:val="16"/>
    </w:rPr>
  </w:style>
  <w:style w:type="paragraph" w:styleId="Xl67" w:customStyle="1">
    <w:name w:val="xl67"/>
    <w:basedOn w:val="Normal"/>
    <w:qFormat/>
    <w:rsid w:val="000d30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Xl68" w:customStyle="1">
    <w:name w:val="xl68"/>
    <w:basedOn w:val="Normal"/>
    <w:qFormat/>
    <w:rsid w:val="000d30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Xl69" w:customStyle="1">
    <w:name w:val="xl69"/>
    <w:basedOn w:val="Normal"/>
    <w:qFormat/>
    <w:rsid w:val="000d30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Xl70" w:customStyle="1">
    <w:name w:val="xl70"/>
    <w:basedOn w:val="Normal"/>
    <w:qFormat/>
    <w:rsid w:val="000d30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Xl71" w:customStyle="1">
    <w:name w:val="xl71"/>
    <w:basedOn w:val="Normal"/>
    <w:qFormat/>
    <w:rsid w:val="000d30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styleId="Xl72" w:customStyle="1">
    <w:name w:val="xl72"/>
    <w:basedOn w:val="Normal"/>
    <w:qFormat/>
    <w:rsid w:val="000d30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styleId="Xl73" w:customStyle="1">
    <w:name w:val="xl73"/>
    <w:basedOn w:val="Normal"/>
    <w:qFormat/>
    <w:rsid w:val="000d30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16"/>
      <w:szCs w:val="16"/>
    </w:rPr>
  </w:style>
  <w:style w:type="paragraph" w:styleId="Xl74" w:customStyle="1">
    <w:name w:val="xl74"/>
    <w:basedOn w:val="Normal"/>
    <w:qFormat/>
    <w:rsid w:val="000d30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styleId="Xl75" w:customStyle="1">
    <w:name w:val="xl75"/>
    <w:basedOn w:val="Normal"/>
    <w:qFormat/>
    <w:rsid w:val="000d30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styleId="Xl76" w:customStyle="1">
    <w:name w:val="xl76"/>
    <w:basedOn w:val="Normal"/>
    <w:qFormat/>
    <w:rsid w:val="000d30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styleId="Xl77" w:customStyle="1">
    <w:name w:val="xl77"/>
    <w:basedOn w:val="Normal"/>
    <w:qFormat/>
    <w:rsid w:val="000d30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styleId="Xl78" w:customStyle="1">
    <w:name w:val="xl78"/>
    <w:basedOn w:val="Normal"/>
    <w:qFormat/>
    <w:rsid w:val="000d30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styleId="Xl79" w:customStyle="1">
    <w:name w:val="xl79"/>
    <w:basedOn w:val="Normal"/>
    <w:qFormat/>
    <w:rsid w:val="000d30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styleId="Xl80" w:customStyle="1">
    <w:name w:val="xl80"/>
    <w:basedOn w:val="Normal"/>
    <w:qFormat/>
    <w:rsid w:val="000d30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styleId="Xl81" w:customStyle="1">
    <w:name w:val="xl81"/>
    <w:basedOn w:val="Normal"/>
    <w:qFormat/>
    <w:rsid w:val="000d30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styleId="Xl82" w:customStyle="1">
    <w:name w:val="xl82"/>
    <w:basedOn w:val="Normal"/>
    <w:qFormat/>
    <w:rsid w:val="000d30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styleId="Xl83" w:customStyle="1">
    <w:name w:val="xl83"/>
    <w:basedOn w:val="Normal"/>
    <w:qFormat/>
    <w:rsid w:val="000d30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84" w:customStyle="1">
    <w:name w:val="xl84"/>
    <w:basedOn w:val="Normal"/>
    <w:qFormat/>
    <w:rsid w:val="000d30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styleId="110" w:customStyle="1">
    <w:name w:val="Титул1"/>
    <w:basedOn w:val="Normal"/>
    <w:qFormat/>
    <w:rsid w:val="003906dd"/>
    <w:pPr>
      <w:jc w:val="center"/>
    </w:pPr>
    <w:rPr>
      <w:rFonts w:eastAsia="Calibri" w:cs="Arial" w:cstheme="minorBidi" w:eastAsiaTheme="minorHAnsi"/>
      <w:b/>
      <w:sz w:val="36"/>
      <w:szCs w:val="36"/>
      <w:lang w:eastAsia="en-US"/>
    </w:rPr>
  </w:style>
  <w:style w:type="paragraph" w:styleId="29" w:customStyle="1">
    <w:name w:val="Титул2"/>
    <w:basedOn w:val="110"/>
    <w:qFormat/>
    <w:rsid w:val="003906dd"/>
    <w:pPr/>
    <w:rPr>
      <w:sz w:val="40"/>
    </w:rPr>
  </w:style>
  <w:style w:type="paragraph" w:styleId="37" w:customStyle="1">
    <w:name w:val="Титул3"/>
    <w:basedOn w:val="29"/>
    <w:qFormat/>
    <w:rsid w:val="003906dd"/>
    <w:pPr/>
    <w:rPr>
      <w:sz w:val="28"/>
    </w:rPr>
  </w:style>
  <w:style w:type="paragraph" w:styleId="210595" w:customStyle="1">
    <w:name w:val="Основной_текст_по_ГОСТР_2.105 – 95"/>
    <w:basedOn w:val="Normal"/>
    <w:qFormat/>
    <w:rsid w:val="003906dd"/>
    <w:pPr>
      <w:ind w:firstLine="709"/>
    </w:pPr>
    <w:rPr>
      <w:rFonts w:eastAsia="Calibri" w:cs="Arial" w:cstheme="minorBidi" w:eastAsiaTheme="minorHAnsi"/>
      <w:szCs w:val="22"/>
      <w:lang w:eastAsia="en-US"/>
    </w:rPr>
  </w:style>
  <w:style w:type="paragraph" w:styleId="Default" w:customStyle="1">
    <w:name w:val="Default"/>
    <w:qFormat/>
    <w:rsid w:val="003906dd"/>
    <w:pPr>
      <w:widowControl/>
      <w:suppressAutoHyphens w:val="true"/>
      <w:bidi w:val="0"/>
      <w:spacing w:before="0" w:after="0"/>
      <w:jc w:val="left"/>
    </w:pPr>
    <w:rPr>
      <w:rFonts w:eastAsia="Calibri" w:eastAsiaTheme="minorHAnsi" w:ascii="Times New Roman" w:hAnsi="Times New Roman" w:cs="Times New Roman"/>
      <w:color w:val="000000"/>
      <w:kern w:val="0"/>
      <w:sz w:val="24"/>
      <w:szCs w:val="24"/>
      <w:lang w:eastAsia="en-US" w:val="ru-RU" w:bidi="ar-SA"/>
    </w:rPr>
  </w:style>
  <w:style w:type="paragraph" w:styleId="TableParagraph" w:customStyle="1">
    <w:name w:val="Table Paragraph"/>
    <w:basedOn w:val="Normal"/>
    <w:uiPriority w:val="1"/>
    <w:qFormat/>
    <w:rsid w:val="003906dd"/>
    <w:pPr>
      <w:widowControl w:val="false"/>
      <w:ind w:left="103" w:hanging="0"/>
    </w:pPr>
    <w:rPr>
      <w:sz w:val="22"/>
      <w:szCs w:val="22"/>
      <w:lang w:val="en-US" w:eastAsia="en-US"/>
    </w:rPr>
  </w:style>
  <w:style w:type="paragraph" w:styleId="Font5" w:customStyle="1">
    <w:name w:val="font5"/>
    <w:basedOn w:val="Normal"/>
    <w:qFormat/>
    <w:rsid w:val="003906dd"/>
    <w:pPr>
      <w:spacing w:beforeAutospacing="1" w:afterAutospacing="1"/>
    </w:pPr>
    <w:rPr>
      <w:rFonts w:ascii="Tahoma" w:hAnsi="Tahoma" w:cs="Tahoma"/>
      <w:color w:val="000000"/>
      <w:sz w:val="16"/>
      <w:szCs w:val="16"/>
    </w:rPr>
  </w:style>
  <w:style w:type="paragraph" w:styleId="Font6" w:customStyle="1">
    <w:name w:val="font6"/>
    <w:basedOn w:val="Normal"/>
    <w:qFormat/>
    <w:rsid w:val="003906dd"/>
    <w:pPr>
      <w:spacing w:beforeAutospacing="1" w:afterAutospacing="1"/>
    </w:pPr>
    <w:rPr>
      <w:rFonts w:ascii="Arial CYR" w:hAnsi="Arial CYR"/>
      <w:color w:val="963634"/>
      <w:sz w:val="20"/>
      <w:szCs w:val="20"/>
    </w:rPr>
  </w:style>
  <w:style w:type="paragraph" w:styleId="Xl95" w:customStyle="1">
    <w:name w:val="xl95"/>
    <w:basedOn w:val="Normal"/>
    <w:qFormat/>
    <w:rsid w:val="003906dd"/>
    <w:pPr>
      <w:spacing w:beforeAutospacing="1" w:afterAutospacing="1"/>
      <w:textAlignment w:val="center"/>
    </w:pPr>
    <w:rPr>
      <w:rFonts w:ascii="Arial" w:hAnsi="Arial" w:cs="Arial"/>
      <w:sz w:val="24"/>
      <w:szCs w:val="24"/>
    </w:rPr>
  </w:style>
  <w:style w:type="paragraph" w:styleId="Xl96" w:customStyle="1">
    <w:name w:val="xl96"/>
    <w:basedOn w:val="Normal"/>
    <w:qFormat/>
    <w:rsid w:val="003906dd"/>
    <w:pPr>
      <w:spacing w:beforeAutospacing="1" w:afterAutospacing="1"/>
      <w:textAlignment w:val="center"/>
    </w:pPr>
    <w:rPr>
      <w:rFonts w:ascii="Arial" w:hAnsi="Arial" w:cs="Arial"/>
      <w:i/>
      <w:iCs/>
      <w:sz w:val="24"/>
      <w:szCs w:val="24"/>
    </w:rPr>
  </w:style>
  <w:style w:type="paragraph" w:styleId="Xl97" w:customStyle="1">
    <w:name w:val="xl97"/>
    <w:basedOn w:val="Normal"/>
    <w:qFormat/>
    <w:rsid w:val="003906dd"/>
    <w:pPr>
      <w:spacing w:beforeAutospacing="1" w:afterAutospacing="1"/>
      <w:textAlignment w:val="center"/>
    </w:pPr>
    <w:rPr>
      <w:rFonts w:ascii="Arial" w:hAnsi="Arial" w:cs="Arial"/>
      <w:sz w:val="24"/>
      <w:szCs w:val="24"/>
    </w:rPr>
  </w:style>
  <w:style w:type="paragraph" w:styleId="Xl98" w:customStyle="1">
    <w:name w:val="xl98"/>
    <w:basedOn w:val="Normal"/>
    <w:qFormat/>
    <w:rsid w:val="003906dd"/>
    <w:pP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styleId="Xl99" w:customStyle="1">
    <w:name w:val="xl99"/>
    <w:basedOn w:val="Normal"/>
    <w:qFormat/>
    <w:rsid w:val="003906dd"/>
    <w:pP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styleId="Xl100" w:customStyle="1">
    <w:name w:val="xl100"/>
    <w:basedOn w:val="Normal"/>
    <w:qFormat/>
    <w:rsid w:val="003906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styleId="Xl101" w:customStyle="1">
    <w:name w:val="xl101"/>
    <w:basedOn w:val="Normal"/>
    <w:qFormat/>
    <w:rsid w:val="003906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sz w:val="24"/>
      <w:szCs w:val="24"/>
    </w:rPr>
  </w:style>
  <w:style w:type="paragraph" w:styleId="Xl102" w:customStyle="1">
    <w:name w:val="xl102"/>
    <w:basedOn w:val="Normal"/>
    <w:qFormat/>
    <w:rsid w:val="003906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styleId="Xl103" w:customStyle="1">
    <w:name w:val="xl103"/>
    <w:basedOn w:val="Normal"/>
    <w:qFormat/>
    <w:rsid w:val="003906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Xl104" w:customStyle="1">
    <w:name w:val="xl104"/>
    <w:basedOn w:val="Normal"/>
    <w:qFormat/>
    <w:rsid w:val="003906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styleId="Xl105" w:customStyle="1">
    <w:name w:val="xl105"/>
    <w:basedOn w:val="Normal"/>
    <w:qFormat/>
    <w:rsid w:val="003906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i/>
      <w:iCs/>
      <w:sz w:val="24"/>
      <w:szCs w:val="24"/>
    </w:rPr>
  </w:style>
  <w:style w:type="paragraph" w:styleId="Xl106" w:customStyle="1">
    <w:name w:val="xl106"/>
    <w:basedOn w:val="Normal"/>
    <w:qFormat/>
    <w:rsid w:val="003906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i/>
      <w:iCs/>
      <w:sz w:val="24"/>
      <w:szCs w:val="24"/>
    </w:rPr>
  </w:style>
  <w:style w:type="paragraph" w:styleId="Xl107" w:customStyle="1">
    <w:name w:val="xl107"/>
    <w:basedOn w:val="Normal"/>
    <w:qFormat/>
    <w:rsid w:val="003906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i/>
      <w:iCs/>
      <w:sz w:val="24"/>
      <w:szCs w:val="24"/>
    </w:rPr>
  </w:style>
  <w:style w:type="paragraph" w:styleId="Xl108" w:customStyle="1">
    <w:name w:val="xl108"/>
    <w:basedOn w:val="Normal"/>
    <w:qFormat/>
    <w:rsid w:val="003906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sz w:val="24"/>
      <w:szCs w:val="24"/>
    </w:rPr>
  </w:style>
  <w:style w:type="paragraph" w:styleId="Xl109" w:customStyle="1">
    <w:name w:val="xl109"/>
    <w:basedOn w:val="Normal"/>
    <w:qFormat/>
    <w:rsid w:val="003906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i/>
      <w:iCs/>
      <w:sz w:val="24"/>
      <w:szCs w:val="24"/>
    </w:rPr>
  </w:style>
  <w:style w:type="paragraph" w:styleId="Xl110" w:customStyle="1">
    <w:name w:val="xl110"/>
    <w:basedOn w:val="Normal"/>
    <w:qFormat/>
    <w:rsid w:val="003906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i/>
      <w:iCs/>
      <w:sz w:val="24"/>
      <w:szCs w:val="24"/>
    </w:rPr>
  </w:style>
  <w:style w:type="paragraph" w:styleId="Xl111" w:customStyle="1">
    <w:name w:val="xl111"/>
    <w:basedOn w:val="Normal"/>
    <w:qFormat/>
    <w:rsid w:val="003906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12" w:customStyle="1">
    <w:name w:val="xl112"/>
    <w:basedOn w:val="Normal"/>
    <w:qFormat/>
    <w:rsid w:val="003906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i/>
      <w:iCs/>
      <w:sz w:val="24"/>
      <w:szCs w:val="24"/>
    </w:rPr>
  </w:style>
  <w:style w:type="paragraph" w:styleId="Xl113" w:customStyle="1">
    <w:name w:val="xl113"/>
    <w:basedOn w:val="Normal"/>
    <w:qFormat/>
    <w:rsid w:val="003906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Xl114" w:customStyle="1">
    <w:name w:val="xl114"/>
    <w:basedOn w:val="Normal"/>
    <w:qFormat/>
    <w:rsid w:val="003906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i/>
      <w:iCs/>
      <w:sz w:val="24"/>
      <w:szCs w:val="24"/>
    </w:rPr>
  </w:style>
  <w:style w:type="paragraph" w:styleId="Xl115" w:customStyle="1">
    <w:name w:val="xl115"/>
    <w:basedOn w:val="Normal"/>
    <w:qFormat/>
    <w:rsid w:val="003906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styleId="Xl116" w:customStyle="1">
    <w:name w:val="xl116"/>
    <w:basedOn w:val="Normal"/>
    <w:qFormat/>
    <w:rsid w:val="003906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styleId="Xl117" w:customStyle="1">
    <w:name w:val="xl117"/>
    <w:basedOn w:val="Normal"/>
    <w:qFormat/>
    <w:rsid w:val="003906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i/>
      <w:iCs/>
      <w:sz w:val="24"/>
      <w:szCs w:val="24"/>
    </w:rPr>
  </w:style>
  <w:style w:type="paragraph" w:styleId="Xl118" w:customStyle="1">
    <w:name w:val="xl118"/>
    <w:basedOn w:val="Normal"/>
    <w:qFormat/>
    <w:rsid w:val="003906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i/>
      <w:iCs/>
      <w:sz w:val="24"/>
      <w:szCs w:val="24"/>
    </w:rPr>
  </w:style>
  <w:style w:type="paragraph" w:styleId="Xl119" w:customStyle="1">
    <w:name w:val="xl119"/>
    <w:basedOn w:val="Normal"/>
    <w:qFormat/>
    <w:rsid w:val="003906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styleId="Xl120" w:customStyle="1">
    <w:name w:val="xl120"/>
    <w:basedOn w:val="Normal"/>
    <w:qFormat/>
    <w:rsid w:val="003906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i/>
      <w:iCs/>
      <w:sz w:val="24"/>
      <w:szCs w:val="24"/>
    </w:rPr>
  </w:style>
  <w:style w:type="paragraph" w:styleId="Xl121" w:customStyle="1">
    <w:name w:val="xl121"/>
    <w:basedOn w:val="Normal"/>
    <w:qFormat/>
    <w:rsid w:val="003906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i/>
      <w:iCs/>
      <w:sz w:val="24"/>
      <w:szCs w:val="24"/>
    </w:rPr>
  </w:style>
  <w:style w:type="paragraph" w:styleId="Xl122" w:customStyle="1">
    <w:name w:val="xl122"/>
    <w:basedOn w:val="Normal"/>
    <w:qFormat/>
    <w:rsid w:val="003906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23" w:customStyle="1">
    <w:name w:val="xl123"/>
    <w:basedOn w:val="Normal"/>
    <w:qFormat/>
    <w:rsid w:val="003906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24" w:customStyle="1">
    <w:name w:val="xl124"/>
    <w:basedOn w:val="Normal"/>
    <w:qFormat/>
    <w:rsid w:val="003906d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styleId="Xl125" w:customStyle="1">
    <w:name w:val="xl125"/>
    <w:basedOn w:val="Normal"/>
    <w:qFormat/>
    <w:rsid w:val="003906d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styleId="Xl126" w:customStyle="1">
    <w:name w:val="xl126"/>
    <w:basedOn w:val="Normal"/>
    <w:qFormat/>
    <w:rsid w:val="003906d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i/>
      <w:iCs/>
      <w:sz w:val="24"/>
      <w:szCs w:val="24"/>
    </w:rPr>
  </w:style>
  <w:style w:type="paragraph" w:styleId="Xl127" w:customStyle="1">
    <w:name w:val="xl127"/>
    <w:basedOn w:val="Normal"/>
    <w:qFormat/>
    <w:rsid w:val="003906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i/>
      <w:iCs/>
      <w:sz w:val="24"/>
      <w:szCs w:val="24"/>
    </w:rPr>
  </w:style>
  <w:style w:type="paragraph" w:styleId="Xl128" w:customStyle="1">
    <w:name w:val="xl128"/>
    <w:basedOn w:val="Normal"/>
    <w:qFormat/>
    <w:rsid w:val="003906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i/>
      <w:iCs/>
      <w:sz w:val="22"/>
      <w:szCs w:val="22"/>
    </w:rPr>
  </w:style>
  <w:style w:type="paragraph" w:styleId="Xl129" w:customStyle="1">
    <w:name w:val="xl129"/>
    <w:basedOn w:val="Normal"/>
    <w:qFormat/>
    <w:rsid w:val="003906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i/>
      <w:iCs/>
      <w:sz w:val="24"/>
      <w:szCs w:val="24"/>
    </w:rPr>
  </w:style>
  <w:style w:type="paragraph" w:styleId="Xl130" w:customStyle="1">
    <w:name w:val="xl130"/>
    <w:basedOn w:val="Normal"/>
    <w:qFormat/>
    <w:rsid w:val="003906d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styleId="Xl131" w:customStyle="1">
    <w:name w:val="xl131"/>
    <w:basedOn w:val="Normal"/>
    <w:qFormat/>
    <w:rsid w:val="003906dd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styleId="Xl132" w:customStyle="1">
    <w:name w:val="xl132"/>
    <w:basedOn w:val="Normal"/>
    <w:qFormat/>
    <w:rsid w:val="003906d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styleId="Xl133" w:customStyle="1">
    <w:name w:val="xl133"/>
    <w:basedOn w:val="Normal"/>
    <w:qFormat/>
    <w:rsid w:val="003906dd"/>
    <w:pPr>
      <w:pBdr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sz w:val="24"/>
      <w:szCs w:val="24"/>
    </w:rPr>
  </w:style>
  <w:style w:type="paragraph" w:styleId="Xl134" w:customStyle="1">
    <w:name w:val="xl134"/>
    <w:basedOn w:val="Normal"/>
    <w:qFormat/>
    <w:rsid w:val="003906dd"/>
    <w:pPr>
      <w:pBdr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sz w:val="24"/>
      <w:szCs w:val="24"/>
    </w:rPr>
  </w:style>
  <w:style w:type="paragraph" w:styleId="Xl135" w:customStyle="1">
    <w:name w:val="xl135"/>
    <w:basedOn w:val="Normal"/>
    <w:qFormat/>
    <w:rsid w:val="003906dd"/>
    <w:pPr>
      <w:pBdr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sz w:val="24"/>
      <w:szCs w:val="24"/>
    </w:rPr>
  </w:style>
  <w:style w:type="paragraph" w:styleId="Xl136" w:customStyle="1">
    <w:name w:val="xl136"/>
    <w:basedOn w:val="Normal"/>
    <w:qFormat/>
    <w:rsid w:val="003906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i/>
      <w:iCs/>
      <w:sz w:val="24"/>
      <w:szCs w:val="24"/>
    </w:rPr>
  </w:style>
  <w:style w:type="paragraph" w:styleId="Xl137" w:customStyle="1">
    <w:name w:val="xl137"/>
    <w:basedOn w:val="Normal"/>
    <w:qFormat/>
    <w:rsid w:val="003906dd"/>
    <w:pPr>
      <w:pBdr>
        <w:lef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styleId="Xl138" w:customStyle="1">
    <w:name w:val="xl138"/>
    <w:basedOn w:val="Normal"/>
    <w:qFormat/>
    <w:rsid w:val="003906dd"/>
    <w:pP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styleId="Xl139" w:customStyle="1">
    <w:name w:val="xl139"/>
    <w:basedOn w:val="Normal"/>
    <w:qFormat/>
    <w:rsid w:val="003906dd"/>
    <w:pPr>
      <w:pBdr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styleId="Xl140" w:customStyle="1">
    <w:name w:val="xl140"/>
    <w:basedOn w:val="Normal"/>
    <w:qFormat/>
    <w:rsid w:val="003906dd"/>
    <w:pPr>
      <w:pBdr>
        <w:left w:val="single" w:sz="4" w:space="0" w:color="000000"/>
      </w:pBdr>
      <w:spacing w:beforeAutospacing="1" w:afterAutospacing="1"/>
      <w:textAlignment w:val="center"/>
    </w:pPr>
    <w:rPr>
      <w:rFonts w:ascii="Arial" w:hAnsi="Arial" w:cs="Arial"/>
      <w:sz w:val="24"/>
      <w:szCs w:val="24"/>
    </w:rPr>
  </w:style>
  <w:style w:type="paragraph" w:styleId="Xl141" w:customStyle="1">
    <w:name w:val="xl141"/>
    <w:basedOn w:val="Normal"/>
    <w:qFormat/>
    <w:rsid w:val="003906dd"/>
    <w:pPr>
      <w:spacing w:beforeAutospacing="1" w:afterAutospacing="1"/>
      <w:textAlignment w:val="center"/>
    </w:pPr>
    <w:rPr>
      <w:rFonts w:ascii="Arial" w:hAnsi="Arial" w:cs="Arial"/>
      <w:sz w:val="24"/>
      <w:szCs w:val="24"/>
    </w:rPr>
  </w:style>
  <w:style w:type="paragraph" w:styleId="Xl142" w:customStyle="1">
    <w:name w:val="xl142"/>
    <w:basedOn w:val="Normal"/>
    <w:qFormat/>
    <w:rsid w:val="003906dd"/>
    <w:pPr>
      <w:pBdr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sz w:val="24"/>
      <w:szCs w:val="24"/>
    </w:rPr>
  </w:style>
  <w:style w:type="paragraph" w:styleId="Xl143" w:customStyle="1">
    <w:name w:val="xl143"/>
    <w:basedOn w:val="Normal"/>
    <w:qFormat/>
    <w:rsid w:val="003906d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i/>
      <w:iCs/>
      <w:sz w:val="22"/>
      <w:szCs w:val="22"/>
    </w:rPr>
  </w:style>
  <w:style w:type="paragraph" w:styleId="Xl144" w:customStyle="1">
    <w:name w:val="xl144"/>
    <w:basedOn w:val="Normal"/>
    <w:qFormat/>
    <w:rsid w:val="003906dd"/>
    <w:pPr>
      <w:pBdr>
        <w:top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i/>
      <w:iCs/>
      <w:sz w:val="22"/>
      <w:szCs w:val="22"/>
    </w:rPr>
  </w:style>
  <w:style w:type="paragraph" w:styleId="Xl145" w:customStyle="1">
    <w:name w:val="xl145"/>
    <w:basedOn w:val="Normal"/>
    <w:qFormat/>
    <w:rsid w:val="003906d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i/>
      <w:iCs/>
      <w:sz w:val="22"/>
      <w:szCs w:val="22"/>
    </w:rPr>
  </w:style>
  <w:style w:type="paragraph" w:styleId="Xl146" w:customStyle="1">
    <w:name w:val="xl146"/>
    <w:basedOn w:val="Normal"/>
    <w:qFormat/>
    <w:rsid w:val="003906d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i/>
      <w:iCs/>
      <w:sz w:val="24"/>
      <w:szCs w:val="24"/>
    </w:rPr>
  </w:style>
  <w:style w:type="paragraph" w:styleId="Xl147" w:customStyle="1">
    <w:name w:val="xl147"/>
    <w:basedOn w:val="Normal"/>
    <w:qFormat/>
    <w:rsid w:val="003906dd"/>
    <w:pPr>
      <w:pBdr>
        <w:top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i/>
      <w:iCs/>
      <w:sz w:val="24"/>
      <w:szCs w:val="24"/>
    </w:rPr>
  </w:style>
  <w:style w:type="paragraph" w:styleId="Xl148" w:customStyle="1">
    <w:name w:val="xl148"/>
    <w:basedOn w:val="Normal"/>
    <w:qFormat/>
    <w:rsid w:val="003906d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i/>
      <w:iCs/>
      <w:sz w:val="24"/>
      <w:szCs w:val="24"/>
    </w:rPr>
  </w:style>
  <w:style w:type="paragraph" w:styleId="Font7" w:customStyle="1">
    <w:name w:val="font7"/>
    <w:basedOn w:val="Normal"/>
    <w:qFormat/>
    <w:rsid w:val="003906dd"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Font8" w:customStyle="1">
    <w:name w:val="font8"/>
    <w:basedOn w:val="Normal"/>
    <w:qFormat/>
    <w:rsid w:val="003906dd"/>
    <w:pPr>
      <w:spacing w:beforeAutospacing="1" w:afterAutospacing="1"/>
    </w:pPr>
    <w:rPr>
      <w:rFonts w:ascii="Arial" w:hAnsi="Arial" w:cs="Arial"/>
      <w:color w:val="FF0000"/>
      <w:sz w:val="20"/>
      <w:szCs w:val="20"/>
    </w:rPr>
  </w:style>
  <w:style w:type="paragraph" w:styleId="Xl63" w:customStyle="1">
    <w:name w:val="xl63"/>
    <w:basedOn w:val="Normal"/>
    <w:qFormat/>
    <w:rsid w:val="003906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styleId="Xl64" w:customStyle="1">
    <w:name w:val="xl64"/>
    <w:basedOn w:val="Normal"/>
    <w:qFormat/>
    <w:rsid w:val="003906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styleId="Xl85" w:customStyle="1">
    <w:name w:val="xl85"/>
    <w:basedOn w:val="Normal"/>
    <w:qFormat/>
    <w:rsid w:val="003906dd"/>
    <w:pP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styleId="Xl86" w:customStyle="1">
    <w:name w:val="xl86"/>
    <w:basedOn w:val="Normal"/>
    <w:qFormat/>
    <w:rsid w:val="003906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sz w:val="24"/>
      <w:szCs w:val="24"/>
    </w:rPr>
  </w:style>
  <w:style w:type="paragraph" w:styleId="Xl87" w:customStyle="1">
    <w:name w:val="xl87"/>
    <w:basedOn w:val="Normal"/>
    <w:qFormat/>
    <w:rsid w:val="003906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rFonts w:ascii="Arial" w:hAnsi="Arial" w:cs="Arial"/>
      <w:b/>
      <w:bCs/>
      <w:i/>
      <w:iCs/>
      <w:sz w:val="24"/>
      <w:szCs w:val="24"/>
    </w:rPr>
  </w:style>
  <w:style w:type="paragraph" w:styleId="Xl88" w:customStyle="1">
    <w:name w:val="xl88"/>
    <w:basedOn w:val="Normal"/>
    <w:qFormat/>
    <w:rsid w:val="003906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rFonts w:ascii="Arial" w:hAnsi="Arial" w:cs="Arial"/>
      <w:b/>
      <w:bCs/>
      <w:sz w:val="24"/>
      <w:szCs w:val="24"/>
      <w:u w:val="single"/>
    </w:rPr>
  </w:style>
  <w:style w:type="paragraph" w:styleId="Xl89" w:customStyle="1">
    <w:name w:val="xl89"/>
    <w:basedOn w:val="Normal"/>
    <w:qFormat/>
    <w:rsid w:val="003906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sz w:val="24"/>
      <w:szCs w:val="24"/>
      <w:u w:val="single"/>
    </w:rPr>
  </w:style>
  <w:style w:type="paragraph" w:styleId="Xl90" w:customStyle="1">
    <w:name w:val="xl90"/>
    <w:basedOn w:val="Normal"/>
    <w:qFormat/>
    <w:rsid w:val="003906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i/>
      <w:iCs/>
      <w:sz w:val="24"/>
      <w:szCs w:val="24"/>
    </w:rPr>
  </w:style>
  <w:style w:type="paragraph" w:styleId="Xl91" w:customStyle="1">
    <w:name w:val="xl91"/>
    <w:basedOn w:val="Normal"/>
    <w:qFormat/>
    <w:rsid w:val="003906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i/>
      <w:iCs/>
      <w:sz w:val="24"/>
      <w:szCs w:val="24"/>
    </w:rPr>
  </w:style>
  <w:style w:type="paragraph" w:styleId="Xl92" w:customStyle="1">
    <w:name w:val="xl92"/>
    <w:basedOn w:val="Normal"/>
    <w:qFormat/>
    <w:rsid w:val="003906dd"/>
    <w:pPr>
      <w:spacing w:beforeAutospacing="1" w:afterAutospacing="1"/>
      <w:textAlignment w:val="center"/>
    </w:pPr>
    <w:rPr>
      <w:rFonts w:ascii="Arial" w:hAnsi="Arial" w:cs="Arial"/>
      <w:sz w:val="16"/>
      <w:szCs w:val="16"/>
    </w:rPr>
  </w:style>
  <w:style w:type="paragraph" w:styleId="Xl93" w:customStyle="1">
    <w:name w:val="xl93"/>
    <w:basedOn w:val="Normal"/>
    <w:qFormat/>
    <w:rsid w:val="003906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sz w:val="16"/>
      <w:szCs w:val="16"/>
    </w:rPr>
  </w:style>
  <w:style w:type="paragraph" w:styleId="Xl94" w:customStyle="1">
    <w:name w:val="xl94"/>
    <w:basedOn w:val="Normal"/>
    <w:qFormat/>
    <w:rsid w:val="003906dd"/>
    <w:pPr>
      <w:pBdr>
        <w:lef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styleId="Style38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10" w:customStyle="1">
    <w:name w:val="Стиль2"/>
    <w:uiPriority w:val="99"/>
    <w:qFormat/>
    <w:rsid w:val="006629c9"/>
  </w:style>
  <w:style w:type="table" w:default="1" w:styleId="a8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c">
    <w:name w:val="Table Grid"/>
    <w:basedOn w:val="a8"/>
    <w:uiPriority w:val="5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d">
    <w:name w:val="Сетка таблицы1"/>
    <w:basedOn w:val="a8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f">
    <w:name w:val="Сетка таблицы2"/>
    <w:basedOn w:val="a8"/>
    <w:rsid w:val="000b7e5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footer" Target="footer2.xml"/><Relationship Id="rId9" Type="http://schemas.openxmlformats.org/officeDocument/2006/relationships/header" Target="header6.xml"/><Relationship Id="rId10" Type="http://schemas.openxmlformats.org/officeDocument/2006/relationships/header" Target="header7.xml"/><Relationship Id="rId11" Type="http://schemas.openxmlformats.org/officeDocument/2006/relationships/header" Target="header8.xml"/><Relationship Id="rId12" Type="http://schemas.openxmlformats.org/officeDocument/2006/relationships/footer" Target="footer3.xml"/><Relationship Id="rId13" Type="http://schemas.openxmlformats.org/officeDocument/2006/relationships/footer" Target="footer4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160FF-2B10-4A9F-B50D-89FDBFC86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7153</TotalTime>
  <Application>AlterOffice/3.4.0.9$Linux_X86_64 LibreOffice_project/b8daf9e823b1a5463a2f48435ddc2e8696e7d4fc</Application>
  <AppVersion>15.0000</AppVersion>
  <Pages>21</Pages>
  <Words>2835</Words>
  <Characters>19976</Characters>
  <CharactersWithSpaces>22508</CharactersWithSpaces>
  <Paragraphs>276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2023-09-18T09:41:00Z</dcterms:created>
  <dc:creator>Кормановский Никита Андреевич</dc:creator>
  <dc:description/>
  <dc:language>ru-RU</dc:language>
  <cp:lastModifiedBy>kuzmichevatav@corp.gidroogk.com</cp:lastModifiedBy>
  <cp:lastPrinted>2026-01-21T07:50:00Z</cp:lastPrinted>
  <dcterms:modified xsi:type="dcterms:W3CDTF">2026-08-19T17:59:56Z</dcterms:modified>
  <cp:revision>141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