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20</w:t>
      </w:r>
      <w:r>
        <w:rPr>
          <w:b/>
          <w:lang w:val="ru-RU"/>
        </w:rPr>
        <w:t>54</w:t>
      </w:r>
      <w:r>
        <w:rPr>
          <w:b/>
          <w:lang w:val="ru-RU"/>
        </w:rPr>
        <w:t>-</w:t>
      </w:r>
      <w:r>
        <w:rPr>
          <w:b/>
          <w:lang w:val="ru-RU"/>
        </w:rPr>
        <w:t>РЕМ</w:t>
      </w:r>
      <w:r>
        <w:rPr>
          <w:b/>
          <w:lang w:val="ru-RU"/>
        </w:rPr>
        <w:t xml:space="preserve"> ПРОД-2027-ТК-КФ</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center"/>
        <w:rPr>
          <w:bCs/>
          <w:lang w:val="ru-RU"/>
        </w:rPr>
      </w:pPr>
      <w:r>
        <w:rPr>
          <w:lang w:val="ru-RU"/>
        </w:rPr>
        <w:t xml:space="preserve">г. Петропавловск-Камчатский </w:t>
      </w:r>
      <w:bookmarkStart w:id="0" w:name="OLE_LINK2"/>
      <w:bookmarkStart w:id="1" w:name="OLE_LINK1"/>
      <w:r>
        <w:rPr>
          <w:lang w:val="ru-RU"/>
        </w:rPr>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Директора Камчатского филиала АО «ТК РусГидро», Нешева Михаила Вячеславовича, действующего на основании доверенности №_____ от 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№2054-РЕМ ПРОД-2027-ТК-КФ</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jc w:val="center"/>
        <w:rPr>
          <w:b/>
          <w:bCs/>
          <w:lang w:val="ru-RU"/>
        </w:rPr>
      </w:pPr>
      <w:r>
        <w:rPr>
          <w:b/>
          <w:bCs/>
          <w:lang w:val="ru-RU"/>
        </w:rPr>
        <w:t>Термины и определения</w:t>
      </w:r>
    </w:p>
    <w:p>
      <w:pPr>
        <w:pStyle w:val="Normal"/>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sectPr>
          <w:headerReference w:type="default" r:id="rId2"/>
          <w:type w:val="nextPage"/>
          <w:pgSz w:w="11906" w:h="16838"/>
          <w:pgMar w:left="1134" w:right="736" w:gutter="0" w:header="709" w:top="851" w:footer="0" w:bottom="1418"/>
          <w:pgNumType w:fmt="decimal"/>
          <w:formProt w:val="false"/>
          <w:textDirection w:val="lrTb"/>
          <w:docGrid w:type="default" w:linePitch="381" w:charSpace="0"/>
        </w:sect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BodyText3"/>
        <w:spacing w:before="0" w:after="0"/>
        <w:jc w:val="both"/>
        <w:rPr>
          <w:sz w:val="24"/>
          <w:szCs w:val="24"/>
          <w:lang w:val="ru-RU"/>
        </w:rPr>
      </w:pPr>
      <w:r>
        <w:rPr>
          <w:sz w:val="24"/>
          <w:szCs w:val="24"/>
          <w:lang w:val="ru-RU"/>
        </w:rPr>
      </w:r>
    </w:p>
    <w:p>
      <w:pPr>
        <w:pStyle w:val="ListParagraph"/>
        <w:numPr>
          <w:ilvl w:val="0"/>
          <w:numId w:val="3"/>
        </w:numPr>
        <w:tabs>
          <w:tab w:val="left" w:pos="284" w:leader="none"/>
          <w:tab w:val="left" w:pos="709" w:leader="none"/>
        </w:tabs>
        <w:ind w:left="0" w:hanging="0"/>
        <w:jc w:val="center"/>
        <w:rPr/>
      </w:pPr>
      <w:r>
        <w:rPr>
          <w:b/>
        </w:rPr>
        <w:t>Предмет Договора</w:t>
      </w:r>
    </w:p>
    <w:p>
      <w:pPr>
        <w:pStyle w:val="ListParagraph"/>
        <w:numPr>
          <w:ilvl w:val="1"/>
          <w:numId w:val="3"/>
        </w:numPr>
        <w:tabs>
          <w:tab w:val="clear" w:pos="709"/>
          <w:tab w:val="left" w:pos="1134" w:leader="none"/>
        </w:tabs>
        <w:ind w:left="0" w:firstLine="709"/>
        <w:jc w:val="both"/>
        <w:rPr/>
      </w:pPr>
      <w:r>
        <w:rPr/>
        <w:t xml:space="preserve">Исполнитель </w:t>
      </w:r>
      <w:r>
        <w:rPr>
          <w:sz w:val="24"/>
          <w:szCs w:val="24"/>
        </w:rPr>
        <w:t>обязуется по заданиям Заказчика в течение срока действия Договора оказать с надлежащим качеством услуги по текущему ремонту легковых автомобилей для нужд Камчатского филиала АО «ТК РусГидро» (далее – Услуги) в соответствии с Техническими требованиями (Приложение №1 к Договору), а Заказчик обязуется принять их и оплатить в соответствии с условиями</w:t>
      </w:r>
      <w:r>
        <w:rPr/>
        <w:t xml:space="preserve"> Договора.</w:t>
      </w:r>
    </w:p>
    <w:p>
      <w:pPr>
        <w:pStyle w:val="ListParagraph"/>
        <w:numPr>
          <w:ilvl w:val="1"/>
          <w:numId w:val="3"/>
        </w:numPr>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3"/>
        </w:numPr>
        <w:tabs>
          <w:tab w:val="clear" w:pos="709"/>
          <w:tab w:val="left" w:pos="1134" w:leader="none"/>
          <w:tab w:val="left" w:pos="1418" w:leader="none"/>
        </w:tabs>
        <w:ind w:left="0" w:firstLine="709"/>
        <w:jc w:val="both"/>
        <w:rPr>
          <w:bCs/>
          <w:lang w:val="ru-RU"/>
        </w:rPr>
      </w:pPr>
      <w:r>
        <w:rPr>
          <w:lang w:val="ru-RU"/>
        </w:rPr>
        <w:t>Место оказания Услуг: Камчатский край, г. Петропавловск-Камчатский.</w:t>
      </w:r>
    </w:p>
    <w:p>
      <w:pPr>
        <w:pStyle w:val="Normal"/>
        <w:widowControl w:val="false"/>
        <w:numPr>
          <w:ilvl w:val="1"/>
          <w:numId w:val="3"/>
        </w:numPr>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tabs>
          <w:tab w:val="clear" w:pos="709"/>
          <w:tab w:val="left" w:pos="1134" w:leader="none"/>
          <w:tab w:val="left" w:pos="1418" w:leader="none"/>
        </w:tabs>
        <w:ind w:left="0" w:firstLine="709"/>
        <w:jc w:val="both"/>
        <w:rPr>
          <w:bCs/>
          <w:lang w:val="ru-RU"/>
        </w:rPr>
      </w:pPr>
      <w:r>
        <w:rPr>
          <w:bCs/>
          <w:lang w:val="ru-RU"/>
        </w:rPr>
        <w:t>Начало оказания Услуг: с даты подписания договора.</w:t>
      </w:r>
    </w:p>
    <w:p>
      <w:pPr>
        <w:pStyle w:val="Normal"/>
        <w:widowControl w:val="false"/>
        <w:numPr>
          <w:ilvl w:val="2"/>
          <w:numId w:val="3"/>
        </w:numPr>
        <w:tabs>
          <w:tab w:val="clear" w:pos="709"/>
          <w:tab w:val="left" w:pos="1134" w:leader="none"/>
          <w:tab w:val="left" w:pos="1418" w:leader="none"/>
        </w:tabs>
        <w:ind w:left="0" w:firstLine="709"/>
        <w:jc w:val="both"/>
        <w:rPr>
          <w:bCs/>
          <w:lang w:val="ru-RU"/>
        </w:rPr>
      </w:pPr>
      <w:r>
        <w:rPr>
          <w:bCs/>
          <w:lang w:val="ru-RU"/>
        </w:rPr>
        <w:t>Окончание оказания Услуг: «31» декабря 2027 г.</w:t>
      </w:r>
    </w:p>
    <w:p>
      <w:pPr>
        <w:pStyle w:val="Normal"/>
        <w:widowControl w:val="false"/>
        <w:numPr>
          <w:ilvl w:val="1"/>
          <w:numId w:val="3"/>
        </w:numPr>
        <w:tabs>
          <w:tab w:val="clear" w:pos="709"/>
          <w:tab w:val="left" w:pos="1134" w:leader="none"/>
        </w:tabs>
        <w:ind w:left="0" w:firstLine="709"/>
        <w:jc w:val="both"/>
        <w:rPr>
          <w:bCs/>
          <w:lang w:val="ru-RU"/>
        </w:rPr>
      </w:pPr>
      <w:r>
        <w:rPr>
          <w:bCs/>
          <w:lang w:val="ru-RU"/>
        </w:rPr>
        <w:t xml:space="preserve">Оказание Услуг осуществляется поэтапно. Сроки оказания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tabs>
          <w:tab w:val="clear" w:pos="709"/>
          <w:tab w:val="left" w:pos="1134" w:leader="none"/>
        </w:tabs>
        <w:jc w:val="both"/>
        <w:rPr>
          <w:bCs/>
          <w:lang w:val="ru-RU"/>
        </w:rPr>
      </w:pPr>
      <w:r>
        <w:rPr>
          <w:bCs/>
          <w:lang w:val="ru-RU"/>
        </w:rPr>
      </w:r>
    </w:p>
    <w:p>
      <w:pPr>
        <w:pStyle w:val="ListParagraph"/>
        <w:numPr>
          <w:ilvl w:val="0"/>
          <w:numId w:val="3"/>
        </w:numPr>
        <w:tabs>
          <w:tab w:val="clear" w:pos="709"/>
          <w:tab w:val="left" w:pos="284" w:leader="none"/>
        </w:tabs>
        <w:ind w:left="0" w:hanging="0"/>
        <w:jc w:val="center"/>
        <w:rPr>
          <w:b/>
        </w:rPr>
      </w:pPr>
      <w:r>
        <w:rPr>
          <w:b/>
        </w:rPr>
        <w:t>Права и обязанности Сторон</w:t>
      </w:r>
    </w:p>
    <w:p>
      <w:pPr>
        <w:pStyle w:val="ListParagraph"/>
        <w:numPr>
          <w:ilvl w:val="1"/>
          <w:numId w:val="3"/>
        </w:numPr>
        <w:tabs>
          <w:tab w:val="clear" w:pos="709"/>
          <w:tab w:val="left" w:pos="1134" w:leader="none"/>
        </w:tabs>
        <w:ind w:left="0" w:firstLine="709"/>
        <w:jc w:val="both"/>
        <w:rPr/>
      </w:pPr>
      <w:r>
        <w:rPr>
          <w:u w:val="single"/>
        </w:rPr>
        <w:t>Заказчик обязан</w:t>
      </w:r>
      <w:r>
        <w:rPr/>
        <w:t>:</w:t>
      </w:r>
    </w:p>
    <w:p>
      <w:pPr>
        <w:pStyle w:val="ListParagraph"/>
        <w:numPr>
          <w:ilvl w:val="2"/>
          <w:numId w:val="3"/>
        </w:numPr>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418" w:leader="none"/>
        </w:tabs>
        <w:ind w:left="0" w:firstLine="709"/>
        <w:jc w:val="both"/>
        <w:rPr/>
      </w:pPr>
      <w:bookmarkStart w:id="2" w:name="_Ref361320734"/>
      <w:r>
        <w:rPr/>
        <w:t>Указанная документация и информация предоставляются Заказчиком Исполнителю не позднее 5 (пяти) рабочих дней с момента получения соответствующего запроса Исполнителя по Акту сдачи-приемки технической и иной документации (Приложение № 4 к Договору).</w:t>
      </w:r>
      <w:bookmarkEnd w:id="2"/>
    </w:p>
    <w:p>
      <w:pPr>
        <w:pStyle w:val="ListParagraph"/>
        <w:numPr>
          <w:ilvl w:val="2"/>
          <w:numId w:val="3"/>
        </w:numPr>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tabs>
          <w:tab w:val="clear" w:pos="709"/>
          <w:tab w:val="left" w:pos="1276" w:leader="none"/>
        </w:tabs>
        <w:ind w:left="0" w:hanging="0"/>
        <w:jc w:val="both"/>
        <w:rPr>
          <w:bCs/>
        </w:rPr>
      </w:pPr>
      <w:r>
        <w:rPr>
          <w:bCs/>
        </w:rPr>
      </w:r>
    </w:p>
    <w:p>
      <w:pPr>
        <w:pStyle w:val="ListParagraph"/>
        <w:numPr>
          <w:ilvl w:val="1"/>
          <w:numId w:val="3"/>
        </w:numPr>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tabs>
          <w:tab w:val="clear" w:pos="709"/>
          <w:tab w:val="left" w:pos="710" w:leader="none"/>
        </w:tabs>
        <w:ind w:left="0" w:firstLine="710"/>
        <w:jc w:val="both"/>
        <w:rPr>
          <w:bCs/>
        </w:rPr>
      </w:pPr>
      <w:bookmarkStart w:id="3" w:name="_Ref361334602"/>
      <w:r>
        <w:rPr>
          <w:bCs/>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4"/>
        </w:numPr>
        <w:tabs>
          <w:tab w:val="clear" w:pos="709"/>
          <w:tab w:val="left" w:pos="1418" w:leader="none"/>
        </w:tabs>
        <w:ind w:left="0" w:firstLine="709"/>
        <w:jc w:val="both"/>
        <w:rPr/>
      </w:pPr>
      <w:r>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tabs>
          <w:tab w:val="clear" w:pos="709"/>
          <w:tab w:val="left" w:pos="710" w:leader="none"/>
        </w:tabs>
        <w:ind w:left="0" w:firstLine="71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tabs>
          <w:tab w:val="clear" w:pos="709"/>
          <w:tab w:val="left" w:pos="710" w:leader="none"/>
        </w:tabs>
        <w:ind w:left="0" w:firstLine="709"/>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и необходимую Исполнителю для выполнения обязательств по Договору, по Акту сдачи-приемки технической и иной документации (Приложение № 4 к Договору).</w:t>
      </w:r>
    </w:p>
    <w:p>
      <w:pPr>
        <w:pStyle w:val="ListParagraph"/>
        <w:numPr>
          <w:ilvl w:val="2"/>
          <w:numId w:val="14"/>
        </w:numPr>
        <w:tabs>
          <w:tab w:val="clear" w:pos="709"/>
          <w:tab w:val="left" w:pos="1418" w:leader="none"/>
        </w:tabs>
        <w:ind w:left="0" w:firstLine="709"/>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ind w:left="0" w:firstLine="710"/>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13 Договора</w:t>
      </w:r>
      <w:r>
        <w:rPr/>
        <w:t>, – не позднее 3 (трех) рабочих дней с даты получения соответствующего требования Заказчика.</w:t>
      </w:r>
    </w:p>
    <w:p>
      <w:pPr>
        <w:pStyle w:val="ListParagraph"/>
        <w:numPr>
          <w:ilvl w:val="2"/>
          <w:numId w:val="14"/>
        </w:numPr>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tabs>
          <w:tab w:val="clear" w:pos="709"/>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tabs>
          <w:tab w:val="clear" w:pos="709"/>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tabs>
          <w:tab w:val="clear" w:pos="709"/>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tabs>
          <w:tab w:val="clear" w:pos="709"/>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tabs>
          <w:tab w:val="clear" w:pos="709"/>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tabs>
          <w:tab w:val="clear" w:pos="709"/>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tabs>
          <w:tab w:val="clear" w:pos="709"/>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4"/>
        </w:numPr>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r>
        <w:rPr>
          <w:bCs/>
        </w:rPr>
        <w:t>.</w:t>
      </w:r>
    </w:p>
    <w:p>
      <w:pPr>
        <w:pStyle w:val="ListParagraph"/>
        <w:numPr>
          <w:ilvl w:val="2"/>
          <w:numId w:val="14"/>
        </w:numPr>
        <w:tabs>
          <w:tab w:val="clear" w:pos="709"/>
          <w:tab w:val="left" w:pos="710" w:leader="none"/>
        </w:tabs>
        <w:ind w:left="0" w:firstLine="709"/>
        <w:jc w:val="both"/>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tabs>
          <w:tab w:val="clear" w:pos="709"/>
          <w:tab w:val="left" w:pos="851" w:leader="none"/>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4"/>
        </w:numPr>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4"/>
        </w:numPr>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4"/>
        </w:numPr>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4"/>
        </w:numPr>
        <w:tabs>
          <w:tab w:val="clear" w:pos="709"/>
          <w:tab w:val="left" w:pos="1134" w:leader="none"/>
        </w:tabs>
        <w:ind w:left="0" w:firstLine="709"/>
        <w:jc w:val="both"/>
        <w:rPr>
          <w:u w:val="single"/>
        </w:rPr>
      </w:pPr>
      <w:r>
        <w:rPr>
          <w:u w:val="single"/>
        </w:rPr>
        <w:t>Исполнитель имеет право:</w:t>
      </w:r>
    </w:p>
    <w:p>
      <w:pPr>
        <w:pStyle w:val="ListParagraph"/>
        <w:numPr>
          <w:ilvl w:val="2"/>
          <w:numId w:val="20"/>
        </w:numPr>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0"/>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tabs>
          <w:tab w:val="clear" w:pos="709"/>
          <w:tab w:val="left" w:pos="1418" w:leader="none"/>
        </w:tabs>
        <w:ind w:left="0" w:firstLine="709"/>
        <w:jc w:val="both"/>
        <w:rPr>
          <w:bCs/>
        </w:rPr>
      </w:pPr>
      <w:r>
        <w:rPr>
          <w:bCs/>
        </w:rPr>
        <w:t xml:space="preserve">Получать от Заказчика разъяснения и / или указания, необходимые для исполнения обязательств по Договору. </w:t>
      </w:r>
    </w:p>
    <w:p>
      <w:pPr>
        <w:pStyle w:val="ListParagraph"/>
        <w:numPr>
          <w:ilvl w:val="2"/>
          <w:numId w:val="20"/>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5"/>
        </w:numPr>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5"/>
        </w:numPr>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5"/>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4"/>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19"/>
        <w:tabs>
          <w:tab w:val="clear" w:pos="360"/>
        </w:tabs>
        <w:rPr>
          <w:rFonts w:ascii="Times New Roman" w:hAnsi="Times New Roman"/>
          <w:sz w:val="24"/>
        </w:rPr>
      </w:pPr>
      <w:r>
        <w:rPr>
          <w:rFonts w:ascii="Times New Roman" w:hAnsi="Times New Roman"/>
          <w:sz w:val="24"/>
        </w:rPr>
      </w:r>
    </w:p>
    <w:p>
      <w:pPr>
        <w:pStyle w:val="ListParagraph"/>
        <w:numPr>
          <w:ilvl w:val="0"/>
          <w:numId w:val="14"/>
        </w:numPr>
        <w:tabs>
          <w:tab w:val="clear" w:pos="709"/>
          <w:tab w:val="left" w:pos="284" w:leader="none"/>
        </w:tabs>
        <w:ind w:left="0" w:hanging="0"/>
        <w:jc w:val="center"/>
        <w:rPr>
          <w:b/>
        </w:rPr>
      </w:pPr>
      <w:r>
        <w:rPr>
          <w:b/>
        </w:rPr>
        <w:t>Цена Договора и порядок расчетов</w:t>
      </w:r>
    </w:p>
    <w:p>
      <w:pPr>
        <w:pStyle w:val="ListParagraph"/>
        <w:numPr>
          <w:ilvl w:val="1"/>
          <w:numId w:val="23"/>
        </w:numPr>
        <w:tabs>
          <w:tab w:val="clear" w:pos="709"/>
          <w:tab w:val="left" w:pos="1134" w:leader="none"/>
        </w:tabs>
        <w:ind w:left="0" w:firstLine="709"/>
        <w:jc w:val="both"/>
        <w:rPr/>
      </w:pPr>
      <w:r>
        <w:rPr/>
        <w:t xml:space="preserve">Цена Договора в соответствии с Расчетом стоимости услуг (Приложение № 3 к Договору) </w:t>
      </w:r>
      <w:r>
        <w:rPr>
          <w:bCs/>
        </w:rPr>
        <w:t>является предельной</w:t>
      </w:r>
      <w:r>
        <w:rPr/>
        <w:t xml:space="preserve"> и составляе</w:t>
      </w:r>
      <w:r>
        <w:rPr>
          <w:shd w:fill="auto" w:val="clear"/>
        </w:rPr>
        <w:t>т __________ (_________________) рублей ___ коп</w:t>
      </w:r>
      <w:r>
        <w:rPr/>
        <w:t xml:space="preserve">еек,  </w:t>
      </w:r>
      <w:r>
        <w:rPr>
          <w:bCs/>
          <w:lang w:val="ru-RU"/>
        </w:rPr>
        <w:t>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r>
        <w:rPr/>
        <w:t>.</w:t>
      </w:r>
    </w:p>
    <w:p>
      <w:pPr>
        <w:pStyle w:val="ListParagraph"/>
        <w:numPr>
          <w:ilvl w:val="1"/>
          <w:numId w:val="23"/>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7"/>
        </w:numPr>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7"/>
        </w:numPr>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tabs>
          <w:tab w:val="clear" w:pos="709"/>
          <w:tab w:val="left" w:pos="1134" w:leader="none"/>
        </w:tabs>
        <w:ind w:left="0" w:firstLine="709"/>
        <w:jc w:val="both"/>
        <w:rPr/>
      </w:pPr>
      <w:bookmarkStart w:id="8" w:name="_Ref361858588"/>
      <w:r>
        <w:rPr/>
        <w:t>Оплата по Договору осуществляется Заказчиком в следующем порядке:</w:t>
      </w:r>
      <w:bookmarkEnd w:id="8"/>
      <w:r>
        <w:rPr/>
        <w:t xml:space="preserve"> </w:t>
      </w:r>
    </w:p>
    <w:p>
      <w:pPr>
        <w:pStyle w:val="ListParagraph"/>
        <w:numPr>
          <w:ilvl w:val="2"/>
          <w:numId w:val="19"/>
        </w:numPr>
        <w:tabs>
          <w:tab w:val="clear" w:pos="709"/>
          <w:tab w:val="left" w:pos="1134" w:leader="none"/>
        </w:tabs>
        <w:ind w:left="0" w:firstLine="709"/>
        <w:jc w:val="both"/>
        <w:rPr/>
      </w:pPr>
      <w:bookmarkStart w:id="9" w:name="_Ref373240288"/>
      <w:bookmarkStart w:id="10" w:name="_Ref361834178"/>
      <w:bookmarkEnd w:id="10"/>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tabs>
          <w:tab w:val="clear" w:pos="709"/>
          <w:tab w:val="left" w:pos="1134" w:leader="none"/>
        </w:tabs>
        <w:ind w:left="0" w:firstLine="709"/>
        <w:jc w:val="both"/>
        <w:rPr/>
      </w:pPr>
      <w:r>
        <w:rPr>
          <w:bCs/>
        </w:rPr>
        <w:t xml:space="preserve">Авансовые платежи </w:t>
      </w:r>
      <w:r>
        <w:rPr/>
        <w:t xml:space="preserve">в размере 5 (пяти) процентов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 3.5.4 Договора. </w:t>
      </w:r>
      <w:bookmarkEnd w:id="9"/>
    </w:p>
    <w:p>
      <w:pPr>
        <w:pStyle w:val="ListParagraph"/>
        <w:numPr>
          <w:ilvl w:val="2"/>
          <w:numId w:val="19"/>
        </w:numPr>
        <w:tabs>
          <w:tab w:val="clear" w:pos="709"/>
          <w:tab w:val="left" w:pos="1134" w:leader="none"/>
        </w:tabs>
        <w:ind w:left="0" w:firstLine="709"/>
        <w:jc w:val="both"/>
        <w:rPr/>
      </w:pPr>
      <w:r>
        <w:rPr/>
        <w:t>Последующие платежи в размере разницы между стоимостью Этапа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20 (двадцати) календарных дней</w:t>
      </w:r>
      <w:r>
        <w:rPr>
          <w:rStyle w:val="FootnoteReference"/>
        </w:rPr>
        <w:footnoteReference w:id="3"/>
      </w:r>
      <w:r>
        <w:rPr/>
        <w:t xml:space="preserve"> / 45 (сорока пяти) календарных дней</w:t>
      </w:r>
      <w:r>
        <w:rPr>
          <w:rStyle w:val="FootnoteReference"/>
        </w:rPr>
        <w:footnoteReference w:id="4"/>
      </w:r>
      <w:r>
        <w:rPr/>
        <w:t xml:space="preserve"> / 7 (семи) рабочих дней</w:t>
      </w:r>
      <w:r>
        <w:rPr>
          <w:rStyle w:val="FootnoteReference"/>
        </w:rPr>
        <w:footnoteReference w:id="5"/>
      </w:r>
      <w:r>
        <w:rPr/>
        <w:t xml:space="preserve">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3.5.4 Договора.</w:t>
      </w:r>
    </w:p>
    <w:p>
      <w:pPr>
        <w:pStyle w:val="ListParagraph"/>
        <w:numPr>
          <w:ilvl w:val="2"/>
          <w:numId w:val="19"/>
        </w:numPr>
        <w:tabs>
          <w:tab w:val="clear" w:pos="709"/>
          <w:tab w:val="left" w:pos="1134" w:leader="none"/>
        </w:tabs>
        <w:ind w:left="0" w:firstLine="709"/>
        <w:jc w:val="both"/>
        <w:rPr/>
      </w:pPr>
      <w:bookmarkStart w:id="11" w:name="_Ref372549497"/>
      <w:bookmarkStart w:id="12" w:name="_Ref361834178_Копия_1"/>
      <w:bookmarkEnd w:id="12"/>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t xml:space="preserve"> </w:t>
      </w:r>
    </w:p>
    <w:p>
      <w:pPr>
        <w:pStyle w:val="ListParagraph"/>
        <w:numPr>
          <w:ilvl w:val="2"/>
          <w:numId w:val="19"/>
        </w:numPr>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tabs>
          <w:tab w:val="clear" w:pos="709"/>
          <w:tab w:val="left" w:pos="1134" w:leader="none"/>
        </w:tabs>
        <w:ind w:left="0" w:hanging="0"/>
        <w:jc w:val="both"/>
        <w:rPr/>
      </w:pPr>
      <w:r>
        <w:rPr/>
      </w:r>
    </w:p>
    <w:p>
      <w:pPr>
        <w:pStyle w:val="ListParagraph"/>
        <w:numPr>
          <w:ilvl w:val="0"/>
          <w:numId w:val="21"/>
        </w:numPr>
        <w:tabs>
          <w:tab w:val="clear" w:pos="709"/>
          <w:tab w:val="left" w:pos="284" w:leader="none"/>
        </w:tabs>
        <w:ind w:left="0" w:hanging="0"/>
        <w:jc w:val="center"/>
        <w:rPr>
          <w:b/>
        </w:rPr>
      </w:pPr>
      <w:r>
        <w:rPr>
          <w:b/>
        </w:rPr>
        <w:t>Порядок сдачи-приемки Услуг</w:t>
      </w:r>
    </w:p>
    <w:p>
      <w:pPr>
        <w:pStyle w:val="ListParagraph"/>
        <w:numPr>
          <w:ilvl w:val="1"/>
          <w:numId w:val="21"/>
        </w:numPr>
        <w:tabs>
          <w:tab w:val="clear" w:pos="709"/>
          <w:tab w:val="left" w:pos="284" w:leader="none"/>
          <w:tab w:val="left" w:pos="1134" w:leader="none"/>
        </w:tabs>
        <w:ind w:left="0" w:firstLine="709"/>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5 к Договору. </w:t>
      </w:r>
    </w:p>
    <w:p>
      <w:pPr>
        <w:pStyle w:val="ListParagraph"/>
        <w:numPr>
          <w:ilvl w:val="1"/>
          <w:numId w:val="21"/>
        </w:numPr>
        <w:tabs>
          <w:tab w:val="clear" w:pos="709"/>
          <w:tab w:val="left" w:pos="284" w:leader="none"/>
          <w:tab w:val="left" w:pos="1134" w:leader="none"/>
        </w:tabs>
        <w:ind w:left="0" w:firstLine="709"/>
        <w:jc w:val="both"/>
        <w:rPr/>
      </w:pPr>
      <w:bookmarkStart w:id="13"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Pr/>
        <w:t xml:space="preserve"> </w:t>
      </w:r>
    </w:p>
    <w:p>
      <w:pPr>
        <w:pStyle w:val="ListParagraph"/>
        <w:numPr>
          <w:ilvl w:val="1"/>
          <w:numId w:val="21"/>
        </w:numPr>
        <w:tabs>
          <w:tab w:val="clear" w:pos="709"/>
          <w:tab w:val="left" w:pos="1134" w:leader="none"/>
        </w:tabs>
        <w:ind w:left="0" w:firstLine="709"/>
        <w:jc w:val="both"/>
        <w:rPr/>
      </w:pPr>
      <w:bookmarkStart w:id="14"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tabs>
          <w:tab w:val="clear" w:pos="709"/>
          <w:tab w:val="left" w:pos="1134" w:leader="none"/>
        </w:tabs>
        <w:ind w:firstLine="709"/>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11"/>
        <w:numPr>
          <w:ilvl w:val="1"/>
          <w:numId w:val="21"/>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1"/>
        </w:numPr>
        <w:tabs>
          <w:tab w:val="clear" w:pos="709"/>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pPr>
        <w:pStyle w:val="ListParagraph"/>
        <w:tabs>
          <w:tab w:val="clear" w:pos="709"/>
          <w:tab w:val="left" w:pos="1134" w:leader="none"/>
        </w:tabs>
        <w:ind w:left="0" w:hanging="0"/>
        <w:jc w:val="both"/>
        <w:rPr/>
      </w:pPr>
      <w:r>
        <w:rPr/>
      </w:r>
    </w:p>
    <w:p>
      <w:pPr>
        <w:pStyle w:val="ListParagraph"/>
        <w:numPr>
          <w:ilvl w:val="0"/>
          <w:numId w:val="18"/>
        </w:numPr>
        <w:tabs>
          <w:tab w:val="clear" w:pos="709"/>
          <w:tab w:val="left" w:pos="284" w:leader="none"/>
        </w:tabs>
        <w:ind w:left="0" w:hanging="0"/>
        <w:jc w:val="center"/>
        <w:rPr>
          <w:b/>
        </w:rPr>
      </w:pPr>
      <w:r>
        <w:rPr>
          <w:b/>
        </w:rPr>
        <w:t>Банковская гарантия</w:t>
      </w:r>
    </w:p>
    <w:p>
      <w:pPr>
        <w:pStyle w:val="ListParagraph"/>
        <w:numPr>
          <w:ilvl w:val="1"/>
          <w:numId w:val="22"/>
        </w:numPr>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2"/>
        </w:numPr>
        <w:tabs>
          <w:tab w:val="clear" w:pos="709"/>
          <w:tab w:val="left" w:pos="1418"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2"/>
        </w:numPr>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2"/>
        </w:numPr>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ind w:left="0" w:firstLine="709"/>
        <w:jc w:val="both"/>
        <w:rPr>
          <w:bCs/>
        </w:rPr>
      </w:pPr>
      <w:r>
        <w:rPr/>
        <w:t>Вместе с требованием о предъявлении суммы обеспечения к оплате Заказчик направляет Банку-Гаранту копию Банковской гарантии</w:t>
      </w:r>
      <w:r>
        <w:rPr>
          <w:bCs/>
        </w:rPr>
        <w:t>.</w:t>
      </w:r>
    </w:p>
    <w:p>
      <w:pPr>
        <w:pStyle w:val="ListParagraph"/>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numPr>
          <w:ilvl w:val="2"/>
          <w:numId w:val="22"/>
        </w:numPr>
        <w:tabs>
          <w:tab w:val="clear" w:pos="709"/>
          <w:tab w:val="left" w:pos="1418" w:leader="none"/>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2"/>
        </w:numPr>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2"/>
        </w:numPr>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2"/>
        </w:numPr>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22"/>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7 к Договору.</w:t>
      </w:r>
    </w:p>
    <w:p>
      <w:pPr>
        <w:pStyle w:val="ListParagraph"/>
        <w:numPr>
          <w:ilvl w:val="1"/>
          <w:numId w:val="22"/>
        </w:numPr>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2"/>
        </w:numPr>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2"/>
        </w:numPr>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2"/>
        </w:numPr>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2"/>
        </w:numPr>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2"/>
        </w:numPr>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2"/>
        </w:numPr>
        <w:tabs>
          <w:tab w:val="clear" w:pos="709"/>
          <w:tab w:val="left" w:pos="1134" w:leader="none"/>
        </w:tabs>
        <w:ind w:left="0" w:firstLine="709"/>
        <w:jc w:val="both"/>
        <w:rPr>
          <w:bCs/>
        </w:rPr>
      </w:pPr>
      <w:r>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Pr>
        <w:footnoteReference w:id="6"/>
      </w:r>
      <w:r>
        <w:rPr/>
        <w:t>.</w:t>
      </w:r>
    </w:p>
    <w:p>
      <w:pPr>
        <w:pStyle w:val="ListParagraph"/>
        <w:numPr>
          <w:ilvl w:val="1"/>
          <w:numId w:val="22"/>
        </w:numPr>
        <w:tabs>
          <w:tab w:val="clear" w:pos="709"/>
          <w:tab w:val="left" w:pos="1134" w:leader="none"/>
        </w:tabs>
        <w:ind w:left="0" w:firstLine="709"/>
        <w:jc w:val="both"/>
        <w:rPr>
          <w:bCs/>
        </w:rPr>
      </w:pPr>
      <w:r>
        <w:rPr/>
        <w:t>Принадлежащее Заказчику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Банковской гарантии.</w:t>
      </w:r>
    </w:p>
    <w:p>
      <w:pPr>
        <w:pStyle w:val="ListParagraph"/>
        <w:numPr>
          <w:ilvl w:val="0"/>
          <w:numId w:val="22"/>
        </w:numPr>
        <w:tabs>
          <w:tab w:val="clear" w:pos="709"/>
          <w:tab w:val="left" w:pos="284" w:leader="none"/>
        </w:tabs>
        <w:jc w:val="center"/>
        <w:rPr>
          <w:b/>
        </w:rPr>
      </w:pPr>
      <w:r>
        <w:rPr>
          <w:b/>
        </w:rPr>
        <w:t>Ответственность Сторон</w:t>
      </w:r>
    </w:p>
    <w:p>
      <w:pPr>
        <w:pStyle w:val="ListParagraph"/>
        <w:numPr>
          <w:ilvl w:val="1"/>
          <w:numId w:val="22"/>
        </w:numPr>
        <w:tabs>
          <w:tab w:val="clear" w:pos="709"/>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2"/>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2"/>
        </w:numPr>
        <w:tabs>
          <w:tab w:val="clear" w:pos="709"/>
          <w:tab w:val="left" w:pos="1134" w:leader="none"/>
        </w:tabs>
        <w:ind w:left="0" w:firstLine="709"/>
        <w:jc w:val="both"/>
        <w:rPr>
          <w:lang w:val="ru-RU"/>
        </w:rPr>
      </w:pPr>
      <w:r>
        <w:rPr>
          <w:bCs/>
          <w:lang w:val="ru-RU"/>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br/>
        <w:t xml:space="preserve">с 31 (тридцать первого) календарного дня просрочки (неустойка с 1 по 30 день просрочки </w:t>
        <w:br/>
        <w:t>не начисляется), но не более 5% от несвоевременно уплаченной суммы</w:t>
      </w:r>
      <w:r>
        <w:rPr>
          <w:lang w:val="ru-RU"/>
        </w:rPr>
        <w:t>.</w:t>
      </w:r>
    </w:p>
    <w:p>
      <w:pPr>
        <w:pStyle w:val="Normal"/>
        <w:numPr>
          <w:ilvl w:val="1"/>
          <w:numId w:val="22"/>
        </w:numPr>
        <w:tabs>
          <w:tab w:val="clear" w:pos="709"/>
          <w:tab w:val="left" w:pos="1134" w:leader="none"/>
          <w:tab w:val="left" w:pos="1276" w:leader="none"/>
        </w:tabs>
        <w:ind w:left="0" w:firstLine="709"/>
        <w:jc w:val="both"/>
        <w:rPr>
          <w:lang w:val="ru-RU"/>
        </w:rPr>
      </w:pPr>
      <w:r>
        <w:rPr>
          <w:lang w:val="ru-RU"/>
        </w:rPr>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w:t>
      </w:r>
    </w:p>
    <w:p>
      <w:pPr>
        <w:pStyle w:val="Normal"/>
        <w:numPr>
          <w:ilvl w:val="2"/>
          <w:numId w:val="22"/>
        </w:numPr>
        <w:tabs>
          <w:tab w:val="clear" w:pos="709"/>
          <w:tab w:val="left" w:pos="1134" w:leader="none"/>
        </w:tabs>
        <w:ind w:left="0" w:firstLine="709"/>
        <w:jc w:val="both"/>
        <w:rPr>
          <w:lang w:val="ru-RU"/>
        </w:rPr>
      </w:pPr>
      <w:r>
        <w:rPr>
          <w:lang w:val="ru-RU"/>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22"/>
        </w:numPr>
        <w:tabs>
          <w:tab w:val="clear" w:pos="709"/>
          <w:tab w:val="left" w:pos="1134" w:leader="none"/>
        </w:tabs>
        <w:ind w:left="-142" w:firstLine="851"/>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2"/>
        </w:numPr>
        <w:tabs>
          <w:tab w:val="clear" w:pos="709"/>
          <w:tab w:val="left" w:pos="1134" w:leader="none"/>
        </w:tabs>
        <w:ind w:left="0" w:firstLine="709"/>
        <w:jc w:val="both"/>
        <w:rPr/>
      </w:pPr>
      <w: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22"/>
        </w:numPr>
        <w:tabs>
          <w:tab w:val="clear" w:pos="709"/>
          <w:tab w:val="left" w:pos="284" w:leader="none"/>
          <w:tab w:val="left" w:pos="1134" w:leader="none"/>
        </w:tabs>
        <w:ind w:left="0" w:firstLine="709"/>
        <w:jc w:val="both"/>
        <w:rPr/>
      </w:pPr>
      <w:r>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2"/>
        </w:numPr>
        <w:tabs>
          <w:tab w:val="clear" w:pos="709"/>
          <w:tab w:val="left" w:pos="284" w:leader="none"/>
          <w:tab w:val="left" w:pos="1134" w:leader="none"/>
        </w:tabs>
        <w:ind w:left="0" w:firstLine="709"/>
        <w:jc w:val="both"/>
        <w:rPr/>
      </w:pPr>
      <w: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2"/>
        </w:numPr>
        <w:tabs>
          <w:tab w:val="clear" w:pos="709"/>
          <w:tab w:val="left" w:pos="1276"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2"/>
        </w:numPr>
        <w:tabs>
          <w:tab w:val="clear" w:pos="709"/>
          <w:tab w:val="left" w:pos="1276"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2"/>
        </w:numPr>
        <w:tabs>
          <w:tab w:val="clear" w:pos="709"/>
          <w:tab w:val="left" w:pos="1276"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2"/>
        </w:numPr>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2"/>
        </w:numPr>
        <w:tabs>
          <w:tab w:val="clear" w:pos="709"/>
          <w:tab w:val="left" w:pos="1276" w:leader="none"/>
        </w:tabs>
        <w:ind w:left="0" w:firstLine="709"/>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tabs>
          <w:tab w:val="clear" w:pos="709"/>
          <w:tab w:val="left" w:pos="284" w:leader="none"/>
        </w:tabs>
        <w:ind w:left="0" w:hanging="0"/>
        <w:rPr>
          <w:b/>
        </w:rPr>
      </w:pPr>
      <w:r>
        <w:rPr>
          <w:b/>
        </w:rPr>
      </w:r>
    </w:p>
    <w:p>
      <w:pPr>
        <w:pStyle w:val="ListParagraph"/>
        <w:numPr>
          <w:ilvl w:val="0"/>
          <w:numId w:val="22"/>
        </w:numPr>
        <w:tabs>
          <w:tab w:val="clear" w:pos="709"/>
          <w:tab w:val="left" w:pos="284" w:leader="none"/>
        </w:tabs>
        <w:ind w:left="0" w:hanging="0"/>
        <w:jc w:val="center"/>
        <w:rPr>
          <w:b/>
        </w:rPr>
      </w:pPr>
      <w:r>
        <w:rPr>
          <w:b/>
        </w:rPr>
        <w:t>Исключительные права и патенты</w:t>
      </w:r>
    </w:p>
    <w:p>
      <w:pPr>
        <w:pStyle w:val="ListParagraph"/>
        <w:numPr>
          <w:ilvl w:val="1"/>
          <w:numId w:val="22"/>
        </w:numPr>
        <w:tabs>
          <w:tab w:val="clear" w:pos="709"/>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tabs>
          <w:tab w:val="clear" w:pos="709"/>
          <w:tab w:val="left" w:pos="1134" w:leader="none"/>
          <w:tab w:val="left" w:pos="2835" w:leader="none"/>
        </w:tabs>
        <w:ind w:left="0" w:firstLine="709"/>
        <w:jc w:val="both"/>
        <w:rPr/>
      </w:pPr>
      <w:r>
        <w:rPr/>
      </w:r>
    </w:p>
    <w:p>
      <w:pPr>
        <w:pStyle w:val="ListParagraph"/>
        <w:numPr>
          <w:ilvl w:val="0"/>
          <w:numId w:val="22"/>
        </w:numPr>
        <w:tabs>
          <w:tab w:val="clear" w:pos="709"/>
          <w:tab w:val="left" w:pos="426" w:leader="none"/>
        </w:tabs>
        <w:ind w:left="0" w:hanging="360"/>
        <w:jc w:val="center"/>
        <w:rPr>
          <w:b/>
          <w:bCs/>
        </w:rPr>
      </w:pPr>
      <w:r>
        <w:rPr>
          <w:b/>
          <w:bCs/>
        </w:rPr>
        <w:t>Конфиденциальность</w:t>
      </w:r>
    </w:p>
    <w:p>
      <w:pPr>
        <w:pStyle w:val="ListParagraph"/>
        <w:numPr>
          <w:ilvl w:val="1"/>
          <w:numId w:val="22"/>
        </w:numPr>
        <w:tabs>
          <w:tab w:val="clear" w:pos="709"/>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tabs>
          <w:tab w:val="clear" w:pos="709"/>
          <w:tab w:val="left" w:pos="1134" w:leader="none"/>
        </w:tabs>
        <w:ind w:left="0" w:firstLine="709"/>
        <w:jc w:val="both"/>
        <w:rPr>
          <w:bCs/>
        </w:rPr>
      </w:pPr>
      <w:bookmarkStart w:id="16"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6"/>
      <w:r>
        <w:rPr>
          <w:bCs/>
        </w:rPr>
        <w:t xml:space="preserve"> </w:t>
      </w:r>
    </w:p>
    <w:p>
      <w:pPr>
        <w:pStyle w:val="ListParagraph"/>
        <w:tabs>
          <w:tab w:val="clear" w:pos="709"/>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tabs>
          <w:tab w:val="clear" w:pos="709"/>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tabs>
          <w:tab w:val="clear" w:pos="709"/>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tabs>
          <w:tab w:val="clear" w:pos="709"/>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tabs>
          <w:tab w:val="clear" w:pos="709"/>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tabs>
          <w:tab w:val="clear" w:pos="709"/>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tabs>
          <w:tab w:val="clear" w:pos="709"/>
          <w:tab w:val="left" w:pos="1418" w:leader="none"/>
        </w:tabs>
        <w:ind w:left="0" w:firstLine="709"/>
        <w:jc w:val="both"/>
        <w:rPr>
          <w:bCs/>
        </w:rPr>
      </w:pPr>
      <w:bookmarkStart w:id="17"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pPr>
        <w:pStyle w:val="ListParagraph"/>
        <w:tabs>
          <w:tab w:val="clear" w:pos="709"/>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284" w:leader="none"/>
        </w:tabs>
        <w:ind w:left="0" w:hanging="0"/>
        <w:rPr>
          <w:b/>
        </w:rPr>
      </w:pPr>
      <w:r>
        <w:rPr>
          <w:b/>
        </w:rPr>
      </w:r>
    </w:p>
    <w:p>
      <w:pPr>
        <w:pStyle w:val="ListParagraph"/>
        <w:numPr>
          <w:ilvl w:val="0"/>
          <w:numId w:val="22"/>
        </w:numPr>
        <w:tabs>
          <w:tab w:val="clear" w:pos="709"/>
          <w:tab w:val="left" w:pos="284" w:leader="none"/>
        </w:tabs>
        <w:ind w:left="0" w:hanging="0"/>
        <w:jc w:val="center"/>
        <w:rPr>
          <w:bCs/>
        </w:rPr>
      </w:pPr>
      <w:r>
        <w:rPr>
          <w:b/>
          <w:bCs/>
        </w:rPr>
        <w:t>Разрешение споров</w:t>
      </w:r>
    </w:p>
    <w:p>
      <w:pPr>
        <w:pStyle w:val="ListParagraph"/>
        <w:numPr>
          <w:ilvl w:val="1"/>
          <w:numId w:val="22"/>
        </w:numPr>
        <w:tabs>
          <w:tab w:val="clear" w:pos="709"/>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1134" w:leader="none"/>
          <w:tab w:val="left" w:pos="1418" w:leader="none"/>
        </w:tabs>
        <w:ind w:left="0" w:firstLine="709"/>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22"/>
        </w:numPr>
        <w:tabs>
          <w:tab w:val="clear" w:pos="709"/>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1418" w:leader="none"/>
        </w:tabs>
        <w:ind w:left="0" w:firstLine="851"/>
        <w:jc w:val="both"/>
        <w:rPr/>
      </w:pPr>
      <w:r>
        <w:rPr/>
      </w:r>
    </w:p>
    <w:p>
      <w:pPr>
        <w:pStyle w:val="ListParagraph"/>
        <w:numPr>
          <w:ilvl w:val="0"/>
          <w:numId w:val="22"/>
        </w:numPr>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2"/>
        </w:numPr>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2"/>
        </w:numPr>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2"/>
        </w:numPr>
        <w:tabs>
          <w:tab w:val="clear" w:pos="709"/>
          <w:tab w:val="left" w:pos="426" w:leader="none"/>
        </w:tabs>
        <w:ind w:left="0" w:hanging="0"/>
        <w:jc w:val="center"/>
        <w:rPr>
          <w:b/>
          <w:bCs/>
        </w:rPr>
      </w:pPr>
      <w:r>
        <w:rPr>
          <w:b/>
          <w:bCs/>
        </w:rPr>
        <w:t>Особые положения</w:t>
      </w:r>
    </w:p>
    <w:p>
      <w:pPr>
        <w:pStyle w:val="ListParagraph"/>
        <w:numPr>
          <w:ilvl w:val="1"/>
          <w:numId w:val="22"/>
        </w:numPr>
        <w:tabs>
          <w:tab w:val="clear" w:pos="709"/>
          <w:tab w:val="left" w:pos="1134"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2"/>
        </w:numPr>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2"/>
        </w:numPr>
        <w:tabs>
          <w:tab w:val="clear" w:pos="709"/>
          <w:tab w:val="left" w:pos="1134" w:leader="none"/>
        </w:tabs>
        <w:ind w:left="0" w:firstLine="709"/>
        <w:jc w:val="both"/>
        <w:rPr>
          <w:bCs/>
        </w:rPr>
      </w:pPr>
      <w:bookmarkStart w:id="19"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9"/>
    </w:p>
    <w:p>
      <w:pPr>
        <w:pStyle w:val="ListParagraph"/>
        <w:numPr>
          <w:ilvl w:val="1"/>
          <w:numId w:val="22"/>
        </w:numPr>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tabs>
          <w:tab w:val="clear" w:pos="709"/>
          <w:tab w:val="left" w:pos="567" w:leader="none"/>
        </w:tabs>
        <w:ind w:left="0" w:hanging="0"/>
        <w:jc w:val="both"/>
        <w:rPr>
          <w:bCs/>
        </w:rPr>
      </w:pPr>
      <w:r>
        <w:rPr>
          <w:bCs/>
        </w:rPr>
      </w:r>
    </w:p>
    <w:p>
      <w:pPr>
        <w:pStyle w:val="ListParagraph"/>
        <w:numPr>
          <w:ilvl w:val="0"/>
          <w:numId w:val="22"/>
        </w:numPr>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2"/>
        </w:numPr>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tabs>
          <w:tab w:val="clear" w:pos="709"/>
          <w:tab w:val="left" w:pos="1134" w:leader="none"/>
          <w:tab w:val="left" w:pos="1418" w:leader="none"/>
        </w:tabs>
        <w:ind w:left="0" w:firstLine="709"/>
        <w:jc w:val="both"/>
        <w:rPr>
          <w:b/>
        </w:rPr>
      </w:pPr>
      <w:r>
        <w:rPr>
          <w:b/>
        </w:rPr>
      </w:r>
    </w:p>
    <w:p>
      <w:pPr>
        <w:pStyle w:val="ListParagraph"/>
        <w:numPr>
          <w:ilvl w:val="0"/>
          <w:numId w:val="22"/>
        </w:numPr>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2"/>
        </w:numPr>
        <w:tabs>
          <w:tab w:val="clear" w:pos="709"/>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tabs>
          <w:tab w:val="clear" w:pos="709"/>
          <w:tab w:val="left" w:pos="1134"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2"/>
        </w:numPr>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1"/>
          <w:numId w:val="22"/>
        </w:numPr>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tabs>
          <w:tab w:val="clear" w:pos="709"/>
          <w:tab w:val="left" w:pos="1134" w:leader="none"/>
        </w:tabs>
        <w:ind w:left="0" w:hanging="0"/>
        <w:jc w:val="both"/>
        <w:rPr/>
      </w:pPr>
      <w:r>
        <w:rPr/>
      </w:r>
    </w:p>
    <w:p>
      <w:pPr>
        <w:pStyle w:val="ListParagraph"/>
        <w:numPr>
          <w:ilvl w:val="0"/>
          <w:numId w:val="22"/>
        </w:numPr>
        <w:tabs>
          <w:tab w:val="clear" w:pos="709"/>
          <w:tab w:val="left" w:pos="426" w:leader="none"/>
        </w:tabs>
        <w:ind w:left="0" w:hanging="0"/>
        <w:jc w:val="center"/>
        <w:rPr>
          <w:b/>
          <w:bCs/>
        </w:rPr>
      </w:pPr>
      <w:r>
        <w:rPr>
          <w:b/>
          <w:bCs/>
        </w:rPr>
        <w:t>Заключительные положения</w:t>
      </w:r>
    </w:p>
    <w:p>
      <w:pPr>
        <w:pStyle w:val="ListParagraph"/>
        <w:numPr>
          <w:ilvl w:val="1"/>
          <w:numId w:val="22"/>
        </w:numPr>
        <w:tabs>
          <w:tab w:val="clear" w:pos="709"/>
          <w:tab w:val="left" w:pos="1134" w:leader="none"/>
          <w:tab w:val="left" w:pos="1418"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22"/>
        </w:numPr>
        <w:snapToGrid w:val="false"/>
        <w:ind w:left="0" w:firstLine="709"/>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lang w:val="ru-RU" w:eastAsia="en-US"/>
        </w:rPr>
        <w:footnoteReference w:id="7"/>
      </w:r>
      <w:r>
        <w:rPr>
          <w:lang w:val="ru-RU" w:eastAsia="en-US"/>
        </w:rPr>
        <w:t>.</w:t>
      </w:r>
    </w:p>
    <w:p>
      <w:pPr>
        <w:pStyle w:val="ListParagraph"/>
        <w:numPr>
          <w:ilvl w:val="1"/>
          <w:numId w:val="22"/>
        </w:numPr>
        <w:tabs>
          <w:tab w:val="clear" w:pos="709"/>
          <w:tab w:val="left" w:pos="1134" w:leader="none"/>
          <w:tab w:val="left" w:pos="1418"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22"/>
        </w:numPr>
        <w:tabs>
          <w:tab w:val="clear" w:pos="709"/>
          <w:tab w:val="left" w:pos="1134"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tabs>
          <w:tab w:val="clear" w:pos="709"/>
          <w:tab w:val="left" w:pos="1134" w:leader="none"/>
          <w:tab w:val="left" w:pos="1418"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tabs>
          <w:tab w:val="clear" w:pos="709"/>
          <w:tab w:val="left" w:pos="1134" w:leader="none"/>
          <w:tab w:val="left" w:pos="1418"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tabs>
          <w:tab w:val="clear" w:pos="709"/>
          <w:tab w:val="left" w:pos="1134" w:leader="none"/>
          <w:tab w:val="left" w:pos="1418"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2"/>
        </w:numPr>
        <w:tabs>
          <w:tab w:val="clear" w:pos="709"/>
          <w:tab w:val="left" w:pos="1418" w:leader="none"/>
          <w:tab w:val="left" w:pos="1560"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ListParagraph"/>
        <w:tabs>
          <w:tab w:val="clear" w:pos="709"/>
          <w:tab w:val="left" w:pos="1418" w:leader="none"/>
          <w:tab w:val="left" w:pos="1560"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tabs>
          <w:tab w:val="clear" w:pos="709"/>
          <w:tab w:val="left" w:pos="1418" w:leader="none"/>
          <w:tab w:val="left" w:pos="1560" w:leader="none"/>
        </w:tabs>
        <w:ind w:left="0" w:firstLine="709"/>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tabs>
          <w:tab w:val="clear" w:pos="709"/>
          <w:tab w:val="left" w:pos="1134"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2"/>
        </w:numPr>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r>
        <w:rPr/>
        <w:t xml:space="preserve"> </w:t>
      </w:r>
    </w:p>
    <w:p>
      <w:pPr>
        <w:pStyle w:val="ListParagraph"/>
        <w:numPr>
          <w:ilvl w:val="1"/>
          <w:numId w:val="22"/>
        </w:numPr>
        <w:tabs>
          <w:tab w:val="clear" w:pos="709"/>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tabs>
          <w:tab w:val="clear" w:pos="709"/>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8"/>
      </w:r>
      <w:r>
        <w:rPr/>
        <w:t>.</w:t>
      </w:r>
    </w:p>
    <w:p>
      <w:pPr>
        <w:pStyle w:val="Normal"/>
        <w:tabs>
          <w:tab w:val="clear" w:pos="709"/>
          <w:tab w:val="left" w:pos="1418" w:leader="none"/>
        </w:tabs>
        <w:ind w:firstLine="426"/>
        <w:jc w:val="both"/>
        <w:rPr>
          <w:lang w:val="ru-RU"/>
        </w:rPr>
      </w:pPr>
      <w:r>
        <w:rPr>
          <w:lang w:val="ru-RU"/>
        </w:rPr>
      </w:r>
    </w:p>
    <w:p>
      <w:pPr>
        <w:pStyle w:val="ListParagraph"/>
        <w:numPr>
          <w:ilvl w:val="0"/>
          <w:numId w:val="22"/>
        </w:numPr>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 2 – График оказания Услуг;</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Приложение № 4 – Форма Акта сдачи-приемки технической и иной документации</w:t>
      </w:r>
      <w:r>
        <w:rPr>
          <w:bCs/>
          <w:lang w:val="ru-RU"/>
        </w:rPr>
        <w:t>;</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tabs>
          <w:tab w:val="clear" w:pos="709"/>
          <w:tab w:val="left" w:pos="1134" w:leader="none"/>
          <w:tab w:val="left" w:pos="2127" w:leader="none"/>
          <w:tab w:val="left" w:pos="2410" w:leader="none"/>
        </w:tabs>
        <w:ind w:left="0" w:hanging="0"/>
        <w:jc w:val="both"/>
        <w:rPr>
          <w:lang w:eastAsia="en-US"/>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jc w:val="both"/>
        <w:rPr>
          <w:lang w:val="ru-RU"/>
        </w:rPr>
      </w:pPr>
      <w:r>
        <w:rPr>
          <w:bCs/>
          <w:lang w:val="ru-RU"/>
        </w:rPr>
        <w:t>П</w:t>
      </w:r>
      <w:r>
        <w:rPr>
          <w:lang w:val="ru-RU" w:eastAsia="en-US"/>
        </w:rPr>
        <w:t xml:space="preserve">риложение № 7 – </w:t>
      </w:r>
      <w:r>
        <w:rPr>
          <w:bCs/>
          <w:lang w:val="ru-RU"/>
        </w:rPr>
        <w:t>Критерии отбора Банков-Гарантов.</w:t>
      </w:r>
      <w:r>
        <w:rPr>
          <w:lang w:val="ru-RU" w:eastAsia="en-US"/>
        </w:rPr>
        <w:t xml:space="preserve"> </w:t>
      </w:r>
    </w:p>
    <w:p>
      <w:pPr>
        <w:pStyle w:val="ListParagraph"/>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22"/>
        </w:numPr>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b/>
              </w:rPr>
            </w:pPr>
            <w:r>
              <w:rPr>
                <w:b/>
              </w:rPr>
              <w:t>ЗАКАЗЧИК:</w:t>
            </w:r>
          </w:p>
        </w:tc>
        <w:tc>
          <w:tcPr>
            <w:tcW w:w="4643" w:type="dxa"/>
            <w:tcBorders/>
            <w:shd w:color="auto" w:fill="auto" w:val="clear"/>
          </w:tcPr>
          <w:p>
            <w:pPr>
              <w:pStyle w:val="Normal"/>
              <w:widowControl w:val="false"/>
              <w:rPr>
                <w:b/>
              </w:rPr>
            </w:pPr>
            <w:r>
              <w:rPr>
                <w:b/>
                <w:lang w:val="ru-RU"/>
              </w:rPr>
              <w:t>ИСПОЛНИТЕЛЬ</w:t>
            </w:r>
            <w:r>
              <w:rPr>
                <w:b/>
              </w:rPr>
              <w:t>:</w:t>
            </w:r>
          </w:p>
        </w:tc>
      </w:tr>
      <w:tr>
        <w:trPr>
          <w:trHeight w:val="5792" w:hRule="atLeast"/>
        </w:trPr>
        <w:tc>
          <w:tcPr>
            <w:tcW w:w="4643" w:type="dxa"/>
            <w:tcBorders/>
            <w:shd w:color="auto" w:fill="auto" w:val="clear"/>
          </w:tcPr>
          <w:p>
            <w:pPr>
              <w:pStyle w:val="Normal"/>
              <w:widowControl w:val="false"/>
              <w:rPr>
                <w:b/>
                <w:bCs/>
                <w:lang w:val="ru-RU"/>
              </w:rPr>
            </w:pPr>
            <w:r>
              <w:rPr>
                <w:b/>
                <w:bCs/>
                <w:lang w:val="ru-RU"/>
              </w:rPr>
              <w:t>Акционерное общество</w:t>
            </w:r>
          </w:p>
          <w:p>
            <w:pPr>
              <w:pStyle w:val="Normal"/>
              <w:widowControl w:val="false"/>
              <w:rPr>
                <w:b/>
                <w:bCs/>
                <w:lang w:val="ru-RU"/>
              </w:rPr>
            </w:pPr>
            <w:r>
              <w:rPr>
                <w:b/>
                <w:bCs/>
                <w:lang w:val="ru-RU"/>
              </w:rPr>
              <w:t>«Транспортная компания РусГидро»</w:t>
            </w:r>
          </w:p>
          <w:p>
            <w:pPr>
              <w:pStyle w:val="Normal"/>
              <w:widowControl w:val="false"/>
              <w:rPr>
                <w:bCs/>
                <w:u w:val="single"/>
                <w:lang w:val="ru-RU"/>
              </w:rPr>
            </w:pPr>
            <w:r>
              <w:rPr>
                <w:b/>
                <w:bCs/>
                <w:lang w:val="ru-RU"/>
              </w:rPr>
              <w:t>(</w:t>
            </w:r>
            <w:r>
              <w:rPr>
                <w:bCs/>
                <w:lang w:val="ru-RU"/>
              </w:rPr>
              <w:t>АО «ТК РусГидро»)</w:t>
            </w:r>
          </w:p>
          <w:p>
            <w:pPr>
              <w:pStyle w:val="Normal"/>
              <w:widowControl w:val="false"/>
              <w:rPr>
                <w:lang w:val="ru-RU"/>
              </w:rPr>
            </w:pPr>
            <w:r>
              <w:rPr>
                <w:lang w:val="ru-RU"/>
              </w:rPr>
              <w:t xml:space="preserve">Юридический адрес: 655619, Республика Хакасия, г. Саяногорск, рп. Черемушки, </w:t>
            </w:r>
            <w:r>
              <w:rPr>
                <w:lang w:val="ru-RU"/>
              </w:rPr>
              <w:t>стр.</w:t>
            </w:r>
            <w:r>
              <w:rPr>
                <w:lang w:val="ru-RU"/>
              </w:rPr>
              <w:t xml:space="preserve">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 xml:space="preserve">«Газпромбанк» (Акционерное общество) </w:t>
            </w:r>
          </w:p>
          <w:p>
            <w:pPr>
              <w:pStyle w:val="Normal"/>
              <w:widowControl w:val="false"/>
              <w:rPr>
                <w:lang w:val="ru-RU"/>
              </w:rPr>
            </w:pPr>
            <w:r>
              <w:rPr>
                <w:lang w:val="ru-RU"/>
              </w:rPr>
              <w:t xml:space="preserve">ГПБ (АО) г. Москва </w:t>
            </w:r>
          </w:p>
          <w:p>
            <w:pPr>
              <w:pStyle w:val="Normal"/>
              <w:widowControl w:val="false"/>
              <w:rPr>
                <w:lang w:val="ru-RU"/>
              </w:rPr>
            </w:pPr>
            <w:r>
              <w:rPr>
                <w:lang w:val="ru-RU"/>
              </w:rPr>
              <w:t xml:space="preserve">к/с 30101 810 2 0000 0000823 </w:t>
            </w:r>
          </w:p>
          <w:p>
            <w:pPr>
              <w:pStyle w:val="Normal"/>
              <w:widowControl w:val="false"/>
              <w:rPr>
                <w:lang w:val="ru-RU"/>
              </w:rPr>
            </w:pPr>
            <w:r>
              <w:rPr>
                <w:lang w:val="ru-RU"/>
              </w:rPr>
              <w:t>БИК 044525823</w:t>
            </w:r>
          </w:p>
          <w:p>
            <w:pPr>
              <w:pStyle w:val="Normal"/>
              <w:widowControl w:val="false"/>
              <w:rPr>
                <w:bCs/>
                <w:lang w:val="ru-RU"/>
              </w:rPr>
            </w:pPr>
            <w:r>
              <w:rPr>
                <w:bCs/>
                <w:lang w:val="ru-RU"/>
              </w:rPr>
            </w:r>
          </w:p>
          <w:p>
            <w:pPr>
              <w:pStyle w:val="Normal"/>
              <w:widowControl w:val="false"/>
              <w:rPr>
                <w:b/>
                <w:bCs/>
                <w:lang w:val="ru-RU"/>
              </w:rPr>
            </w:pPr>
            <w:r>
              <w:rPr>
                <w:b/>
                <w:bCs/>
                <w:lang w:val="ru-RU"/>
              </w:rPr>
              <w:t xml:space="preserve">Камчатский филиал </w:t>
            </w:r>
          </w:p>
          <w:p>
            <w:pPr>
              <w:pStyle w:val="Normal"/>
              <w:widowControl w:val="false"/>
              <w:rPr>
                <w:b/>
                <w:bCs/>
                <w:u w:val="single"/>
                <w:lang w:val="ru-RU"/>
              </w:rPr>
            </w:pPr>
            <w:r>
              <w:rPr>
                <w:b/>
                <w:bCs/>
                <w:lang w:val="ru-RU"/>
              </w:rPr>
              <w:t>АО «ТК РусГидро»</w:t>
            </w:r>
          </w:p>
          <w:p>
            <w:pPr>
              <w:pStyle w:val="Normal"/>
              <w:widowControl w:val="false"/>
              <w:rPr/>
            </w:pPr>
            <w:r>
              <w:rPr>
                <w:lang w:val="ru-RU"/>
              </w:rPr>
              <w:t xml:space="preserve">Почтовый адрес: 683032, Камчатский край, г. Петропавловск-Камчатский, ул. </w:t>
            </w:r>
            <w:r>
              <w:rPr/>
              <w:t>Пограничная, д. 14а</w:t>
            </w:r>
          </w:p>
          <w:p>
            <w:pPr>
              <w:pStyle w:val="Normal"/>
              <w:widowControl w:val="false"/>
              <w:rPr>
                <w:lang w:val="ru-RU"/>
              </w:rPr>
            </w:pPr>
            <w:r>
              <w:rPr/>
              <w:t>ИНН: 1902018248; КПП: 410143001</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rHeight w:val="971" w:hRule="atLeast"/>
        </w:trPr>
        <w:tc>
          <w:tcPr>
            <w:tcW w:w="4643" w:type="dxa"/>
            <w:tcBorders/>
            <w:shd w:color="auto" w:fill="auto" w:val="clear"/>
          </w:tcPr>
          <w:p>
            <w:pPr>
              <w:pStyle w:val="Normal"/>
              <w:widowControl w:val="false"/>
              <w:jc w:val="left"/>
              <w:rPr>
                <w:b/>
                <w:lang w:val="ru-RU"/>
              </w:rPr>
            </w:pPr>
            <w:r>
              <w:rPr>
                <w:b/>
                <w:lang w:val="ru-RU"/>
              </w:rPr>
              <w:t>Директор Камчатского филиала</w:t>
            </w:r>
          </w:p>
          <w:p>
            <w:pPr>
              <w:pStyle w:val="Normal"/>
              <w:widowControl w:val="false"/>
              <w:jc w:val="left"/>
              <w:rPr>
                <w:b/>
                <w:lang w:val="ru-RU"/>
              </w:rPr>
            </w:pPr>
            <w:r>
              <w:rPr>
                <w:b/>
                <w:lang w:val="ru-RU"/>
              </w:rPr>
              <w:t>АО «ТК РусГидро»</w:t>
            </w:r>
          </w:p>
          <w:p>
            <w:pPr>
              <w:pStyle w:val="Normal"/>
              <w:widowControl w:val="false"/>
              <w:jc w:val="center"/>
              <w:rPr>
                <w:lang w:val="ru-RU"/>
              </w:rPr>
            </w:pPr>
            <w:r>
              <w:rPr>
                <w:lang w:val="ru-RU"/>
              </w:rPr>
            </w:r>
          </w:p>
          <w:p>
            <w:pPr>
              <w:pStyle w:val="Normal"/>
              <w:widowControl w:val="false"/>
              <w:jc w:val="left"/>
              <w:rPr>
                <w:lang w:val="ru-RU"/>
              </w:rPr>
            </w:pPr>
            <w:r>
              <w:rPr>
                <w:lang w:val="ru-RU"/>
              </w:rPr>
              <w:t>____________________ Нешев М.В.</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 / _______________ </w:t>
            </w:r>
          </w:p>
          <w:p>
            <w:pPr>
              <w:pStyle w:val="Normal"/>
              <w:widowControl w:val="false"/>
              <w:rPr>
                <w:lang w:val="ru-RU"/>
              </w:rPr>
            </w:pPr>
            <w:r>
              <w:rPr>
                <w:lang w:val="ru-RU"/>
              </w:rPr>
            </w:r>
          </w:p>
        </w:tc>
      </w:tr>
    </w:tbl>
    <w:p>
      <w:pPr>
        <w:pStyle w:val="Normal"/>
        <w:ind w:firstLine="709"/>
        <w:jc w:val="right"/>
        <w:rPr>
          <w:sz w:val="22"/>
          <w:szCs w:val="22"/>
          <w:lang w:val="ru-RU"/>
        </w:rPr>
      </w:pPr>
      <w:r>
        <w:rPr>
          <w:sz w:val="22"/>
          <w:szCs w:val="22"/>
          <w:lang w:val="ru-RU"/>
        </w:rPr>
        <w:t xml:space="preserve">Приложение № 1 </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w:t>
      </w:r>
      <w:r>
        <w:rPr>
          <w:sz w:val="22"/>
          <w:szCs w:val="22"/>
          <w:lang w:val="ru-RU"/>
        </w:rPr>
        <w:t>54</w:t>
      </w:r>
      <w:r>
        <w:rPr>
          <w:sz w:val="22"/>
          <w:szCs w:val="22"/>
          <w:lang w:val="ru-RU"/>
        </w:rPr>
        <w:t>-</w:t>
      </w:r>
      <w:r>
        <w:rPr>
          <w:sz w:val="22"/>
          <w:szCs w:val="22"/>
          <w:lang w:val="ru-RU"/>
        </w:rPr>
        <w:t>РЕМ</w:t>
      </w:r>
      <w:r>
        <w:rPr>
          <w:sz w:val="22"/>
          <w:szCs w:val="22"/>
          <w:lang w:val="ru-RU"/>
        </w:rPr>
        <w:t xml:space="preserve"> ПРОД-2027-ТК-КФ</w:t>
      </w:r>
    </w:p>
    <w:p>
      <w:pPr>
        <w:pStyle w:val="Normal"/>
        <w:rPr>
          <w:lang w:val="ru-RU"/>
        </w:rPr>
      </w:pPr>
      <w:r>
        <w:rPr>
          <w:lang w:val="ru-RU"/>
        </w:rPr>
      </w:r>
    </w:p>
    <w:p>
      <w:pPr>
        <w:pStyle w:val="Normal"/>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w:t>
      </w:r>
      <w:r>
        <w:rPr>
          <w:sz w:val="22"/>
          <w:szCs w:val="22"/>
          <w:lang w:val="ru-RU"/>
        </w:rPr>
        <w:t>54</w:t>
      </w:r>
      <w:r>
        <w:rPr>
          <w:sz w:val="22"/>
          <w:szCs w:val="22"/>
          <w:lang w:val="ru-RU"/>
        </w:rPr>
        <w:t>-</w:t>
      </w:r>
      <w:r>
        <w:rPr>
          <w:sz w:val="22"/>
          <w:szCs w:val="22"/>
          <w:lang w:val="ru-RU"/>
        </w:rPr>
        <w:t>РЕМ</w:t>
      </w:r>
      <w:r>
        <w:rPr>
          <w:sz w:val="22"/>
          <w:szCs w:val="22"/>
          <w:lang w:val="ru-RU"/>
        </w:rPr>
        <w:t xml:space="preserve"> ПРОД-2027-ТК-КФ</w:t>
      </w:r>
    </w:p>
    <w:p>
      <w:pPr>
        <w:pStyle w:val="Normal"/>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pPr>
      <w:r>
        <w:rPr>
          <w:b/>
          <w:lang w:val="ru-RU"/>
        </w:rPr>
        <w:t>График оказания Услуг</w:t>
      </w:r>
    </w:p>
    <w:p>
      <w:pPr>
        <w:pStyle w:val="Normal"/>
        <w:rPr/>
      </w:pPr>
      <w:r>
        <w:rPr/>
      </w:r>
    </w:p>
    <w:tbl>
      <w:tblPr>
        <w:tblW w:w="972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99"/>
        <w:gridCol w:w="1506"/>
        <w:gridCol w:w="1842"/>
        <w:gridCol w:w="1488"/>
        <w:gridCol w:w="1268"/>
        <w:gridCol w:w="850"/>
        <w:gridCol w:w="853"/>
        <w:gridCol w:w="1212"/>
      </w:tblGrid>
      <w:tr>
        <w:trPr>
          <w:trHeight w:val="239" w:hRule="atLeast"/>
        </w:trPr>
        <w:tc>
          <w:tcPr>
            <w:tcW w:w="69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 </w:t>
            </w:r>
            <w:r>
              <w:rPr>
                <w:sz w:val="20"/>
                <w:szCs w:val="20"/>
              </w:rPr>
              <w:t>этапа</w:t>
            </w:r>
          </w:p>
        </w:tc>
        <w:tc>
          <w:tcPr>
            <w:tcW w:w="15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Отчетные документы</w:t>
            </w:r>
          </w:p>
          <w:p>
            <w:pPr>
              <w:pStyle w:val="Normal"/>
              <w:widowControl w:val="false"/>
              <w:jc w:val="center"/>
              <w:rPr>
                <w:sz w:val="20"/>
                <w:szCs w:val="20"/>
              </w:rPr>
            </w:pPr>
            <w:r>
              <w:rPr>
                <w:sz w:val="20"/>
                <w:szCs w:val="20"/>
              </w:rPr>
            </w:r>
          </w:p>
        </w:tc>
        <w:tc>
          <w:tcPr>
            <w:tcW w:w="275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Период выполнения этапа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Цена этапа, руб. без НДС</w:t>
            </w:r>
          </w:p>
        </w:tc>
        <w:tc>
          <w:tcPr>
            <w:tcW w:w="85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Сумма НДС</w:t>
            </w:r>
          </w:p>
          <w:p>
            <w:pPr>
              <w:pStyle w:val="Normal"/>
              <w:widowControl w:val="false"/>
              <w:jc w:val="center"/>
              <w:rPr>
                <w:sz w:val="20"/>
                <w:szCs w:val="20"/>
              </w:rPr>
            </w:pPr>
            <w:r>
              <w:rPr>
                <w:sz w:val="20"/>
                <w:szCs w:val="20"/>
              </w:rPr>
              <w:t>(__ %)</w:t>
            </w:r>
            <w:r>
              <w:rPr>
                <w:sz w:val="20"/>
                <w:szCs w:val="20"/>
                <w:lang w:val="ru-RU"/>
              </w:rPr>
              <w:t>,</w:t>
            </w:r>
            <w:r>
              <w:rPr>
                <w:sz w:val="20"/>
                <w:szCs w:val="20"/>
              </w:rPr>
              <w:t xml:space="preserve"> руб.</w:t>
            </w:r>
          </w:p>
        </w:tc>
        <w:tc>
          <w:tcPr>
            <w:tcW w:w="121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Стоимость этапа, руб. с НДС</w:t>
            </w:r>
          </w:p>
        </w:tc>
      </w:tr>
      <w:tr>
        <w:trPr>
          <w:trHeight w:val="972" w:hRule="atLeast"/>
        </w:trPr>
        <w:tc>
          <w:tcPr>
            <w:tcW w:w="69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0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Начало</w:t>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Окончание</w:t>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780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2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r>
      <w:tr>
        <w:trPr>
          <w:trHeight w:val="290" w:hRule="atLeast"/>
        </w:trPr>
        <w:tc>
          <w:tcPr>
            <w:tcW w:w="850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rPr>
            </w:pPr>
            <w:r>
              <w:rPr>
                <w:b/>
              </w:rPr>
              <w:t>Всего по Договору:</w:t>
            </w:r>
          </w:p>
        </w:tc>
        <w:tc>
          <w:tcPr>
            <w:tcW w:w="12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sectPr>
          <w:headerReference w:type="default" r:id="rId6"/>
          <w:headerReference w:type="first" r:id="rId7"/>
          <w:footerReference w:type="default" r:id="rId8"/>
          <w:footnotePr>
            <w:numFmt w:val="decimal"/>
          </w:footnotePr>
          <w:type w:val="nextPage"/>
          <w:pgSz w:w="11906" w:h="16838"/>
          <w:pgMar w:left="1134" w:right="504" w:gutter="0" w:header="709" w:top="851" w:footer="709" w:bottom="1418"/>
          <w:pgNumType w:fmt="decimal"/>
          <w:formProt w:val="false"/>
          <w:textDirection w:val="lrTb"/>
          <w:docGrid w:type="default" w:linePitch="381" w:charSpace="0"/>
        </w:sectPr>
      </w:pP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w:t>
      </w:r>
      <w:r>
        <w:rPr>
          <w:sz w:val="22"/>
          <w:szCs w:val="22"/>
          <w:lang w:val="ru-RU"/>
        </w:rPr>
        <w:t>54</w:t>
      </w:r>
      <w:r>
        <w:rPr>
          <w:sz w:val="22"/>
          <w:szCs w:val="22"/>
          <w:lang w:val="ru-RU"/>
        </w:rPr>
        <w:t>-</w:t>
      </w:r>
      <w:r>
        <w:rPr>
          <w:sz w:val="22"/>
          <w:szCs w:val="22"/>
          <w:lang w:val="ru-RU"/>
        </w:rPr>
        <w:t>РЕМ</w:t>
      </w:r>
      <w:r>
        <w:rPr>
          <w:sz w:val="22"/>
          <w:szCs w:val="22"/>
          <w:lang w:val="ru-RU"/>
        </w:rPr>
        <w:t xml:space="preserve"> ПРОД-2027-ТК-КФ</w:t>
      </w:r>
    </w:p>
    <w:p>
      <w:pPr>
        <w:pStyle w:val="Normal"/>
        <w:jc w:val="right"/>
        <w:rPr>
          <w:lang w:val="ru-RU"/>
        </w:rPr>
      </w:pPr>
      <w:r>
        <w:rPr>
          <w:lang w:val="ru-RU"/>
        </w:rPr>
      </w:r>
    </w:p>
    <w:p>
      <w:pPr>
        <w:pStyle w:val="Normal"/>
        <w:rPr>
          <w:lang w:val="ru-RU"/>
        </w:rPr>
      </w:pPr>
      <w:r>
        <w:rPr>
          <w:lang w:val="ru-RU"/>
        </w:rPr>
      </w:r>
    </w:p>
    <w:p>
      <w:pPr>
        <w:pStyle w:val="Normal"/>
        <w:jc w:val="center"/>
        <w:rPr>
          <w:b/>
          <w:lang w:val="ru-RU" w:eastAsia="en-US"/>
        </w:rPr>
      </w:pPr>
      <w:r>
        <w:rPr>
          <w:b/>
          <w:lang w:val="ru-RU"/>
        </w:rPr>
        <w:t>Расчет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1014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154"/>
        <w:gridCol w:w="4990"/>
      </w:tblGrid>
      <w:tr>
        <w:trPr/>
        <w:tc>
          <w:tcPr>
            <w:tcW w:w="5154" w:type="dxa"/>
            <w:tcBorders/>
          </w:tcPr>
          <w:p>
            <w:pPr>
              <w:pStyle w:val="Normal"/>
              <w:widowControl w:val="false"/>
              <w:rPr>
                <w:b/>
              </w:rPr>
            </w:pPr>
            <w:r>
              <w:rPr>
                <w:b/>
              </w:rPr>
              <w:t>Заказчик:</w:t>
            </w:r>
          </w:p>
        </w:tc>
        <w:tc>
          <w:tcPr>
            <w:tcW w:w="4990" w:type="dxa"/>
            <w:tcBorders/>
          </w:tcPr>
          <w:p>
            <w:pPr>
              <w:pStyle w:val="Normal"/>
              <w:widowControl w:val="false"/>
              <w:rPr>
                <w:b/>
              </w:rPr>
            </w:pPr>
            <w:r>
              <w:rPr>
                <w:b/>
                <w:lang w:val="ru-RU"/>
              </w:rPr>
              <w:t>Исполнитель</w:t>
            </w:r>
            <w:r>
              <w:rPr>
                <w:b/>
              </w:rPr>
              <w:t>:</w:t>
            </w:r>
          </w:p>
        </w:tc>
      </w:tr>
      <w:tr>
        <w:trPr/>
        <w:tc>
          <w:tcPr>
            <w:tcW w:w="5154"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990"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w:t>
      </w:r>
      <w:r>
        <w:rPr>
          <w:sz w:val="22"/>
          <w:szCs w:val="22"/>
          <w:lang w:val="ru-RU"/>
        </w:rPr>
        <w:t>54</w:t>
      </w:r>
      <w:r>
        <w:rPr>
          <w:sz w:val="22"/>
          <w:szCs w:val="22"/>
          <w:lang w:val="ru-RU"/>
        </w:rPr>
        <w:t>-</w:t>
      </w:r>
      <w:r>
        <w:rPr>
          <w:sz w:val="22"/>
          <w:szCs w:val="22"/>
          <w:lang w:val="ru-RU"/>
        </w:rPr>
        <w:t>РЕМ</w:t>
      </w:r>
      <w:r>
        <w:rPr>
          <w:sz w:val="22"/>
          <w:szCs w:val="22"/>
          <w:lang w:val="ru-RU"/>
        </w:rPr>
        <w:t xml:space="preserve"> ПРОД-2027-ТК-КФ</w:t>
      </w:r>
    </w:p>
    <w:p>
      <w:pPr>
        <w:pStyle w:val="Normal"/>
        <w:rPr>
          <w:lang w:val="ru-RU"/>
        </w:rPr>
      </w:pPr>
      <w:r>
        <w:rPr>
          <w:lang w:val="ru-RU"/>
        </w:rPr>
      </w:r>
    </w:p>
    <w:p>
      <w:pPr>
        <w:pStyle w:val="Title"/>
        <w:jc w:val="both"/>
        <w:rPr>
          <w:lang w:val="ru-RU"/>
        </w:rPr>
      </w:pPr>
      <w:r>
        <w:rPr>
          <w:lang w:val="ru-RU"/>
        </w:rPr>
      </w:r>
    </w:p>
    <w:p>
      <w:pPr>
        <w:pStyle w:val="Title"/>
        <w:rPr>
          <w:b w:val="false"/>
          <w:bCs w:val="false"/>
        </w:rPr>
      </w:pPr>
      <w:r>
        <w:rPr>
          <w:iCs/>
        </w:rPr>
        <w:t>ФОРМА</w:t>
      </w:r>
    </w:p>
    <w:p>
      <w:pPr>
        <w:pStyle w:val="Title"/>
        <w:rPr>
          <w:i/>
          <w:i/>
          <w:iCs/>
        </w:rPr>
      </w:pPr>
      <w:r>
        <w:rPr>
          <w:bCs w:val="false"/>
        </w:rPr>
        <w:t xml:space="preserve">Акта сдачи-приемки технической и иной документации </w:t>
      </w:r>
    </w:p>
    <w:p>
      <w:pPr>
        <w:pStyle w:val="Normal"/>
        <w:rPr>
          <w:lang w:val="ru-RU"/>
        </w:rPr>
      </w:pPr>
      <w:r>
        <w:rPr>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lang w:val="ru-RU" w:eastAsia="ru-RU"/>
              </w:rPr>
            </w:pPr>
            <w:r>
              <w:rPr>
                <w:b w:val="false"/>
                <w:bCs w:val="false"/>
                <w:lang w:val="ru-RU" w:eastAsia="ru-RU"/>
              </w:rPr>
              <w:t xml:space="preserve">Акт </w:t>
            </w:r>
          </w:p>
          <w:p>
            <w:pPr>
              <w:pStyle w:val="Title"/>
              <w:widowControl w:val="false"/>
              <w:rPr>
                <w:i/>
                <w:i/>
                <w:iCs/>
                <w:lang w:val="ru-RU" w:eastAsia="ru-RU"/>
              </w:rPr>
            </w:pPr>
            <w:r>
              <w:rPr>
                <w:b w:val="false"/>
                <w:bCs w:val="false"/>
                <w:lang w:val="ru-RU" w:eastAsia="ru-RU"/>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lang w:val="ru-RU"/>
              </w:rPr>
            </w:pPr>
            <w:r>
              <w:rPr>
                <w:lang w:val="ru-RU"/>
              </w:rPr>
              <w:t>Заказчик передал Исполнителю, а Исполнитель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widowControl w:val="false"/>
              <w:rPr>
                <w:bCs/>
                <w:lang w:val="ru-RU"/>
              </w:rPr>
            </w:pPr>
            <w:r>
              <w:rPr>
                <w:bCs/>
                <w:lang w:val="ru-RU"/>
              </w:rPr>
              <w:t xml:space="preserve">__________________________________________________________________________ </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 xml:space="preserve">Документация передана </w:t>
            </w:r>
            <w:r>
              <w:rPr>
                <w:lang w:val="ru-RU"/>
              </w:rPr>
              <w:t>Исполнителю</w:t>
            </w:r>
            <w:r>
              <w:rPr>
                <w:bCs/>
                <w:lang w:val="ru-RU"/>
              </w:rPr>
              <w:t xml:space="preserve"> в установленный Договором срок. </w:t>
            </w:r>
          </w:p>
          <w:p>
            <w:pPr>
              <w:pStyle w:val="Normal"/>
              <w:widowControl w:val="false"/>
              <w:rPr>
                <w:lang w:val="ru-RU"/>
              </w:rPr>
            </w:pPr>
            <w:r>
              <w:rPr>
                <w:lang w:val="ru-RU"/>
              </w:rPr>
            </w:r>
          </w:p>
          <w:p>
            <w:pPr>
              <w:pStyle w:val="Normal"/>
              <w:widowControl w:val="false"/>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rPr>
                  </w:pPr>
                  <w:r>
                    <w:rPr>
                      <w:bCs/>
                    </w:rPr>
                    <w:t>Заказчик:</w:t>
                  </w:r>
                </w:p>
              </w:tc>
              <w:tc>
                <w:tcPr>
                  <w:tcW w:w="4694" w:type="dxa"/>
                  <w:tcBorders/>
                </w:tcPr>
                <w:p>
                  <w:pPr>
                    <w:pStyle w:val="Normal"/>
                    <w:widowControl w:val="false"/>
                    <w:rPr>
                      <w:bCs/>
                    </w:rPr>
                  </w:pPr>
                  <w:r>
                    <w:rPr>
                      <w:bCs/>
                      <w:lang w:val="ru-RU"/>
                    </w:rPr>
                    <w:t>Исполнитель</w:t>
                  </w:r>
                  <w:r>
                    <w:rPr>
                      <w:bCs/>
                    </w:rPr>
                    <w:t>:</w:t>
                  </w:r>
                </w:p>
              </w:tc>
            </w:tr>
            <w:tr>
              <w:trPr/>
              <w:tc>
                <w:tcPr>
                  <w:tcW w:w="4695"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694"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Title"/>
              <w:widowControl w:val="false"/>
              <w:jc w:val="left"/>
              <w:rPr>
                <w:i/>
                <w:i/>
                <w:iCs/>
                <w:lang w:val="ru-RU" w:eastAsia="ru-RU"/>
              </w:rPr>
            </w:pPr>
            <w:r>
              <w:rPr>
                <w:i/>
                <w:iCs/>
                <w:lang w:val="ru-RU" w:eastAsia="ru-RU"/>
              </w:rPr>
            </w:r>
          </w:p>
          <w:p>
            <w:pPr>
              <w:pStyle w:val="Title"/>
              <w:widowControl w:val="false"/>
              <w:spacing w:before="0" w:after="120"/>
              <w:jc w:val="left"/>
              <w:rPr>
                <w:i/>
                <w:i/>
                <w:iCs/>
                <w:lang w:val="ru-RU" w:eastAsia="ru-RU"/>
              </w:rPr>
            </w:pPr>
            <w:r>
              <w:rPr>
                <w:i/>
                <w:iCs/>
                <w:lang w:val="ru-RU" w:eastAsia="ru-RU"/>
              </w:rPr>
            </w:r>
          </w:p>
        </w:tc>
      </w:tr>
    </w:tbl>
    <w:p>
      <w:pPr>
        <w:pStyle w:val="Title"/>
        <w:jc w:val="left"/>
        <w:rPr>
          <w:i/>
          <w:i/>
          <w:iCs/>
        </w:rPr>
      </w:pPr>
      <w:r>
        <w:rPr>
          <w:i/>
          <w:iCs/>
        </w:rPr>
      </w:r>
    </w:p>
    <w:p>
      <w:pPr>
        <w:pStyle w:val="Title"/>
        <w:jc w:val="left"/>
        <w:rPr>
          <w:i/>
          <w:i/>
          <w:iCs/>
        </w:rPr>
      </w:pPr>
      <w:r>
        <w:rPr>
          <w:i/>
          <w:iCs/>
        </w:rPr>
      </w:r>
    </w:p>
    <w:p>
      <w:pPr>
        <w:pStyle w:val="Normal"/>
        <w:rPr/>
      </w:pPr>
      <w:r>
        <w:rPr/>
      </w:r>
    </w:p>
    <w:p>
      <w:pPr>
        <w:pStyle w:val="Normal"/>
        <w:rPr/>
      </w:pPr>
      <w:r>
        <w:rPr/>
      </w:r>
    </w:p>
    <w:p>
      <w:pPr>
        <w:pStyle w:val="Normal"/>
        <w:rPr/>
      </w:pPr>
      <w: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lang w:val="ru-RU"/>
        </w:rPr>
        <w:t xml:space="preserve"> </w:t>
      </w:r>
      <w:r>
        <w:rPr>
          <w:sz w:val="22"/>
          <w:szCs w:val="22"/>
          <w:lang w:val="ru-RU"/>
        </w:rPr>
        <w:t>Приложение № 5</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w:t>
      </w:r>
      <w:r>
        <w:rPr>
          <w:sz w:val="22"/>
          <w:szCs w:val="22"/>
          <w:lang w:val="ru-RU"/>
        </w:rPr>
        <w:t>54</w:t>
      </w:r>
      <w:r>
        <w:rPr>
          <w:sz w:val="22"/>
          <w:szCs w:val="22"/>
          <w:lang w:val="ru-RU"/>
        </w:rPr>
        <w:t>-</w:t>
      </w:r>
      <w:r>
        <w:rPr>
          <w:sz w:val="22"/>
          <w:szCs w:val="22"/>
          <w:lang w:val="ru-RU"/>
        </w:rPr>
        <w:t>РЕМ</w:t>
      </w:r>
      <w:r>
        <w:rPr>
          <w:sz w:val="22"/>
          <w:szCs w:val="22"/>
          <w:lang w:val="ru-RU"/>
        </w:rPr>
        <w:t xml:space="preserve"> ПРОД-2027-ТК-КФ</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 xml:space="preserve">об оказании </w:t>
      </w:r>
      <w:r>
        <w:rPr>
          <w:iCs/>
        </w:rPr>
        <w:t>Услуг</w:t>
      </w:r>
    </w:p>
    <w:p>
      <w:pPr>
        <w:pStyle w:val="Title"/>
        <w:rPr>
          <w:iCs/>
        </w:rPr>
      </w:pPr>
      <w:r>
        <w:rPr>
          <w:iCs/>
        </w:rPr>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8"/>
      </w:tblGrid>
      <w:tr>
        <w:trPr/>
        <w:tc>
          <w:tcPr>
            <w:tcW w:w="9628"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lang w:val="ru-RU"/>
              </w:rPr>
              <w:t xml:space="preserve"> ______________</w:t>
            </w:r>
            <w:r>
              <w:rPr>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t>Отчет об оказанных Услугах,</w:t>
            </w:r>
            <w:r>
              <w:rPr>
                <w:u w:val="single"/>
                <w:lang w:val="ru-RU"/>
              </w:rPr>
              <w:t xml:space="preserve"> </w:t>
            </w:r>
            <w:r>
              <w:rPr>
                <w:lang w:val="ru-RU"/>
              </w:rPr>
              <w:t>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6</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№2018-ТО ПРОД-2027-ТК-КФ</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widowControl/>
        <w:suppressAutoHyphens w:val="true"/>
        <w:bidi w:val="0"/>
        <w:spacing w:before="0" w:after="0"/>
        <w:ind w:left="0" w:right="0" w:hanging="0"/>
        <w:jc w:val="left"/>
        <w:rPr>
          <w:lang w:val="ru-RU"/>
        </w:rPr>
      </w:pPr>
      <w:r>
        <w:rPr>
          <w:lang w:val="ru-RU"/>
        </w:rPr>
      </w:r>
    </w:p>
    <w:p>
      <w:pPr>
        <w:pStyle w:val="Normal"/>
        <w:widowControl/>
        <w:suppressAutoHyphens w:val="true"/>
        <w:bidi w:val="0"/>
        <w:spacing w:before="0" w:after="0"/>
        <w:ind w:left="0" w:right="0" w:hanging="0"/>
        <w:jc w:val="left"/>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lang w:val="ru-RU"/>
        </w:rPr>
      </w:pPr>
      <w:r>
        <w:rPr>
          <w:lang w:val="ru-RU"/>
        </w:rPr>
      </w: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lang w:val="ru-RU"/>
        </w:rPr>
      </w:pPr>
      <w:r>
        <w:rPr>
          <w:sz w:val="22"/>
          <w:szCs w:val="22"/>
          <w:lang w:val="ru-RU"/>
        </w:rPr>
        <w:t>от «____» ________ 20 _ г. №20</w:t>
      </w:r>
      <w:r>
        <w:rPr>
          <w:sz w:val="22"/>
          <w:szCs w:val="22"/>
          <w:lang w:val="ru-RU"/>
        </w:rPr>
        <w:t>54</w:t>
      </w:r>
      <w:r>
        <w:rPr>
          <w:sz w:val="22"/>
          <w:szCs w:val="22"/>
          <w:lang w:val="ru-RU"/>
        </w:rPr>
        <w:t>-</w:t>
      </w:r>
      <w:r>
        <w:rPr>
          <w:sz w:val="22"/>
          <w:szCs w:val="22"/>
          <w:lang w:val="ru-RU"/>
        </w:rPr>
        <w:t>РЕМ</w:t>
      </w:r>
      <w:r>
        <w:rPr>
          <w:sz w:val="22"/>
          <w:szCs w:val="22"/>
          <w:lang w:val="ru-RU"/>
        </w:rPr>
        <w:t xml:space="preserve"> ПРОД-2027-ТК-КФ</w:t>
      </w:r>
      <w:bookmarkStart w:id="20" w:name="_GoBack"/>
      <w:bookmarkEnd w:id="20"/>
    </w:p>
    <w:p>
      <w:pPr>
        <w:pStyle w:val="Normal"/>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9"/>
      </w:r>
      <w:r>
        <w:rPr>
          <w:lang w:val="ru-RU"/>
        </w:rPr>
        <w:t>, а также соответствовать следующим критериям:</w:t>
      </w:r>
    </w:p>
    <w:p>
      <w:pPr>
        <w:pStyle w:val="Normal"/>
        <w:numPr>
          <w:ilvl w:val="1"/>
          <w:numId w:val="26"/>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6"/>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6"/>
        </w:numPr>
        <w:tabs>
          <w:tab w:val="clear" w:pos="709"/>
          <w:tab w:val="left" w:pos="1134" w:leader="none"/>
        </w:tabs>
        <w:ind w:left="0" w:firstLine="710"/>
        <w:jc w:val="both"/>
        <w:rPr>
          <w:lang w:val="ru-RU"/>
        </w:rPr>
      </w:pPr>
      <w:r>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t>www</w:t>
      </w:r>
      <w:r>
        <w:rPr>
          <w:lang w:val="ru-RU"/>
        </w:rPr>
        <w:t>.</w:t>
      </w:r>
      <w:r>
        <w:rPr/>
        <w:t>cbr</w:t>
      </w:r>
      <w:r>
        <w:rPr>
          <w:lang w:val="ru-RU"/>
        </w:rPr>
        <w:t>.</w:t>
      </w:r>
      <w:r>
        <w:rPr/>
        <w:t>ru</w:t>
      </w:r>
      <w:r>
        <w:rPr>
          <w:lang w:val="ru-RU"/>
        </w:rPr>
        <w:t xml:space="preserve">) по строке 000 «Расчет собственных средств (капитала) («Базель </w:t>
      </w:r>
      <w:r>
        <w:rPr/>
        <w:t>III</w:t>
      </w:r>
      <w:r>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t>III</w:t>
      </w:r>
      <w:r>
        <w:rPr>
          <w:lang w:val="ru-RU"/>
        </w:rPr>
        <w:t>»)» (далее – Методика ЦБ РФ) или иным документом, его заменяющим (в случае изменения или отмены указанного Положения).</w:t>
      </w:r>
    </w:p>
    <w:p>
      <w:pPr>
        <w:pStyle w:val="Normal"/>
        <w:numPr>
          <w:ilvl w:val="1"/>
          <w:numId w:val="26"/>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10"/>
      </w:r>
      <w:r>
        <w:rPr>
          <w:lang w:val="ru-RU"/>
        </w:rPr>
        <w:t xml:space="preserve">. </w:t>
      </w:r>
    </w:p>
    <w:p>
      <w:pPr>
        <w:pStyle w:val="Normal"/>
        <w:numPr>
          <w:ilvl w:val="1"/>
          <w:numId w:val="26"/>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11"/>
      </w:r>
      <w:r>
        <w:rPr>
          <w:lang w:val="ru-RU"/>
        </w:rPr>
        <w:t>.</w:t>
      </w:r>
    </w:p>
    <w:p>
      <w:pPr>
        <w:pStyle w:val="Normal"/>
        <w:numPr>
          <w:ilvl w:val="1"/>
          <w:numId w:val="26"/>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26"/>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26"/>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2"/>
      </w:r>
      <w:r>
        <w:rPr>
          <w:lang w:val="ru-RU"/>
        </w:rPr>
        <w:t>.</w:t>
      </w:r>
    </w:p>
    <w:p>
      <w:pPr>
        <w:pStyle w:val="Normal"/>
        <w:numPr>
          <w:ilvl w:val="1"/>
          <w:numId w:val="26"/>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7"/>
        </w:numPr>
        <w:tabs>
          <w:tab w:val="clear" w:pos="709"/>
          <w:tab w:val="left" w:pos="1134" w:leader="none"/>
        </w:tabs>
        <w:ind w:left="0" w:firstLine="709"/>
        <w:jc w:val="both"/>
        <w:rPr/>
      </w:pPr>
      <w:r>
        <w:rPr>
          <w:lang w:val="ru-RU"/>
        </w:rPr>
        <w:t xml:space="preserve"> </w:t>
      </w:r>
      <w:r>
        <w:rPr/>
        <w:t>ВЭБ.РФ.</w:t>
      </w:r>
    </w:p>
    <w:p>
      <w:pPr>
        <w:pStyle w:val="Normal"/>
        <w:numPr>
          <w:ilvl w:val="1"/>
          <w:numId w:val="26"/>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tbl>
      <w:tblPr>
        <w:tblW w:w="1009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17"/>
        <w:gridCol w:w="279"/>
        <w:gridCol w:w="4219"/>
        <w:gridCol w:w="4776"/>
      </w:tblGrid>
      <w:tr>
        <w:trPr>
          <w:trHeight w:val="426" w:hRule="atLeast"/>
        </w:trPr>
        <w:tc>
          <w:tcPr>
            <w:tcW w:w="817" w:type="dxa"/>
            <w:tcBorders/>
            <w:shd w:color="auto" w:fill="auto" w:val="clear"/>
          </w:tcPr>
          <w:p>
            <w:pPr>
              <w:pStyle w:val="Normal"/>
              <w:widowControl w:val="false"/>
              <w:ind w:right="-108" w:hanging="0"/>
              <w:jc w:val="both"/>
              <w:rPr>
                <w:color w:val="000000"/>
              </w:rPr>
            </w:pPr>
            <w:r>
              <w:rPr>
                <w:b/>
                <w:i/>
                <w:color w:val="000000"/>
              </w:rPr>
              <w:t>Lim</w:t>
            </w:r>
            <w:r>
              <w:rPr>
                <w:b/>
                <w:i/>
                <w:color w:val="000000"/>
                <w:vertAlign w:val="subscript"/>
                <w:lang w:val="en-US"/>
              </w:rPr>
              <w:t xml:space="preserve">Ai </w:t>
            </w:r>
          </w:p>
        </w:tc>
        <w:tc>
          <w:tcPr>
            <w:tcW w:w="279" w:type="dxa"/>
            <w:tcBorders/>
            <w:shd w:color="auto" w:fill="auto" w:val="clear"/>
          </w:tcPr>
          <w:p>
            <w:pPr>
              <w:pStyle w:val="Normal"/>
              <w:widowControl w:val="false"/>
              <w:ind w:left="317" w:right="-108" w:hanging="317"/>
              <w:jc w:val="both"/>
              <w:rPr>
                <w:color w:val="000000"/>
              </w:rPr>
            </w:pPr>
            <w:r>
              <w:rPr/>
              <w:t xml:space="preserve">-  </w:t>
            </w:r>
          </w:p>
        </w:tc>
        <w:tc>
          <w:tcPr>
            <w:tcW w:w="8995" w:type="dxa"/>
            <w:gridSpan w:val="2"/>
            <w:tcBorders/>
            <w:shd w:color="auto" w:fill="auto" w:val="clear"/>
          </w:tcPr>
          <w:p>
            <w:pPr>
              <w:pStyle w:val="Normal"/>
              <w:widowControl w:val="false"/>
              <w:ind w:left="-75" w:right="-108" w:hanging="0"/>
              <w:jc w:val="both"/>
              <w:rPr>
                <w:color w:val="000000"/>
                <w:lang w:val="ru-RU"/>
              </w:rPr>
            </w:pPr>
            <w:r>
              <w:rPr>
                <w:lang w:val="ru-RU"/>
              </w:rPr>
              <w:t xml:space="preserve">Лимит риска для </w:t>
            </w:r>
            <w:r>
              <w:rPr/>
              <w:t>i</w:t>
            </w:r>
            <w:r>
              <w:rPr>
                <w:lang w:val="ru-RU"/>
              </w:rPr>
              <w:t>-ой кредитной организации</w:t>
            </w:r>
            <w:r>
              <w:rPr>
                <w:rStyle w:val="FootnoteReference"/>
                <w:vertAlign w:val="superscript"/>
              </w:rPr>
              <w:footnoteReference w:id="13"/>
            </w:r>
            <w:r>
              <w:rPr>
                <w:vertAlign w:val="superscript"/>
                <w:lang w:val="ru-RU"/>
              </w:rPr>
              <w:t>.</w:t>
            </w:r>
            <w:r>
              <w:rPr>
                <w:lang w:val="ru-RU"/>
              </w:rPr>
              <w:t xml:space="preserve"> </w:t>
            </w:r>
          </w:p>
        </w:tc>
      </w:tr>
      <w:tr>
        <w:trPr>
          <w:trHeight w:val="280" w:hRule="atLeast"/>
        </w:trPr>
        <w:tc>
          <w:tcPr>
            <w:tcW w:w="817" w:type="dxa"/>
            <w:tcBorders/>
            <w:shd w:color="auto" w:fill="auto" w:val="clear"/>
          </w:tcPr>
          <w:p>
            <w:pPr>
              <w:pStyle w:val="Normal"/>
              <w:widowControl w:val="false"/>
              <w:ind w:right="-108" w:hanging="0"/>
              <w:jc w:val="both"/>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hanging="0"/>
              <w:jc w:val="both"/>
              <w:rPr>
                <w:color w:val="000000"/>
              </w:rPr>
            </w:pPr>
            <w:r>
              <w:rPr>
                <w:color w:val="000000"/>
              </w:rPr>
            </w:r>
          </w:p>
        </w:tc>
        <w:tc>
          <w:tcPr>
            <w:tcW w:w="279" w:type="dxa"/>
            <w:tcBorders/>
            <w:shd w:color="auto" w:fill="auto" w:val="clear"/>
          </w:tcPr>
          <w:p>
            <w:pPr>
              <w:pStyle w:val="Normal"/>
              <w:widowControl w:val="false"/>
              <w:ind w:right="-108" w:hanging="0"/>
              <w:jc w:val="both"/>
              <w:rPr>
                <w:color w:val="000000"/>
              </w:rPr>
            </w:pPr>
            <w:r>
              <w:rPr/>
              <w:t>-</w:t>
            </w:r>
            <w:r>
              <w:rPr>
                <w:color w:val="000000"/>
              </w:rPr>
              <w:t xml:space="preserve">  </w:t>
            </w:r>
          </w:p>
        </w:tc>
        <w:tc>
          <w:tcPr>
            <w:tcW w:w="8995" w:type="dxa"/>
            <w:gridSpan w:val="2"/>
            <w:tcBorders/>
            <w:shd w:color="auto" w:fill="auto" w:val="clear"/>
          </w:tcPr>
          <w:p>
            <w:pPr>
              <w:pStyle w:val="Normal"/>
              <w:widowControl w:val="false"/>
              <w:ind w:left="-75" w:right="-108" w:hanging="0"/>
              <w:jc w:val="both"/>
              <w:rPr>
                <w:color w:val="000000"/>
                <w:lang w:val="ru-RU"/>
              </w:rPr>
            </w:pPr>
            <w:r>
              <w:rPr>
                <w:lang w:val="ru-RU"/>
              </w:rPr>
              <w:t xml:space="preserve">размер собственных средств (капитала) </w:t>
            </w:r>
            <w:r>
              <w:rPr/>
              <w:t>i</w:t>
            </w:r>
            <w:r>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9">
              <w:r>
                <w:rPr>
                  <w:u w:val="single"/>
                </w:rPr>
                <w:t>www</w:t>
              </w:r>
              <w:r>
                <w:rPr>
                  <w:u w:val="single"/>
                  <w:lang w:val="ru-RU"/>
                </w:rPr>
                <w:t>.</w:t>
              </w:r>
              <w:r>
                <w:rPr>
                  <w:u w:val="single"/>
                </w:rPr>
                <w:t>cbr</w:t>
              </w:r>
              <w:r>
                <w:rPr>
                  <w:u w:val="single"/>
                  <w:lang w:val="ru-RU"/>
                </w:rPr>
                <w:t>.</w:t>
              </w:r>
              <w:r>
                <w:rPr>
                  <w:u w:val="single"/>
                </w:rPr>
                <w:t>ru</w:t>
              </w:r>
            </w:hyperlink>
            <w:r>
              <w:rPr>
                <w:lang w:val="ru-RU"/>
              </w:rPr>
              <w:t>) по строке 000 «Расчет собственных средств (капитала) («Базель</w:t>
            </w:r>
            <w:r>
              <w:rPr/>
              <w:t> III</w:t>
            </w:r>
            <w:r>
              <w:rPr>
                <w:lang w:val="ru-RU"/>
              </w:rPr>
              <w:t>»)», код формы 0409123;</w:t>
            </w:r>
          </w:p>
        </w:tc>
      </w:tr>
      <w:tr>
        <w:trPr>
          <w:trHeight w:val="993" w:hRule="atLeast"/>
        </w:trPr>
        <w:tc>
          <w:tcPr>
            <w:tcW w:w="817" w:type="dxa"/>
            <w:tcBorders/>
          </w:tcPr>
          <w:p>
            <w:pPr>
              <w:pStyle w:val="Normal"/>
              <w:widowControl w:val="false"/>
              <w:ind w:right="-108" w:hanging="0"/>
              <w:jc w:val="both"/>
              <w:rPr>
                <w:b/>
                <w:i/>
                <w:i/>
                <w:color w:val="000000"/>
              </w:rPr>
            </w:pPr>
            <w:r>
              <w:rPr>
                <w:b/>
                <w:i/>
                <w:color w:val="000000"/>
              </w:rPr>
              <w:t>r</w:t>
            </w:r>
            <w:r>
              <w:rPr>
                <w:b/>
                <w:i/>
                <w:color w:val="000000"/>
                <w:vertAlign w:val="subscript"/>
              </w:rPr>
              <w:t>i</w:t>
            </w:r>
          </w:p>
        </w:tc>
        <w:tc>
          <w:tcPr>
            <w:tcW w:w="279" w:type="dxa"/>
            <w:tcBorders/>
          </w:tcPr>
          <w:p>
            <w:pPr>
              <w:pStyle w:val="Normal"/>
              <w:widowControl w:val="false"/>
              <w:ind w:right="-108" w:hanging="0"/>
              <w:jc w:val="both"/>
              <w:rPr/>
            </w:pPr>
            <w:r>
              <w:rPr/>
              <w:t>-</w:t>
            </w:r>
          </w:p>
        </w:tc>
        <w:tc>
          <w:tcPr>
            <w:tcW w:w="8995" w:type="dxa"/>
            <w:gridSpan w:val="2"/>
            <w:tcBorders/>
          </w:tcPr>
          <w:p>
            <w:pPr>
              <w:pStyle w:val="Normal"/>
              <w:widowControl w:val="false"/>
              <w:tabs>
                <w:tab w:val="clear" w:pos="709"/>
                <w:tab w:val="left" w:pos="7130" w:leader="none"/>
              </w:tabs>
              <w:ind w:right="-108" w:hanging="0"/>
              <w:jc w:val="both"/>
              <w:rPr>
                <w:lang w:val="ru-RU"/>
              </w:rPr>
            </w:pPr>
            <w:r>
              <w:rPr>
                <w:lang w:val="ru-RU"/>
              </w:rPr>
              <w:t>рейтинговый коэффициент</w:t>
            </w:r>
            <w:r>
              <w:rPr>
                <w:rStyle w:val="FootnoteReference"/>
              </w:rPr>
              <w:footnoteReference w:id="14"/>
            </w:r>
            <w:r>
              <w:rPr>
                <w:lang w:val="ru-RU"/>
              </w:rPr>
              <w:t xml:space="preserve"> для </w:t>
            </w:r>
            <w:r>
              <w:rPr/>
              <w:t>i</w:t>
            </w:r>
            <w:r>
              <w:rPr>
                <w:lang w:val="ru-RU"/>
              </w:rPr>
              <w:t>-ой кредитной организации, равный:</w:t>
            </w:r>
          </w:p>
          <w:p>
            <w:pPr>
              <w:pStyle w:val="Normal"/>
              <w:widowControl w:val="false"/>
              <w:ind w:firstLine="492"/>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 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ind w:left="67" w:firstLine="425"/>
              <w:jc w:val="both"/>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ind w:firstLine="492"/>
              <w:jc w:val="both"/>
              <w:rPr>
                <w:lang w:val="ru-RU"/>
              </w:rPr>
            </w:pPr>
            <w:r>
              <w:rPr>
                <w:b/>
                <w:lang w:val="ru-RU"/>
              </w:rPr>
              <w:t>0,015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r>
        <w:trPr/>
        <w:tc>
          <w:tcPr>
            <w:tcW w:w="5315" w:type="dxa"/>
            <w:gridSpan w:val="3"/>
            <w:tcBorders/>
          </w:tcPr>
          <w:p>
            <w:pPr>
              <w:pStyle w:val="Normal"/>
              <w:widowControl w:val="false"/>
              <w:rPr>
                <w:b/>
              </w:rPr>
            </w:pPr>
            <w:r>
              <w:rPr>
                <w:b/>
              </w:rPr>
              <w:t>Заказчик:</w:t>
            </w:r>
          </w:p>
        </w:tc>
        <w:tc>
          <w:tcPr>
            <w:tcW w:w="4776" w:type="dxa"/>
            <w:tcBorders/>
          </w:tcPr>
          <w:p>
            <w:pPr>
              <w:pStyle w:val="Normal"/>
              <w:widowControl w:val="false"/>
              <w:rPr>
                <w:b/>
              </w:rPr>
            </w:pPr>
            <w:r>
              <w:rPr>
                <w:b/>
                <w:lang w:val="ru-RU"/>
              </w:rPr>
              <w:t>Исполнитель</w:t>
            </w:r>
            <w:r>
              <w:rPr>
                <w:b/>
              </w:rPr>
              <w:t>:</w:t>
            </w:r>
          </w:p>
        </w:tc>
      </w:tr>
      <w:tr>
        <w:trPr/>
        <w:tc>
          <w:tcPr>
            <w:tcW w:w="5315" w:type="dxa"/>
            <w:gridSpan w:val="3"/>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76"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134" w:right="449" w:gutter="0" w:header="567" w:top="851" w:footer="453" w:bottom="116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28</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4">
    <w:p>
      <w:pPr>
        <w:pStyle w:val="FootnoteText"/>
        <w:jc w:val="both"/>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5">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7">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8">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9">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10">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11">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12">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13">
    <w:p>
      <w:pPr>
        <w:pStyle w:val="FootnoteText"/>
        <w:jc w:val="both"/>
        <w:rPr>
          <w:lang w:val="ru-RU"/>
        </w:rPr>
      </w:pPr>
      <w:r>
        <w:rPr>
          <w:rStyle w:val="Style6"/>
        </w:rPr>
        <w:footnoteRef/>
      </w:r>
      <w:r>
        <w:rPr>
          <w:lang w:val="ru-RU"/>
        </w:rPr>
        <w:t xml:space="preserve"> </w:t>
      </w:r>
      <w:r>
        <w:rPr>
          <w:lang w:val="ru-RU"/>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val="ru-RU"/>
        </w:rPr>
        <w:t>440 млн. руб., лимит к установлению - 5</w:t>
      </w:r>
      <w:r>
        <w:rPr/>
        <w:t> </w:t>
      </w:r>
      <w:r>
        <w:rPr>
          <w:lang w:val="ru-RU"/>
        </w:rPr>
        <w:t>400 млн. руб.; расчетное значение лимита - 5</w:t>
      </w:r>
      <w:r>
        <w:rPr/>
        <w:t> </w:t>
      </w:r>
      <w:r>
        <w:rPr>
          <w:lang w:val="ru-RU"/>
        </w:rPr>
        <w:t>450 млн. руб., лимит к установлению - 5</w:t>
      </w:r>
      <w:r>
        <w:rPr/>
        <w:t> </w:t>
      </w:r>
      <w:r>
        <w:rPr>
          <w:lang w:val="ru-RU"/>
        </w:rPr>
        <w:t>500 млн. руб.</w:t>
      </w:r>
    </w:p>
  </w:footnote>
  <w:footnote w:id="14">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5.1.3.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b w:val="false"/>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7">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yperlink" Target="http://www.cbr.ru/"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69A11-D66C-40F1-9EA5-EE1380AE46E0}">
  <ds:schemaRefs>
    <ds:schemaRef ds:uri="http://schemas.openxmlformats.org/officeDocument/2006/bibliography"/>
  </ds:schemaRefs>
</ds:datastoreItem>
</file>

<file path=customXml/itemProps2.xml><?xml version="1.0" encoding="utf-8"?>
<ds:datastoreItem xmlns:ds="http://schemas.openxmlformats.org/officeDocument/2006/customXml" ds:itemID="{00AC24EE-8CD7-49B6-9FDA-D5C9E673A09C}">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E89D926-8FD4-478C-96A0-B289F46B55DE}">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C99DDDBF-9311-47C6-8DFB-BE6E8F69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Application>AlterOffice/3.4.0.9$Linux_X86_64 LibreOffice_project/b8daf9e823b1a5463a2f48435ddc2e8696e7d4fc</Application>
  <AppVersion>15.0000</AppVersion>
  <Pages>28</Pages>
  <Words>10546</Words>
  <Characters>74978</Characters>
  <CharactersWithSpaces>85116</CharactersWithSpaces>
  <Paragraphs>523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2025-10-16T23:07:00Z</dcterms:created>
  <dc:creator>UK VoHEC</dc:creator>
  <dc:description/>
  <dc:language>ru-RU</dc:language>
  <cp:lastModifiedBy>fedorovsa@corp.gidroogk.com</cp:lastModifiedBy>
  <cp:lastPrinted>2025-10-16T23:31:00Z</cp:lastPrinted>
  <dcterms:modified xsi:type="dcterms:W3CDTF">2026-08-20T11:25:08Z</dcterms:modified>
  <cp:revision>14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