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2056-ТО ПРОД-202</w:t>
      </w:r>
      <w:r>
        <w:rPr>
          <w:b/>
          <w:lang w:val="ru-RU"/>
        </w:rPr>
        <w:t>7</w:t>
      </w:r>
      <w:r>
        <w:rPr>
          <w:b/>
          <w:lang w:val="ru-RU"/>
        </w:rPr>
        <w:t>-ТК-КФ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bookmarkStart w:id="0" w:name="OLE_LINK2"/>
      <w:bookmarkStart w:id="1" w:name="OLE_LINK1"/>
      <w:r>
        <w:rPr>
          <w:lang w:val="ru-RU"/>
        </w:rPr>
        <w:t>г. Петропавловск-Камчатский</w:t>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suppressAutoHyphens w:val="true"/>
        <w:ind w:firstLine="708"/>
        <w:jc w:val="both"/>
        <w:rPr>
          <w:lang w:val="ru-RU"/>
        </w:rPr>
      </w:pPr>
      <w:r>
        <w:rPr>
          <w:b/>
          <w:lang w:val="ru-RU"/>
        </w:rPr>
        <w:t>Акционерное общество «Транспортная компания РусГидро» (АО «ТК РусГидро»)</w:t>
      </w:r>
      <w:r>
        <w:rPr>
          <w:lang w:val="ru-RU"/>
        </w:rPr>
        <w:t xml:space="preserve"> (далее – «Заказчик»), в лице Директора Камчатского филиала АО «ТК РусГидро», Нешева Михаила Вячеславовича, действующего на основании доверенности №811 от 12.11.2025 года, с одной стороны, и </w:t>
      </w:r>
    </w:p>
    <w:p>
      <w:pPr>
        <w:pStyle w:val="Normal"/>
        <w:suppressAutoHyphens w:val="true"/>
        <w:ind w:firstLine="708"/>
        <w:jc w:val="both"/>
        <w:rPr>
          <w:lang w:val="ru-RU"/>
        </w:rPr>
      </w:pPr>
      <w:r>
        <w:rPr>
          <w:lang w:val="ru-RU"/>
        </w:rPr>
        <w:t xml:space="preserve">________________________ (далее – «Исполнитель»), в лице ___________________, действующего на основании ______________, с другой стороны, </w:t>
      </w:r>
    </w:p>
    <w:p>
      <w:pPr>
        <w:pStyle w:val="Normal"/>
        <w:suppressAutoHyphens w:val="true"/>
        <w:ind w:firstLine="708"/>
        <w:jc w:val="both"/>
        <w:rPr>
          <w:bCs/>
          <w:lang w:val="ru-RU"/>
        </w:rPr>
      </w:pPr>
      <w:r>
        <w:rPr>
          <w:lang w:val="ru-RU"/>
        </w:rPr>
        <w:t>совместно в дальнейшем именуемые «Стороны», а по отдельности – «Сторона», по</w:t>
      </w:r>
      <w:r>
        <w:rPr>
          <w:lang w:val="en-US"/>
        </w:rPr>
        <w:t> </w:t>
      </w:r>
      <w:r>
        <w:rPr>
          <w:lang w:val="ru-RU"/>
        </w:rPr>
        <w:t>результатам проведенной Заказчиком конкурентной процедуры по лоту №2056-ТО ПРОД-202</w:t>
      </w:r>
      <w:r>
        <w:rPr>
          <w:lang w:val="ru-RU"/>
        </w:rPr>
        <w:t>7</w:t>
      </w:r>
      <w:r>
        <w:rPr>
          <w:lang w:val="ru-RU"/>
        </w:rPr>
        <w:t>-ТК-КФ</w:t>
      </w:r>
      <w:r>
        <w:rPr>
          <w:bCs/>
          <w:lang w:val="ru-RU"/>
        </w:rPr>
        <w:t>,</w:t>
      </w:r>
      <w:r>
        <w:rPr>
          <w:lang w:val="ru-RU"/>
        </w:rPr>
        <w:t xml:space="preserve"> и</w:t>
      </w:r>
      <w:r>
        <w:rPr>
          <w:lang w:val="en-US"/>
        </w:rPr>
        <w:t> </w:t>
      </w:r>
      <w:r>
        <w:rPr>
          <w:bCs/>
          <w:lang w:val="ru-RU"/>
        </w:rPr>
        <w:t>на</w:t>
      </w:r>
      <w:r>
        <w:rPr>
          <w:bCs/>
          <w:lang w:val="en-US"/>
        </w:rPr>
        <w:t> </w:t>
      </w:r>
      <w:r>
        <w:rPr>
          <w:bCs/>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9"/>
          <w:tab w:val="left" w:pos="284" w:leader="none"/>
        </w:tabs>
        <w:ind w:left="0" w:hanging="0"/>
        <w:jc w:val="center"/>
        <w:rPr/>
      </w:pPr>
      <w:r>
        <w:rPr>
          <w:b/>
        </w:rPr>
        <w:t>Предмет Договора</w:t>
      </w:r>
    </w:p>
    <w:p>
      <w:pPr>
        <w:pStyle w:val="ListParagraph"/>
        <w:numPr>
          <w:ilvl w:val="1"/>
          <w:numId w:val="3"/>
        </w:numPr>
        <w:shd w:val="clear" w:color="auto" w:fill="FFFFFF"/>
        <w:ind w:left="0" w:firstLine="568"/>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мульчер Prinoth RAPTOR 300 для нужд Камчатского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 xml:space="preserve">Объем и состав (содержание) Услуг по Договору определяются </w:t>
      </w:r>
      <w:r>
        <w:rPr/>
        <w:t xml:space="preserve">Заданием на оказание Услуг </w:t>
      </w:r>
      <w:r>
        <w:rPr>
          <w:bCs/>
        </w:rPr>
        <w:t>(Приложение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bookmarkStart w:id="2" w:name="_GoBack"/>
      <w:bookmarkEnd w:id="2"/>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s>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shd w:val="clear" w:color="auto" w:fill="FFFFFF"/>
        <w:tabs>
          <w:tab w:val="clear" w:pos="709"/>
          <w:tab w:val="left" w:pos="1134" w:leader="none"/>
        </w:tabs>
        <w:jc w:val="both"/>
        <w:rPr>
          <w:bCs/>
          <w:lang w:val="ru-RU"/>
        </w:rPr>
      </w:pPr>
      <w:r>
        <w:rPr>
          <w:lang w:val="ru-RU"/>
        </w:rPr>
        <w:t>Место оказания Услуг: г. Петропавловск-Камчатский.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 xml:space="preserve">Начало оказания Услуг: </w:t>
      </w:r>
      <w:r>
        <w:rPr>
          <w:bCs/>
          <w:highlight w:val="lightGray"/>
          <w:lang w:val="ru-RU"/>
        </w:rPr>
        <w:t>С даты заключения договора</w:t>
      </w:r>
      <w:r>
        <w:rPr>
          <w:bCs/>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 xml:space="preserve">Окончание оказания Услуг: </w:t>
      </w:r>
      <w:r>
        <w:rPr>
          <w:bCs/>
          <w:highlight w:val="lightGray"/>
          <w:lang w:val="ru-RU"/>
        </w:rPr>
        <w:t>«31» декабря 202</w:t>
      </w:r>
      <w:r>
        <w:rPr>
          <w:bCs/>
          <w:highlight w:val="lightGray"/>
          <w:lang w:val="ru-RU"/>
        </w:rPr>
        <w:t>7</w:t>
      </w:r>
      <w:r>
        <w:rPr>
          <w:bCs/>
          <w:lang w:val="ru-RU"/>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tabs>
          <w:tab w:val="clear" w:pos="709"/>
          <w:tab w:val="left" w:pos="1418" w:leader="none"/>
        </w:tabs>
        <w:ind w:left="0" w:firstLine="709"/>
        <w:rPr>
          <w:lang w:val="ru-RU"/>
        </w:rPr>
      </w:pPr>
      <w:r>
        <w:rPr>
          <w:lang w:val="ru-RU"/>
        </w:rPr>
        <w:t>Выполнять иные обязанности, предусмотренные Договором.</w:t>
      </w:r>
    </w:p>
    <w:p>
      <w:pPr>
        <w:pStyle w:val="Normal"/>
        <w:tabs>
          <w:tab w:val="clear" w:pos="709"/>
          <w:tab w:val="left" w:pos="1418" w:leader="none"/>
        </w:tabs>
        <w:rPr>
          <w:lang w:val="ru-RU"/>
        </w:rPr>
      </w:pPr>
      <w:r>
        <w:rPr>
          <w:lang w:val="ru-RU"/>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3"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13"/>
        </w:numPr>
        <w:shd w:val="clear" w:color="auto" w:fill="FFFFFF"/>
        <w:tabs>
          <w:tab w:val="clear" w:pos="709"/>
          <w:tab w:val="left" w:pos="1418" w:leader="none"/>
        </w:tabs>
        <w:ind w:left="0" w:firstLine="709"/>
        <w:jc w:val="both"/>
        <w:rPr/>
      </w:pPr>
      <w:bookmarkStart w:id="5" w:name="_Ref361319348"/>
      <w:bookmarkEnd w:id="4"/>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jc w:val="both"/>
        <w:rPr>
          <w:highlight w:val="lightGray"/>
          <w:lang w:val="ru-RU"/>
        </w:rPr>
      </w:pPr>
      <w:r>
        <w:rPr>
          <w:highlight w:val="lightGray"/>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20"/>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20"/>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20"/>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20"/>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20"/>
        </w:numPr>
        <w:ind w:left="0" w:firstLine="710"/>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20"/>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20"/>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20"/>
        </w:numPr>
        <w:shd w:val="clear" w:color="auto" w:fill="FFFFFF"/>
        <w:tabs>
          <w:tab w:val="clear" w:pos="709"/>
          <w:tab w:val="left" w:pos="1701" w:leader="none"/>
        </w:tabs>
        <w:ind w:left="0" w:firstLine="709"/>
        <w:jc w:val="both"/>
        <w:rPr/>
      </w:pPr>
      <w:r>
        <w:rPr/>
        <w:t>отклонения от требований действующих норм и правил,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20"/>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0"/>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6 Договора.</w:t>
      </w:r>
    </w:p>
    <w:p>
      <w:pPr>
        <w:pStyle w:val="ListParagraph"/>
        <w:numPr>
          <w:ilvl w:val="2"/>
          <w:numId w:val="20"/>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20"/>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w:t>
      </w:r>
    </w:p>
    <w:p>
      <w:pPr>
        <w:pStyle w:val="ListParagraph"/>
        <w:numPr>
          <w:ilvl w:val="2"/>
          <w:numId w:val="20"/>
        </w:numPr>
        <w:shd w:val="clear" w:color="auto" w:fill="FFFFFF"/>
        <w:tabs>
          <w:tab w:val="clear" w:pos="709"/>
          <w:tab w:val="left" w:pos="1418" w:leader="none"/>
        </w:tabs>
        <w:ind w:left="0" w:firstLine="710"/>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9"/>
          <w:tab w:val="left" w:pos="1418" w:leader="none"/>
        </w:tabs>
        <w:ind w:left="0" w:firstLine="709"/>
        <w:jc w:val="both"/>
        <w:rPr/>
      </w:pPr>
      <w:r>
        <w:rPr/>
        <w:t xml:space="preserve">Выполнять иные обязанности, предусмотренные Договором и законодательством Российской Федерации. </w:t>
      </w:r>
    </w:p>
    <w:p>
      <w:pPr>
        <w:pStyle w:val="ListParagraph"/>
        <w:shd w:val="clear" w:color="auto" w:fill="FFFFFF"/>
        <w:tabs>
          <w:tab w:val="clear" w:pos="709"/>
          <w:tab w:val="left" w:pos="1418" w:leader="none"/>
        </w:tabs>
        <w:ind w:left="0" w:hanging="0"/>
        <w:jc w:val="both"/>
        <w:rPr/>
      </w:pPr>
      <w:r>
        <w:rPr/>
      </w:r>
    </w:p>
    <w:p>
      <w:pPr>
        <w:pStyle w:val="ListParagraph"/>
        <w:numPr>
          <w:ilvl w:val="1"/>
          <w:numId w:val="20"/>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20"/>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0"/>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25  (двадцать пять)</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7"/>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7"/>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7"/>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6"/>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shd w:val="clear" w:color="auto" w:fill="FFFFFF"/>
        <w:tabs>
          <w:tab w:val="clear" w:pos="709"/>
          <w:tab w:val="left" w:pos="1134" w:leader="none"/>
        </w:tabs>
        <w:ind w:left="0" w:hanging="0"/>
        <w:jc w:val="both"/>
        <w:rPr/>
      </w:pPr>
      <w:r>
        <w:rPr/>
      </w:r>
    </w:p>
    <w:p>
      <w:pPr>
        <w:pStyle w:val="ListParagraph"/>
        <w:numPr>
          <w:ilvl w:val="0"/>
          <w:numId w:val="14"/>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2 (двух)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21"/>
        </w:numPr>
        <w:ind w:left="0" w:firstLine="709"/>
        <w:jc w:val="both"/>
        <w:rPr/>
      </w:pPr>
      <w:r>
        <w:rPr/>
        <w:t>подтверждает Исполнителю согласие с Расчетом стоимости;</w:t>
      </w:r>
    </w:p>
    <w:p>
      <w:pPr>
        <w:pStyle w:val="ListParagraph"/>
        <w:numPr>
          <w:ilvl w:val="0"/>
          <w:numId w:val="21"/>
        </w:numPr>
        <w:ind w:left="0" w:firstLine="709"/>
        <w:jc w:val="both"/>
        <w:rPr/>
      </w:pPr>
      <w:r>
        <w:rPr/>
        <w:t>направляет Исполнителю свои возражения (замечания) к Расчету стоимости;</w:t>
      </w:r>
    </w:p>
    <w:p>
      <w:pPr>
        <w:pStyle w:val="ListParagraph"/>
        <w:numPr>
          <w:ilvl w:val="0"/>
          <w:numId w:val="21"/>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17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rFonts w:ascii="Arial" w:hAnsi="Arial" w:cs="Arial"/>
          <w:sz w:val="20"/>
          <w:szCs w:val="20"/>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2"/>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2"/>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w:t>
      </w:r>
      <w:r>
        <w:rPr>
          <w:highlight w:val="lightGray"/>
        </w:rPr>
        <w:t>.</w:t>
      </w:r>
      <w:r>
        <w:rPr/>
        <w:t xml:space="preserve"> </w:t>
      </w:r>
    </w:p>
    <w:p>
      <w:pPr>
        <w:pStyle w:val="ListParagraph"/>
        <w:numPr>
          <w:ilvl w:val="1"/>
          <w:numId w:val="22"/>
        </w:numPr>
        <w:shd w:val="clear" w:color="auto" w:fill="FFFFFF"/>
        <w:tabs>
          <w:tab w:val="clear" w:pos="709"/>
          <w:tab w:val="left" w:pos="1134" w:leader="none"/>
        </w:tabs>
        <w:ind w:left="0" w:firstLine="709"/>
        <w:jc w:val="both"/>
        <w:rPr/>
      </w:pPr>
      <w:bookmarkStart w:id="8"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8"/>
      <w:r>
        <w:rPr/>
        <w:t xml:space="preserve"> </w:t>
      </w:r>
    </w:p>
    <w:p>
      <w:pPr>
        <w:pStyle w:val="ListParagraph"/>
        <w:numPr>
          <w:ilvl w:val="1"/>
          <w:numId w:val="22"/>
        </w:numPr>
        <w:shd w:val="clear" w:color="auto" w:fill="FFFFFF"/>
        <w:tabs>
          <w:tab w:val="clear" w:pos="709"/>
          <w:tab w:val="left" w:pos="1134" w:leader="none"/>
        </w:tabs>
        <w:ind w:left="0" w:firstLine="709"/>
        <w:jc w:val="both"/>
        <w:rPr/>
      </w:pPr>
      <w:bookmarkStart w:id="9"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0" w:name="_Ref361337525"/>
      <w:bookmarkEnd w:id="9"/>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2"/>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2"/>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0"/>
    </w:p>
    <w:p>
      <w:pPr>
        <w:pStyle w:val="ListParagraph"/>
        <w:shd w:val="clear" w:color="auto" w:fill="FFFFFF"/>
        <w:tabs>
          <w:tab w:val="clear" w:pos="709"/>
          <w:tab w:val="left" w:pos="1134" w:leader="none"/>
        </w:tabs>
        <w:ind w:left="709"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ListParagraph"/>
        <w:widowControl w:val="false"/>
        <w:numPr>
          <w:ilvl w:val="1"/>
          <w:numId w:val="23"/>
        </w:numPr>
        <w:tabs>
          <w:tab w:val="clear" w:pos="709"/>
          <w:tab w:val="left" w:pos="1134" w:leader="none"/>
        </w:tabs>
        <w:ind w:left="0" w:firstLine="709"/>
        <w:jc w:val="both"/>
        <w:rPr/>
      </w:pPr>
      <w:r>
        <w:rP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widowControl w:val="false"/>
        <w:numPr>
          <w:ilvl w:val="1"/>
          <w:numId w:val="23"/>
        </w:numPr>
        <w:tabs>
          <w:tab w:val="clear" w:pos="709"/>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23"/>
        </w:numPr>
        <w:shd w:val="clear" w:color="auto" w:fill="FFFFFF"/>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3"/>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3"/>
        </w:numPr>
        <w:shd w:val="clear" w:color="auto" w:fill="FFFFFF"/>
        <w:tabs>
          <w:tab w:val="clear" w:pos="709"/>
          <w:tab w:val="left" w:pos="1418" w:leader="none"/>
        </w:tabs>
        <w:ind w:left="0" w:firstLine="709"/>
        <w:jc w:val="both"/>
        <w:rPr>
          <w:highlight w:val="lightGray"/>
        </w:rPr>
      </w:pPr>
      <w:r>
        <w:rPr>
          <w:highlight w:val="lightGray"/>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3"/>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3"/>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2"/>
          <w:numId w:val="23"/>
        </w:numPr>
        <w:shd w:val="clear" w:color="auto" w:fill="FFFFFF"/>
        <w:tabs>
          <w:tab w:val="clear" w:pos="709"/>
          <w:tab w:val="left" w:pos="1418"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течение </w:t>
      </w:r>
      <w:r>
        <w:rPr>
          <w:highlight w:val="lightGray"/>
        </w:rPr>
        <w:t>20 (двадцати) календарных дней</w:t>
      </w:r>
      <w:r>
        <w:rPr>
          <w:rStyle w:val="FootnoteReference"/>
          <w:highlight w:val="lightGray"/>
        </w:rPr>
        <w:footnoteReference w:id="4"/>
      </w:r>
      <w:r>
        <w:rPr>
          <w:highlight w:val="lightGray"/>
        </w:rPr>
        <w:t xml:space="preserve"> / 7 (семи) рабочих дней</w:t>
      </w:r>
      <w:r>
        <w:rPr>
          <w:rStyle w:val="FootnoteReference"/>
          <w:highlight w:val="lightGray"/>
        </w:rPr>
        <w:footnoteReference w:id="5"/>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4.4.4 Договора.</w:t>
      </w:r>
    </w:p>
    <w:p>
      <w:pPr>
        <w:pStyle w:val="ListParagraph"/>
        <w:numPr>
          <w:ilvl w:val="2"/>
          <w:numId w:val="17"/>
        </w:numPr>
        <w:shd w:val="clear" w:color="auto" w:fill="FFFFFF"/>
        <w:tabs>
          <w:tab w:val="left" w:pos="709" w:leader="none"/>
        </w:tabs>
        <w:ind w:left="0" w:firstLine="709"/>
        <w:jc w:val="both"/>
        <w:rPr/>
      </w:pPr>
      <w:r>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7"/>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4.4.1 Договора, в установленный срок и при этом не приступил к исполнению обязательств по Договору.</w:t>
      </w:r>
    </w:p>
    <w:p>
      <w:pPr>
        <w:pStyle w:val="ListParagraph"/>
        <w:numPr>
          <w:ilvl w:val="1"/>
          <w:numId w:val="18"/>
        </w:numPr>
        <w:shd w:val="clear" w:color="auto" w:fill="FFFFFF"/>
        <w:tabs>
          <w:tab w:val="clear" w:pos="709"/>
          <w:tab w:val="left" w:pos="1134" w:leader="none"/>
        </w:tabs>
        <w:ind w:left="0" w:firstLine="709"/>
        <w:jc w:val="both"/>
        <w:rPr/>
      </w:pPr>
      <w:r>
        <w:rP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pPr>
      <w:bookmarkStart w:id="11" w:name="_Ref361337635"/>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bookmarkEnd w:id="11"/>
    </w:p>
    <w:p>
      <w:pPr>
        <w:pStyle w:val="ListParagraph"/>
        <w:numPr>
          <w:ilvl w:val="1"/>
          <w:numId w:val="18"/>
        </w:numPr>
        <w:shd w:val="clear" w:color="auto" w:fill="FFFFFF"/>
        <w:tabs>
          <w:tab w:val="clear" w:pos="709"/>
          <w:tab w:val="left" w:pos="1418" w:leader="none"/>
        </w:tabs>
        <w:ind w:left="0" w:firstLine="709"/>
        <w:jc w:val="both"/>
        <w:rPr/>
      </w:pPr>
      <w:r>
        <w:rPr/>
        <w:t>Индексация Цены Договора не допускается.</w:t>
      </w:r>
    </w:p>
    <w:p>
      <w:pPr>
        <w:pStyle w:val="ListParagraph"/>
        <w:numPr>
          <w:ilvl w:val="1"/>
          <w:numId w:val="18"/>
        </w:numPr>
        <w:shd w:val="clear" w:color="auto" w:fill="FFFFFF"/>
        <w:tabs>
          <w:tab w:val="clear" w:pos="709"/>
          <w:tab w:val="left" w:pos="1418"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418" w:leader="none"/>
        </w:tabs>
        <w:ind w:left="0" w:hanging="0"/>
        <w:jc w:val="both"/>
        <w:rPr/>
      </w:pPr>
      <w:r>
        <w:rPr/>
      </w:r>
    </w:p>
    <w:p>
      <w:pPr>
        <w:pStyle w:val="ListParagraph"/>
        <w:numPr>
          <w:ilvl w:val="0"/>
          <w:numId w:val="15"/>
        </w:numPr>
        <w:shd w:val="clear" w:color="auto" w:fill="FFFFFF"/>
        <w:tabs>
          <w:tab w:val="clear" w:pos="709"/>
          <w:tab w:val="left" w:pos="284" w:leader="none"/>
        </w:tabs>
        <w:ind w:left="0" w:hanging="540"/>
        <w:jc w:val="center"/>
        <w:rPr>
          <w:b/>
        </w:rPr>
      </w:pPr>
      <w:r>
        <w:rPr>
          <w:b/>
        </w:rPr>
        <w:t>Банковская гарантия</w:t>
      </w:r>
    </w:p>
    <w:p>
      <w:pPr>
        <w:pStyle w:val="ListParagraph"/>
        <w:numPr>
          <w:ilvl w:val="1"/>
          <w:numId w:val="24"/>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4"/>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4"/>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1"/>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1"/>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1"/>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1"/>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1"/>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1"/>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1"/>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1"/>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Банка-Гаранта об исполнении.</w:t>
      </w:r>
    </w:p>
    <w:p>
      <w:pPr>
        <w:pStyle w:val="ListParagraph"/>
        <w:numPr>
          <w:ilvl w:val="2"/>
          <w:numId w:val="24"/>
        </w:numPr>
        <w:shd w:val="clear" w:color="auto" w:fill="FFFFFF"/>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4"/>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оказания Услуг, установленной Договором;</w:t>
      </w:r>
    </w:p>
    <w:p>
      <w:pPr>
        <w:pStyle w:val="ListParagraph"/>
        <w:numPr>
          <w:ilvl w:val="2"/>
          <w:numId w:val="24"/>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4"/>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5 к Договору.</w:t>
      </w:r>
    </w:p>
    <w:p>
      <w:pPr>
        <w:pStyle w:val="ListParagraph"/>
        <w:numPr>
          <w:ilvl w:val="1"/>
          <w:numId w:val="24"/>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4"/>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2"/>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6"/>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4"/>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Положения пункта 4.4.1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4"/>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284" w:leader="none"/>
        </w:tabs>
        <w:jc w:val="center"/>
        <w:rPr>
          <w:b/>
          <w:lang w:val="ru-RU"/>
        </w:rPr>
      </w:pPr>
      <w:r>
        <w:rPr>
          <w:b/>
          <w:lang w:val="ru-RU"/>
        </w:rPr>
      </w:r>
    </w:p>
    <w:p>
      <w:pPr>
        <w:pStyle w:val="ListParagraph"/>
        <w:numPr>
          <w:ilvl w:val="0"/>
          <w:numId w:val="24"/>
        </w:numPr>
        <w:shd w:val="clear" w:color="auto" w:fill="FFFFFF"/>
        <w:tabs>
          <w:tab w:val="clear" w:pos="709"/>
          <w:tab w:val="left" w:pos="284" w:leader="none"/>
        </w:tabs>
        <w:ind w:left="0" w:hanging="360"/>
        <w:jc w:val="center"/>
        <w:rPr>
          <w:b/>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6.1.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5"/>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5"/>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5"/>
        </w:numPr>
        <w:shd w:val="clear" w:color="auto" w:fill="FFFFFF" w:themeFill="background1"/>
        <w:tabs>
          <w:tab w:val="left" w:pos="0" w:leader="none"/>
          <w:tab w:val="left" w:pos="709"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5"/>
        </w:numPr>
        <w:tabs>
          <w:tab w:val="clear" w:pos="709"/>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5"/>
        </w:numPr>
        <w:shd w:val="clear" w:color="auto" w:fill="FFFFFF"/>
        <w:tabs>
          <w:tab w:val="clear" w:pos="709"/>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5"/>
        </w:numPr>
        <w:shd w:val="clear" w:color="auto" w:fill="FFFFFF"/>
        <w:tabs>
          <w:tab w:val="clear" w:pos="709"/>
          <w:tab w:val="left" w:pos="1276"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5"/>
        </w:numPr>
        <w:shd w:val="clear" w:color="auto" w:fill="FFFFFF"/>
        <w:tabs>
          <w:tab w:val="clear" w:pos="709"/>
          <w:tab w:val="left" w:pos="1276"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5"/>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5"/>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5"/>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5"/>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5"/>
        </w:numPr>
        <w:shd w:val="clear" w:color="auto" w:fill="FFFFFF"/>
        <w:tabs>
          <w:tab w:val="clear" w:pos="709"/>
          <w:tab w:val="left" w:pos="284" w:leader="none"/>
        </w:tabs>
        <w:ind w:left="0" w:hanging="360"/>
        <w:jc w:val="center"/>
        <w:rPr>
          <w:b/>
        </w:rPr>
      </w:pPr>
      <w:r>
        <w:rPr>
          <w:b/>
        </w:rPr>
        <w:t>Исключительные права и патенты</w:t>
      </w:r>
    </w:p>
    <w:p>
      <w:pPr>
        <w:pStyle w:val="Normal"/>
        <w:shd w:val="clear" w:color="auto" w:fill="FFFFFF"/>
        <w:tabs>
          <w:tab w:val="clear" w:pos="709"/>
          <w:tab w:val="left" w:pos="1134" w:leader="none"/>
        </w:tabs>
        <w:ind w:firstLine="709"/>
        <w:jc w:val="both"/>
        <w:rPr>
          <w:bCs/>
          <w:lang w:val="ru-RU"/>
        </w:rPr>
      </w:pPr>
      <w:r>
        <w:rPr>
          <w:lang w:val="ru-RU"/>
        </w:rPr>
        <w:t xml:space="preserve">7.1. </w:t>
      </w:r>
      <w:r>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360"/>
        <w:jc w:val="center"/>
        <w:rPr>
          <w:b/>
          <w:bCs/>
        </w:rPr>
      </w:pPr>
      <w:r>
        <w:rPr>
          <w:b/>
          <w:bCs/>
        </w:rPr>
        <w:t>Конфиденциальность</w:t>
      </w:r>
    </w:p>
    <w:p>
      <w:pPr>
        <w:pStyle w:val="ListParagraph"/>
        <w:shd w:val="clear" w:color="auto" w:fill="FFFFFF"/>
        <w:tabs>
          <w:tab w:val="clear" w:pos="709"/>
          <w:tab w:val="left" w:pos="1134" w:leader="none"/>
        </w:tabs>
        <w:ind w:left="0" w:firstLine="709"/>
        <w:jc w:val="both"/>
        <w:rPr>
          <w:bCs/>
        </w:rPr>
      </w:pPr>
      <w:r>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276" w:leader="none"/>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276" w:leader="none"/>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shd w:val="clear" w:color="auto" w:fill="FFFFFF"/>
        <w:tabs>
          <w:tab w:val="clear" w:pos="709"/>
          <w:tab w:val="left" w:pos="1134" w:leader="none"/>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9"/>
          <w:tab w:val="left" w:pos="1134" w:leader="none"/>
        </w:tabs>
        <w:ind w:left="0" w:firstLine="709"/>
        <w:jc w:val="both"/>
        <w:rPr>
          <w:bCs/>
        </w:rPr>
      </w:pPr>
      <w:r>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9"/>
          <w:tab w:val="left" w:pos="1134" w:leader="none"/>
        </w:tabs>
        <w:ind w:left="0" w:firstLine="709"/>
        <w:jc w:val="both"/>
        <w:rPr>
          <w:bCs/>
        </w:rPr>
      </w:pPr>
      <w:r>
        <w:rPr>
          <w:bCs/>
        </w:rPr>
        <w:t>8.4.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9"/>
          <w:tab w:val="left" w:pos="1134" w:leader="none"/>
        </w:tabs>
        <w:ind w:left="0" w:firstLine="709"/>
        <w:jc w:val="both"/>
        <w:rPr>
          <w:bCs/>
        </w:rPr>
      </w:pPr>
      <w:r>
        <w:rPr>
          <w:bCs/>
        </w:rPr>
        <w:t>8.5. Информация может включать в себя, в том числе, но не ограничиваясь:</w:t>
      </w:r>
    </w:p>
    <w:p>
      <w:pPr>
        <w:pStyle w:val="Normal"/>
        <w:numPr>
          <w:ilvl w:val="0"/>
          <w:numId w:val="4"/>
        </w:numPr>
        <w:tabs>
          <w:tab w:val="clear" w:pos="709"/>
          <w:tab w:val="left" w:pos="1276"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276"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276" w:leader="none"/>
        </w:tabs>
        <w:ind w:left="0" w:firstLine="709"/>
        <w:jc w:val="both"/>
        <w:rPr>
          <w:bCs/>
        </w:rPr>
      </w:pPr>
      <w:r>
        <w:rPr>
          <w:bCs/>
        </w:rPr>
        <w:t>бизнес-планы;</w:t>
      </w:r>
    </w:p>
    <w:p>
      <w:pPr>
        <w:pStyle w:val="Normal"/>
        <w:numPr>
          <w:ilvl w:val="0"/>
          <w:numId w:val="4"/>
        </w:numPr>
        <w:tabs>
          <w:tab w:val="clear" w:pos="709"/>
          <w:tab w:val="left" w:pos="1276"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276"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276"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276"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276"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276"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9"/>
          <w:tab w:val="left" w:pos="1276" w:leader="none"/>
        </w:tabs>
        <w:ind w:left="0" w:firstLine="709"/>
        <w:jc w:val="both"/>
        <w:rPr>
          <w:bCs/>
        </w:rPr>
      </w:pPr>
      <w:bookmarkStart w:id="12"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2"/>
      <w:r>
        <w:rPr>
          <w:bCs/>
        </w:rPr>
        <w:t xml:space="preserve"> </w:t>
      </w:r>
    </w:p>
    <w:p>
      <w:pPr>
        <w:pStyle w:val="ListParagraph"/>
        <w:shd w:val="clear" w:color="auto" w:fill="FFFFFF"/>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bCs/>
        </w:rPr>
      </w:pPr>
      <w:bookmarkStart w:id="13"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3"/>
    </w:p>
    <w:p>
      <w:pPr>
        <w:pStyle w:val="ListParagraph"/>
        <w:shd w:val="clear" w:color="auto" w:fill="FFFFFF"/>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shd w:val="clear" w:color="auto" w:fill="FFFFFF"/>
        <w:tabs>
          <w:tab w:val="clear" w:pos="709"/>
          <w:tab w:val="left" w:pos="1134" w:leader="none"/>
        </w:tabs>
        <w:ind w:left="0" w:firstLine="709"/>
        <w:jc w:val="both"/>
        <w:rPr>
          <w:bCs/>
        </w:rPr>
      </w:pPr>
      <w:bookmarkStart w:id="14"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firstLine="709"/>
        <w:jc w:val="both"/>
        <w:rPr>
          <w:bCs/>
        </w:rPr>
      </w:pPr>
      <w:r>
        <w:rPr>
          <w:bCs/>
        </w:rPr>
        <w:t>8.8.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shd w:val="clear" w:color="auto" w:fill="FFFFFF"/>
        <w:tabs>
          <w:tab w:val="clear" w:pos="709"/>
          <w:tab w:val="left" w:pos="1134" w:leader="none"/>
        </w:tabs>
        <w:ind w:left="0" w:firstLine="709"/>
        <w:jc w:val="both"/>
        <w:rPr>
          <w:bCs/>
        </w:rPr>
      </w:pPr>
      <w:r>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Cs/>
        </w:rPr>
      </w:pPr>
      <w:r>
        <w:rPr>
          <w:b/>
          <w:bCs/>
        </w:rPr>
        <w:t>Разрешение споров</w:t>
      </w:r>
    </w:p>
    <w:p>
      <w:pPr>
        <w:pStyle w:val="ListParagraph"/>
        <w:shd w:val="clear" w:color="auto" w:fill="FFFFFF"/>
        <w:tabs>
          <w:tab w:val="clear" w:pos="709"/>
          <w:tab w:val="left" w:pos="1134" w:leader="none"/>
          <w:tab w:val="left" w:pos="1418" w:leader="none"/>
        </w:tabs>
        <w:ind w:left="0" w:firstLine="709"/>
        <w:jc w:val="both"/>
        <w:rPr>
          <w:bCs/>
        </w:rPr>
      </w:pPr>
      <w:r>
        <w:rPr>
          <w:bCs/>
        </w:rPr>
        <w:t>9.1.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shd w:val="clear" w:color="auto" w:fill="FFFFFF"/>
        <w:tabs>
          <w:tab w:val="clear" w:pos="709"/>
          <w:tab w:val="left" w:pos="1134" w:leader="none"/>
          <w:tab w:val="left" w:pos="1418" w:leader="none"/>
        </w:tabs>
        <w:ind w:left="0" w:firstLine="709"/>
        <w:jc w:val="both"/>
        <w:rPr>
          <w:bCs/>
        </w:rPr>
      </w:pPr>
      <w:r>
        <w:rPr>
          <w:bCs/>
        </w:rPr>
        <w:t>9.2. 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shd w:val="clear" w:color="auto" w:fill="FFFFFF"/>
        <w:tabs>
          <w:tab w:val="clear" w:pos="709"/>
          <w:tab w:val="left" w:pos="1134" w:leader="none"/>
          <w:tab w:val="left" w:pos="1418" w:leader="none"/>
        </w:tabs>
        <w:ind w:left="0" w:firstLine="709"/>
        <w:jc w:val="both"/>
        <w:rPr>
          <w:bCs/>
        </w:rPr>
      </w:pPr>
      <w:r>
        <w:rPr>
          <w:bCs/>
        </w:rPr>
        <w:t xml:space="preserve">9.3.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shd w:val="clear" w:color="auto" w:fill="FFFFFF"/>
        <w:tabs>
          <w:tab w:val="clear" w:pos="709"/>
          <w:tab w:val="left" w:pos="1134" w:leader="none"/>
          <w:tab w:val="left" w:pos="1418" w:leader="none"/>
        </w:tabs>
        <w:ind w:left="0" w:firstLine="709"/>
        <w:jc w:val="both"/>
        <w:rPr>
          <w:bCs/>
        </w:rPr>
      </w:pPr>
      <w:r>
        <w:rPr>
          <w:bCs/>
        </w:rPr>
        <w:t>9.4.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9"/>
          <w:tab w:val="left" w:pos="1134" w:leader="none"/>
          <w:tab w:val="left" w:pos="1418" w:leader="none"/>
        </w:tabs>
        <w:ind w:left="0" w:firstLine="709"/>
        <w:jc w:val="both"/>
        <w:rPr>
          <w:bCs/>
        </w:rPr>
      </w:pPr>
      <w:r>
        <w:rPr>
          <w:bCs/>
        </w:rPr>
        <w:t>9.5. 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Антикоррупционная оговорка</w:t>
      </w:r>
    </w:p>
    <w:p>
      <w:pPr>
        <w:pStyle w:val="Normal"/>
        <w:widowControl w:val="false"/>
        <w:shd w:val="clear" w:color="auto" w:fill="FFFFFF"/>
        <w:tabs>
          <w:tab w:val="clear" w:pos="709"/>
          <w:tab w:val="left" w:pos="1134" w:leader="none"/>
        </w:tabs>
        <w:ind w:firstLine="709"/>
        <w:jc w:val="both"/>
        <w:rPr>
          <w:bCs/>
          <w:color w:val="000000"/>
          <w:lang w:val="ru-RU"/>
        </w:rPr>
      </w:pPr>
      <w:r>
        <w:rPr>
          <w:lang w:val="ru-RU"/>
        </w:rPr>
        <w:t xml:space="preserve">10.1. </w:t>
      </w:r>
      <w:r>
        <w:rPr>
          <w:color w:val="000000"/>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1134" w:leader="none"/>
        </w:tabs>
        <w:ind w:left="0" w:firstLine="709"/>
        <w:jc w:val="both"/>
        <w:rPr>
          <w:b/>
          <w:bCs/>
        </w:rPr>
      </w:pPr>
      <w:r>
        <w:rPr>
          <w:b/>
          <w:bCs/>
        </w:rPr>
      </w:r>
    </w:p>
    <w:p>
      <w:pPr>
        <w:pStyle w:val="ListParagraph"/>
        <w:numPr>
          <w:ilvl w:val="0"/>
          <w:numId w:val="1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shd w:val="clear" w:color="auto" w:fill="FFFFFF"/>
        <w:tabs>
          <w:tab w:val="left" w:pos="709" w:leader="none"/>
        </w:tabs>
        <w:ind w:left="0" w:firstLine="709"/>
        <w:jc w:val="both"/>
        <w:rPr>
          <w:bCs/>
        </w:rPr>
      </w:pPr>
      <w:r>
        <w:rPr>
          <w:bCs/>
        </w:rPr>
        <w:t>11.1.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left" w:pos="709" w:leader="none"/>
        </w:tabs>
        <w:ind w:left="0" w:firstLine="709"/>
        <w:jc w:val="both"/>
        <w:rPr>
          <w:bCs/>
        </w:rPr>
      </w:pPr>
      <w:r>
        <w:rPr>
          <w:bCs/>
        </w:rPr>
        <w:t>11.2.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left" w:pos="709" w:leader="none"/>
        </w:tabs>
        <w:ind w:left="0" w:firstLine="709"/>
        <w:jc w:val="both"/>
        <w:rPr>
          <w:bCs/>
        </w:rPr>
      </w:pPr>
      <w:r>
        <w:rPr>
          <w:bCs/>
        </w:rPr>
        <w:t>11.3.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Annotationtext"/>
        <w:ind w:firstLine="709"/>
        <w:jc w:val="both"/>
        <w:rPr>
          <w:sz w:val="24"/>
          <w:szCs w:val="24"/>
          <w:lang w:val="ru-RU"/>
        </w:rPr>
      </w:pPr>
      <w:r>
        <w:rPr>
          <w:bCs/>
          <w:sz w:val="24"/>
          <w:szCs w:val="24"/>
          <w:lang w:val="ru-RU"/>
        </w:rPr>
        <w:t xml:space="preserve">11.4. </w:t>
      </w:r>
      <w:r>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left" w:pos="709" w:leader="none"/>
        </w:tabs>
        <w:ind w:left="0" w:firstLine="709"/>
        <w:jc w:val="both"/>
        <w:rPr>
          <w:bCs/>
        </w:rPr>
      </w:pPr>
      <w:r>
        <w:rPr>
          <w:bCs/>
        </w:rPr>
        <w:t xml:space="preserve">11.5.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left" w:pos="709" w:leader="none"/>
        </w:tabs>
        <w:ind w:left="0" w:firstLine="709"/>
        <w:jc w:val="both"/>
        <w:rPr>
          <w:bCs/>
        </w:rPr>
      </w:pPr>
      <w:r>
        <w:rPr>
          <w:bCs/>
        </w:rPr>
        <w:t>11.6.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Особые положения</w:t>
      </w:r>
    </w:p>
    <w:p>
      <w:pPr>
        <w:pStyle w:val="ListParagraph"/>
        <w:shd w:val="clear" w:color="auto" w:fill="FFFFFF"/>
        <w:tabs>
          <w:tab w:val="clear" w:pos="709"/>
          <w:tab w:val="left" w:pos="1134" w:leader="none"/>
        </w:tabs>
        <w:ind w:left="0" w:firstLine="709"/>
        <w:jc w:val="both"/>
        <w:rPr>
          <w:bCs/>
        </w:rPr>
      </w:pPr>
      <w:r>
        <w:rPr>
          <w:bCs/>
        </w:rPr>
        <w:t>12.1.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shd w:val="clear" w:color="auto" w:fill="FFFFFF"/>
        <w:tabs>
          <w:tab w:val="clear" w:pos="709"/>
          <w:tab w:val="left" w:pos="1134" w:leader="none"/>
        </w:tabs>
        <w:ind w:left="0" w:firstLine="709"/>
        <w:jc w:val="both"/>
        <w:rPr>
          <w:bCs/>
        </w:rPr>
      </w:pPr>
      <w:r>
        <w:rPr>
          <w:bCs/>
        </w:rPr>
        <w:t>12.2.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shd w:val="clear" w:color="auto" w:fill="FFFFFF"/>
        <w:tabs>
          <w:tab w:val="clear" w:pos="709"/>
          <w:tab w:val="left" w:pos="1134" w:leader="none"/>
        </w:tabs>
        <w:ind w:left="0" w:firstLine="709"/>
        <w:jc w:val="both"/>
        <w:rPr>
          <w:bCs/>
        </w:rPr>
      </w:pPr>
      <w:r>
        <w:rPr>
          <w:bCs/>
        </w:rPr>
        <w:t>12.3. 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shd w:val="clear" w:color="auto" w:fill="FFFFFF"/>
        <w:tabs>
          <w:tab w:val="clear" w:pos="709"/>
          <w:tab w:val="left" w:pos="1134" w:leader="none"/>
        </w:tabs>
        <w:ind w:left="0" w:firstLine="709"/>
        <w:jc w:val="both"/>
        <w:rPr>
          <w:bCs/>
        </w:rPr>
      </w:pPr>
      <w:r>
        <w:rPr>
          <w:bCs/>
        </w:rPr>
        <w:t>12.4.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shd w:val="clear" w:color="auto" w:fill="FFFFFF"/>
        <w:tabs>
          <w:tab w:val="clear" w:pos="709"/>
          <w:tab w:val="left" w:pos="1134" w:leader="none"/>
        </w:tabs>
        <w:ind w:left="0" w:firstLine="709"/>
        <w:jc w:val="both"/>
        <w:rPr>
          <w:bCs/>
        </w:rPr>
      </w:pPr>
      <w:bookmarkStart w:id="15" w:name="_Ref373243071"/>
      <w:r>
        <w:rPr>
          <w:bCs/>
        </w:rPr>
        <w:t>12.5. 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5"/>
    </w:p>
    <w:p>
      <w:pPr>
        <w:pStyle w:val="ListParagraph"/>
        <w:shd w:val="clear" w:color="auto" w:fill="FFFFFF"/>
        <w:tabs>
          <w:tab w:val="clear" w:pos="709"/>
          <w:tab w:val="left" w:pos="1134" w:leader="none"/>
        </w:tabs>
        <w:ind w:left="0" w:firstLine="709"/>
        <w:jc w:val="both"/>
        <w:rPr>
          <w:bCs/>
        </w:rPr>
      </w:pPr>
      <w:r>
        <w:rPr>
          <w:bCs/>
        </w:rPr>
        <w:t>12.6.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shd w:val="clear" w:color="auto" w:fill="FFFFFF"/>
        <w:tabs>
          <w:tab w:val="clear" w:pos="709"/>
          <w:tab w:val="left" w:pos="1134" w:leader="none"/>
        </w:tabs>
        <w:ind w:left="0" w:firstLine="709"/>
        <w:jc w:val="both"/>
        <w:rPr>
          <w:bCs/>
        </w:rPr>
      </w:pPr>
      <w:r>
        <w:rPr>
          <w:bCs/>
        </w:rPr>
        <w:t>12.7. 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shd w:val="clear" w:color="auto" w:fill="FFFFFF"/>
        <w:tabs>
          <w:tab w:val="clear" w:pos="709"/>
          <w:tab w:val="left" w:pos="1134" w:leader="none"/>
        </w:tabs>
        <w:ind w:left="0" w:firstLine="709"/>
        <w:jc w:val="both"/>
        <w:rPr/>
      </w:pPr>
      <w:r>
        <w:rPr/>
        <w:t xml:space="preserve">14.1.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9"/>
          <w:tab w:val="left" w:pos="1134" w:leader="none"/>
        </w:tabs>
        <w:ind w:left="0" w:firstLine="709"/>
        <w:jc w:val="both"/>
        <w:rPr/>
      </w:pPr>
      <w:r>
        <w:rPr/>
        <w:t xml:space="preserve">14.2.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shd w:val="clear" w:color="auto" w:fill="FFFFFF"/>
        <w:tabs>
          <w:tab w:val="clear" w:pos="709"/>
          <w:tab w:val="left" w:pos="1134" w:leader="none"/>
        </w:tabs>
        <w:ind w:left="0" w:firstLine="709"/>
        <w:jc w:val="both"/>
        <w:rPr/>
      </w:pPr>
      <w:r>
        <w:rPr/>
        <w:t>14.3.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shd w:val="clear" w:color="auto" w:fill="FFFFFF"/>
        <w:tabs>
          <w:tab w:val="clear" w:pos="709"/>
          <w:tab w:val="left" w:pos="1134" w:leader="none"/>
        </w:tabs>
        <w:ind w:left="0" w:firstLine="709"/>
        <w:jc w:val="both"/>
        <w:rPr/>
      </w:pPr>
      <w:r>
        <w:rPr/>
        <w:t>14.4. 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134" w:leader="none"/>
        </w:tabs>
        <w:ind w:left="0" w:firstLine="709"/>
        <w:jc w:val="both"/>
        <w:rPr/>
      </w:pPr>
      <w:r>
        <w:rPr/>
        <w:t xml:space="preserve">14.5. 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14.6.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shd w:val="clear" w:color="auto" w:fill="FFFFFF"/>
        <w:tabs>
          <w:tab w:val="clear" w:pos="709"/>
          <w:tab w:val="left" w:pos="1134" w:leader="none"/>
        </w:tabs>
        <w:ind w:left="0" w:firstLine="709"/>
        <w:jc w:val="both"/>
        <w:rPr/>
      </w:pPr>
      <w:r>
        <w:rPr/>
        <w:t>14.7.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shd w:val="clear" w:color="auto" w:fill="FFFFFF"/>
        <w:tabs>
          <w:tab w:val="clear" w:pos="709"/>
          <w:tab w:val="left" w:pos="1134" w:leader="none"/>
        </w:tabs>
        <w:ind w:left="0" w:firstLine="709"/>
        <w:jc w:val="both"/>
        <w:rPr/>
      </w:pPr>
      <w:r>
        <w:rPr/>
        <w:t>15.1. Договор вступает в силу с даты его подписания Сторонами и действует до полного исполнения ими принятых на себя обязательств.</w:t>
      </w:r>
    </w:p>
    <w:p>
      <w:pPr>
        <w:pStyle w:val="ListParagraph"/>
        <w:shd w:val="clear" w:color="auto" w:fill="FFFFFF"/>
        <w:tabs>
          <w:tab w:val="clear" w:pos="709"/>
          <w:tab w:val="left" w:pos="1134" w:leader="none"/>
        </w:tabs>
        <w:ind w:left="0" w:firstLine="709"/>
        <w:jc w:val="both"/>
        <w:rPr/>
      </w:pPr>
      <w:r>
        <w:rPr/>
        <w:t xml:space="preserve">15.3.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shd w:val="clear" w:color="auto" w:fill="FFFFFF"/>
        <w:tabs>
          <w:tab w:val="clear" w:pos="709"/>
          <w:tab w:val="left" w:pos="1134" w:leader="none"/>
        </w:tabs>
        <w:ind w:left="0" w:firstLine="709"/>
        <w:jc w:val="both"/>
        <w:rPr/>
      </w:pPr>
      <w:r>
        <w:rPr/>
        <w:t>15.4.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15.5.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9"/>
          <w:tab w:val="left" w:pos="1134" w:leader="none"/>
        </w:tabs>
        <w:ind w:left="0" w:firstLine="709"/>
        <w:jc w:val="both"/>
        <w:rPr/>
      </w:pPr>
      <w:r>
        <w:rPr/>
        <w:t xml:space="preserve">15.6.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shd w:val="clear" w:color="auto" w:fill="FFFFFF"/>
        <w:tabs>
          <w:tab w:val="clear" w:pos="709"/>
          <w:tab w:val="left" w:pos="1134" w:leader="none"/>
        </w:tabs>
        <w:ind w:left="0" w:firstLine="709"/>
        <w:jc w:val="both"/>
        <w:rPr/>
      </w:pPr>
      <w:r>
        <w:rPr/>
        <w:t xml:space="preserve">15.7. 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Normal"/>
        <w:shd w:val="clear" w:color="auto" w:fill="FFFFFF"/>
        <w:tabs>
          <w:tab w:val="clear" w:pos="709"/>
          <w:tab w:val="left" w:pos="0" w:leader="none"/>
          <w:tab w:val="left" w:pos="1560" w:leader="none"/>
          <w:tab w:val="left" w:pos="1708" w:leader="none"/>
        </w:tabs>
        <w:ind w:firstLine="709"/>
        <w:jc w:val="both"/>
        <w:rPr>
          <w:bCs/>
          <w:lang w:val="ru-RU"/>
        </w:rPr>
      </w:pPr>
      <w:r>
        <w:rPr>
          <w:lang w:val="ru-RU"/>
        </w:rPr>
        <w:t xml:space="preserve">15.8. 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15.8.1. Заказным почтовым отправлением с уведомлением о вручении </w:t>
      </w:r>
      <w:r>
        <w:rPr>
          <w:lang w:val="ru-RU"/>
        </w:rPr>
        <w:t xml:space="preserve">по адресу ее места </w:t>
      </w:r>
      <w:r>
        <w:rPr>
          <w:highlight w:val="lightGray"/>
          <w:lang w:val="ru-RU"/>
        </w:rPr>
        <w:t>нахождения</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bookmarkStart w:id="16" w:name="_Ref361338032"/>
      <w:r>
        <w:rPr>
          <w:bCs/>
        </w:rPr>
        <w:t xml:space="preserve">15.8.2. Доставкой лично или курьером Стороны-отправителя </w:t>
      </w:r>
      <w:r>
        <w:rPr/>
        <w:t xml:space="preserve">по адресу ее места </w:t>
      </w:r>
      <w:r>
        <w:rPr>
          <w:highlight w:val="lightGray"/>
        </w:rPr>
        <w:t>нахождения</w:t>
      </w:r>
      <w:r>
        <w:rP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7" w:name="_Ref361338032"/>
      <w:r>
        <w:rPr>
          <w:bCs/>
        </w:rPr>
        <w:t xml:space="preserve">15.8.3. </w:t>
      </w:r>
      <w:bookmarkEnd w:id="17"/>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15.8.1, 15.8.2</w:t>
      </w:r>
      <w:r>
        <w:rPr>
          <w:bCs/>
        </w:rPr>
        <w:t xml:space="preserve"> Договора. </w:t>
      </w:r>
    </w:p>
    <w:p>
      <w:pPr>
        <w:pStyle w:val="ListParagraph"/>
        <w:shd w:val="clear" w:color="auto" w:fill="FFFFFF"/>
        <w:tabs>
          <w:tab w:val="clear" w:pos="709"/>
          <w:tab w:val="left" w:pos="1134" w:leader="none"/>
        </w:tabs>
        <w:ind w:left="0" w:firstLine="709"/>
        <w:jc w:val="both"/>
        <w:rPr>
          <w:bCs/>
        </w:rPr>
      </w:pPr>
      <w:r>
        <w:rPr>
          <w:bCs/>
        </w:rPr>
        <w:t xml:space="preserve">15.9. 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9"/>
          <w:tab w:val="left" w:pos="1134" w:leader="none"/>
        </w:tabs>
        <w:ind w:left="0" w:firstLine="709"/>
        <w:jc w:val="both"/>
        <w:rPr>
          <w:bCs/>
        </w:rPr>
      </w:pPr>
      <w:r>
        <w:rPr/>
        <w:t>15.10. 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9"/>
          <w:tab w:val="left" w:pos="1134" w:leader="none"/>
        </w:tabs>
        <w:ind w:left="0" w:firstLine="709"/>
        <w:jc w:val="both"/>
        <w:rPr/>
      </w:pPr>
      <w:r>
        <w:rPr/>
        <w:t xml:space="preserve">15.11.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15.12.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7"/>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 xml:space="preserve">Приложение № 2.2 –  Форма расчета стоимости Услуг по заявке; </w:t>
      </w:r>
    </w:p>
    <w:p>
      <w:pPr>
        <w:pStyle w:val="Normal"/>
        <w:tabs>
          <w:tab w:val="clear" w:pos="709"/>
          <w:tab w:val="left" w:pos="2127" w:leader="none"/>
          <w:tab w:val="left" w:pos="2410" w:leader="none"/>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16"/>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p>
            <w:pPr>
              <w:pStyle w:val="Normal"/>
              <w:widowControl w:val="false"/>
              <w:rPr/>
            </w:pPr>
            <w:r>
              <w:rPr/>
            </w:r>
          </w:p>
        </w:tc>
      </w:tr>
      <w:tr>
        <w:trPr/>
        <w:tc>
          <w:tcPr>
            <w:tcW w:w="4643" w:type="dxa"/>
            <w:tcBorders/>
            <w:shd w:color="auto" w:fill="auto" w:val="clear"/>
          </w:tcPr>
          <w:p>
            <w:pPr>
              <w:pStyle w:val="Normal"/>
              <w:widowControl w:val="false"/>
              <w:suppressAutoHyphens w:val="true"/>
              <w:rPr>
                <w:b/>
                <w:bCs/>
                <w:lang w:val="ru-RU"/>
              </w:rPr>
            </w:pPr>
            <w:r>
              <w:rPr>
                <w:b/>
                <w:bCs/>
                <w:lang w:val="ru-RU"/>
              </w:rPr>
              <w:t>Акционерное общество</w:t>
            </w:r>
          </w:p>
          <w:p>
            <w:pPr>
              <w:pStyle w:val="Normal"/>
              <w:widowControl w:val="false"/>
              <w:suppressAutoHyphens w:val="true"/>
              <w:rPr>
                <w:b/>
                <w:bCs/>
                <w:lang w:val="ru-RU"/>
              </w:rPr>
            </w:pPr>
            <w:r>
              <w:rPr>
                <w:b/>
                <w:bCs/>
                <w:lang w:val="ru-RU"/>
              </w:rPr>
              <w:t>«Транспортная компания РусГидро»</w:t>
            </w:r>
          </w:p>
          <w:p>
            <w:pPr>
              <w:pStyle w:val="Normal"/>
              <w:widowControl w:val="false"/>
              <w:suppressAutoHyphens w:val="true"/>
              <w:rPr>
                <w:bCs/>
                <w:u w:val="single"/>
                <w:lang w:val="ru-RU"/>
              </w:rPr>
            </w:pPr>
            <w:r>
              <w:rPr>
                <w:b/>
                <w:bCs/>
                <w:lang w:val="ru-RU"/>
              </w:rPr>
              <w:t>(</w:t>
            </w:r>
            <w:r>
              <w:rPr>
                <w:bCs/>
                <w:lang w:val="ru-RU"/>
              </w:rPr>
              <w:t>АО «ТК РусГидро»)</w:t>
            </w:r>
          </w:p>
          <w:p>
            <w:pPr>
              <w:pStyle w:val="Normal"/>
              <w:widowControl w:val="false"/>
              <w:suppressAutoHyphens w:val="true"/>
              <w:rPr>
                <w:lang w:val="ru-RU"/>
              </w:rPr>
            </w:pPr>
            <w:r>
              <w:rPr>
                <w:lang w:val="ru-RU"/>
              </w:rPr>
              <w:t xml:space="preserve">Юридический адрес: 655619, Республика Хакасия, г. Саяногорск, рп. Черемушки, </w:t>
            </w:r>
            <w:r>
              <w:rPr>
                <w:lang w:val="ru-RU"/>
              </w:rPr>
              <w:t>стр.</w:t>
            </w:r>
            <w:r>
              <w:rPr>
                <w:lang w:val="ru-RU"/>
              </w:rPr>
              <w:t xml:space="preserve"> 101</w:t>
            </w:r>
          </w:p>
          <w:p>
            <w:pPr>
              <w:pStyle w:val="Normal"/>
              <w:widowControl w:val="false"/>
              <w:suppressAutoHyphens w:val="true"/>
              <w:rPr>
                <w:lang w:val="ru-RU"/>
              </w:rPr>
            </w:pPr>
            <w:r>
              <w:rPr>
                <w:lang w:val="ru-RU"/>
              </w:rPr>
              <w:t>ОГРН: 1031900676356;</w:t>
            </w:r>
          </w:p>
          <w:p>
            <w:pPr>
              <w:pStyle w:val="Normal"/>
              <w:widowControl w:val="false"/>
              <w:suppressAutoHyphens w:val="true"/>
              <w:rPr>
                <w:lang w:val="ru-RU"/>
              </w:rPr>
            </w:pPr>
            <w:r>
              <w:rPr>
                <w:lang w:val="ru-RU"/>
              </w:rPr>
              <w:t>ИНН: 1902018248; КПП: 190201001;</w:t>
            </w:r>
          </w:p>
          <w:p>
            <w:pPr>
              <w:pStyle w:val="Normal"/>
              <w:widowControl w:val="false"/>
              <w:suppressAutoHyphens w:val="true"/>
              <w:rPr>
                <w:lang w:val="ru-RU"/>
              </w:rPr>
            </w:pPr>
            <w:r>
              <w:rPr>
                <w:lang w:val="ru-RU"/>
              </w:rPr>
              <w:t>р/с 40702 810 7 9500 0000002</w:t>
            </w:r>
          </w:p>
          <w:p>
            <w:pPr>
              <w:pStyle w:val="Normal"/>
              <w:widowControl w:val="false"/>
              <w:suppressAutoHyphens w:val="true"/>
              <w:rPr>
                <w:lang w:val="ru-RU"/>
              </w:rPr>
            </w:pPr>
            <w:r>
              <w:rPr>
                <w:lang w:val="ru-RU"/>
              </w:rPr>
              <w:t xml:space="preserve">«Газпромбанк» (Акционерное общество) </w:t>
            </w:r>
          </w:p>
          <w:p>
            <w:pPr>
              <w:pStyle w:val="Normal"/>
              <w:widowControl w:val="false"/>
              <w:suppressAutoHyphens w:val="true"/>
              <w:rPr>
                <w:lang w:val="ru-RU"/>
              </w:rPr>
            </w:pPr>
            <w:r>
              <w:rPr>
                <w:lang w:val="ru-RU"/>
              </w:rPr>
              <w:t xml:space="preserve">ГПБ (АО) г. Москва </w:t>
            </w:r>
          </w:p>
          <w:p>
            <w:pPr>
              <w:pStyle w:val="Normal"/>
              <w:widowControl w:val="false"/>
              <w:suppressAutoHyphens w:val="true"/>
              <w:rPr>
                <w:lang w:val="ru-RU"/>
              </w:rPr>
            </w:pPr>
            <w:r>
              <w:rPr>
                <w:lang w:val="ru-RU"/>
              </w:rPr>
              <w:t xml:space="preserve">к/с 30101 810 2 0000 0000823 </w:t>
            </w:r>
          </w:p>
          <w:p>
            <w:pPr>
              <w:pStyle w:val="Normal"/>
              <w:widowControl w:val="false"/>
              <w:suppressAutoHyphens w:val="true"/>
              <w:rPr>
                <w:lang w:val="ru-RU"/>
              </w:rPr>
            </w:pPr>
            <w:r>
              <w:rPr>
                <w:lang w:val="ru-RU"/>
              </w:rPr>
              <w:t>БИК 044525823</w:t>
            </w:r>
          </w:p>
          <w:p>
            <w:pPr>
              <w:pStyle w:val="Normal"/>
              <w:widowControl w:val="false"/>
              <w:suppressAutoHyphens w:val="true"/>
              <w:rPr>
                <w:bCs/>
                <w:lang w:val="ru-RU"/>
              </w:rPr>
            </w:pPr>
            <w:r>
              <w:rPr>
                <w:bCs/>
                <w:lang w:val="ru-RU"/>
              </w:rPr>
            </w:r>
          </w:p>
          <w:p>
            <w:pPr>
              <w:pStyle w:val="Normal"/>
              <w:widowControl w:val="false"/>
              <w:suppressAutoHyphens w:val="true"/>
              <w:rPr>
                <w:b/>
                <w:bCs/>
                <w:lang w:val="ru-RU"/>
              </w:rPr>
            </w:pPr>
            <w:r>
              <w:rPr>
                <w:b/>
                <w:bCs/>
                <w:lang w:val="ru-RU"/>
              </w:rPr>
              <w:t xml:space="preserve">Камчатский филиал </w:t>
            </w:r>
          </w:p>
          <w:p>
            <w:pPr>
              <w:pStyle w:val="Normal"/>
              <w:widowControl w:val="false"/>
              <w:suppressAutoHyphens w:val="true"/>
              <w:rPr>
                <w:b/>
                <w:bCs/>
                <w:u w:val="single"/>
                <w:lang w:val="ru-RU"/>
              </w:rPr>
            </w:pPr>
            <w:r>
              <w:rPr>
                <w:b/>
                <w:bCs/>
                <w:lang w:val="ru-RU"/>
              </w:rPr>
              <w:t>АО «ТК РусГидро»</w:t>
            </w:r>
          </w:p>
          <w:p>
            <w:pPr>
              <w:pStyle w:val="Normal"/>
              <w:widowControl w:val="false"/>
              <w:suppressAutoHyphens w:val="true"/>
              <w:rPr/>
            </w:pPr>
            <w:r>
              <w:rPr>
                <w:lang w:val="ru-RU"/>
              </w:rPr>
              <w:t xml:space="preserve">Почтовый адрес: 683032, Камчатский край, г. Петропавловск-Камчатский, ул. </w:t>
            </w:r>
            <w:r>
              <w:rPr/>
              <w:t>Пограничная, д. 14а</w:t>
            </w:r>
          </w:p>
          <w:p>
            <w:pPr>
              <w:pStyle w:val="Normal"/>
              <w:widowControl w:val="false"/>
              <w:suppressAutoHyphens w:val="true"/>
              <w:rPr>
                <w:lang w:val="ru-RU"/>
              </w:rPr>
            </w:pPr>
            <w:r>
              <w:rPr/>
              <w:t>ИНН: 1902018248; КПП: 410143001</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t>_________________________________</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sz w:val="22"/>
                <w:szCs w:val="22"/>
                <w:lang w:val="ru-RU"/>
              </w:rPr>
            </w:pPr>
            <w:r>
              <w:rPr>
                <w:sz w:val="22"/>
                <w:szCs w:val="22"/>
              </w:rPr>
              <w:t xml:space="preserve">_______________ / </w:t>
            </w:r>
            <w:r>
              <w:rPr>
                <w:sz w:val="22"/>
                <w:szCs w:val="22"/>
                <w:lang w:val="ru-RU"/>
              </w:rPr>
              <w:t>Нешев М.В.</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lang w:val="ru-RU"/>
        </w:rPr>
        <w:t>Приложение № 1</w:t>
      </w:r>
    </w:p>
    <w:p>
      <w:pPr>
        <w:pStyle w:val="Normal"/>
        <w:ind w:firstLine="709"/>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Нешев М.В.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lang w:val="ru-RU"/>
        </w:rPr>
      </w:pPr>
      <w:r>
        <w:br w:type="page"/>
      </w:r>
      <w:r>
        <w:rPr/>
        <w:t>Приложение № 2</w:t>
      </w:r>
      <w:r>
        <w:rPr>
          <w:lang w:val="ru-RU"/>
        </w:rPr>
        <w:t>.1</w:t>
      </w:r>
    </w:p>
    <w:p>
      <w:pPr>
        <w:pStyle w:val="Normal"/>
        <w:jc w:val="right"/>
        <w:rPr>
          <w:lang w:val="ru-RU"/>
        </w:rPr>
      </w:pPr>
      <w:r>
        <w:rPr>
          <w:lang w:val="ru-RU"/>
        </w:rPr>
        <w:t xml:space="preserve">          </w:t>
      </w:r>
      <w:r>
        <w:rPr>
          <w:lang w:val="ru-RU"/>
        </w:rPr>
        <w:t xml:space="preserve">к     Договору возмездного оказания услуг </w:t>
      </w:r>
    </w:p>
    <w:p>
      <w:pPr>
        <w:pStyle w:val="Normal"/>
        <w:ind w:firstLine="709"/>
        <w:jc w:val="right"/>
        <w:rPr>
          <w:lang w:val="ru-RU"/>
        </w:rPr>
      </w:pPr>
      <w:r>
        <w:rPr>
          <w:lang w:val="ru-RU"/>
        </w:rPr>
        <w:t>от ___________ 20___ года</w:t>
      </w:r>
    </w:p>
    <w:p>
      <w:pPr>
        <w:pStyle w:val="Normal"/>
        <w:tabs>
          <w:tab w:val="clear" w:pos="709"/>
          <w:tab w:val="left" w:pos="2700" w:leader="none"/>
        </w:tabs>
        <w:jc w:val="center"/>
        <w:rPr>
          <w:b/>
          <w:lang w:val="ru-RU"/>
        </w:rPr>
      </w:pPr>
      <w:r>
        <w:rPr>
          <w:b/>
          <w:lang w:val="ru-RU"/>
        </w:rPr>
      </w:r>
    </w:p>
    <w:p>
      <w:pPr>
        <w:pStyle w:val="Normal"/>
        <w:tabs>
          <w:tab w:val="clear" w:pos="709"/>
          <w:tab w:val="left" w:pos="2700" w:leader="none"/>
        </w:tabs>
        <w:jc w:val="center"/>
        <w:rPr>
          <w:b/>
          <w:lang w:val="ru-RU"/>
        </w:rPr>
      </w:pPr>
      <w:r>
        <w:rPr>
          <w:b/>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___.20__ №______________</w:t>
      </w:r>
    </w:p>
    <w:p>
      <w:pPr>
        <w:pStyle w:val="Normal"/>
        <w:tabs>
          <w:tab w:val="clear" w:pos="709"/>
          <w:tab w:val="left" w:pos="2700" w:leader="none"/>
        </w:tabs>
        <w:jc w:val="center"/>
        <w:rPr>
          <w:lang w:val="ru-RU"/>
        </w:rPr>
      </w:pPr>
      <w:r>
        <w:rPr>
          <w:lang w:val="ru-RU"/>
        </w:rPr>
      </w:r>
    </w:p>
    <w:p>
      <w:pPr>
        <w:pStyle w:val="ListParagraph"/>
        <w:numPr>
          <w:ilvl w:val="0"/>
          <w:numId w:val="19"/>
        </w:numPr>
        <w:ind w:left="0" w:hanging="360"/>
        <w:rPr/>
      </w:pPr>
      <w:r>
        <w:rPr/>
        <w:t>Виды услуг:</w:t>
      </w:r>
    </w:p>
    <w:p>
      <w:pPr>
        <w:pStyle w:val="ListParagraph"/>
        <w:numPr>
          <w:ilvl w:val="0"/>
          <w:numId w:val="19"/>
        </w:numPr>
        <w:ind w:left="0" w:hanging="360"/>
        <w:rPr>
          <w:highlight w:val="lightGray"/>
        </w:rPr>
      </w:pPr>
      <w:r>
        <w:rPr>
          <w:highlight w:val="lightGray"/>
        </w:rPr>
        <w:t>Характеристика:</w:t>
        <w:tab/>
      </w:r>
    </w:p>
    <w:p>
      <w:pPr>
        <w:pStyle w:val="ListParagraph"/>
        <w:numPr>
          <w:ilvl w:val="0"/>
          <w:numId w:val="19"/>
        </w:numPr>
        <w:ind w:left="0" w:hanging="360"/>
        <w:rPr>
          <w:highlight w:val="lightGray"/>
        </w:rPr>
      </w:pPr>
      <w:r>
        <w:rPr>
          <w:highlight w:val="lightGray"/>
        </w:rPr>
        <w:t xml:space="preserve">Объем: </w:t>
      </w:r>
    </w:p>
    <w:p>
      <w:pPr>
        <w:pStyle w:val="ListParagraph"/>
        <w:numPr>
          <w:ilvl w:val="0"/>
          <w:numId w:val="19"/>
        </w:numPr>
        <w:ind w:left="0" w:hanging="360"/>
        <w:rPr>
          <w:highlight w:val="lightGray"/>
        </w:rPr>
      </w:pPr>
      <w:r>
        <w:rPr>
          <w:highlight w:val="lightGray"/>
        </w:rPr>
        <w:t>Качество:</w:t>
      </w:r>
    </w:p>
    <w:p>
      <w:pPr>
        <w:pStyle w:val="ListParagraph"/>
        <w:numPr>
          <w:ilvl w:val="0"/>
          <w:numId w:val="19"/>
        </w:numPr>
        <w:ind w:left="0" w:hanging="360"/>
        <w:rPr/>
      </w:pPr>
      <w:r>
        <w:rPr>
          <w:highlight w:val="lightGray"/>
        </w:rPr>
        <w:t>Дополнительные параметры (при наличии):</w:t>
      </w:r>
    </w:p>
    <w:p>
      <w:pPr>
        <w:pStyle w:val="ListParagraph"/>
        <w:numPr>
          <w:ilvl w:val="0"/>
          <w:numId w:val="19"/>
        </w:numPr>
        <w:ind w:left="0" w:hanging="360"/>
        <w:rPr/>
      </w:pPr>
      <w:r>
        <w:rPr/>
        <w:t>Срок оказания:</w:t>
      </w:r>
    </w:p>
    <w:p>
      <w:pPr>
        <w:pStyle w:val="Normal"/>
        <w:rPr/>
      </w:pPr>
      <w:r>
        <w:rPr/>
      </w:r>
    </w:p>
    <w:p>
      <w:pPr>
        <w:pStyle w:val="Normal"/>
        <w:rPr/>
      </w:pPr>
      <w:r>
        <w:rPr/>
      </w:r>
    </w:p>
    <w:p>
      <w:pPr>
        <w:pStyle w:val="Normal"/>
        <w:rPr/>
      </w:pPr>
      <w:r>
        <w:rPr/>
      </w:r>
    </w:p>
    <w:p>
      <w:pPr>
        <w:pStyle w:val="Normal"/>
        <w:rPr/>
      </w:pPr>
      <w:r>
        <w:rPr/>
        <w:t xml:space="preserve"> </w:t>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Нешев М.В.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sz w:val="22"/>
          <w:szCs w:val="22"/>
          <w:lang w:val="ru-RU"/>
        </w:rPr>
        <w:t xml:space="preserve">                                                                                        </w:t>
      </w:r>
      <w:r>
        <w:rPr/>
        <w:t>Приложение № 2</w:t>
      </w:r>
      <w:r>
        <w:rPr>
          <w:lang w:val="ru-RU"/>
        </w:rPr>
        <w:t>.2</w:t>
      </w:r>
    </w:p>
    <w:p>
      <w:pPr>
        <w:pStyle w:val="Normal"/>
        <w:jc w:val="right"/>
        <w:rPr>
          <w:lang w:val="ru-RU"/>
        </w:rPr>
      </w:pPr>
      <w:r>
        <w:rPr>
          <w:lang w:val="ru-RU"/>
        </w:rPr>
        <w:t xml:space="preserve">            </w:t>
      </w:r>
      <w:r>
        <w:rPr>
          <w:lang w:val="ru-RU"/>
        </w:rPr>
        <w:t xml:space="preserve">к   Договору возмездного оказания услуг </w:t>
      </w:r>
    </w:p>
    <w:p>
      <w:pPr>
        <w:pStyle w:val="Normal"/>
        <w:ind w:firstLine="709"/>
        <w:jc w:val="right"/>
        <w:rPr>
          <w:lang w:val="ru-RU"/>
        </w:rPr>
      </w:pPr>
      <w:r>
        <w:rPr>
          <w:lang w:val="ru-RU"/>
        </w:rPr>
        <w:t>от ___________ 20___ года</w:t>
      </w:r>
    </w:p>
    <w:p>
      <w:pPr>
        <w:pStyle w:val="Normal"/>
        <w:rPr>
          <w:b/>
          <w:lang w:val="ru-RU"/>
        </w:rPr>
      </w:pPr>
      <w:r>
        <w:rPr>
          <w:b/>
          <w:lang w:val="ru-RU"/>
        </w:rPr>
      </w:r>
    </w:p>
    <w:p>
      <w:pPr>
        <w:pStyle w:val="Normal"/>
        <w:rPr>
          <w:b/>
          <w:lang w:val="ru-RU"/>
        </w:rPr>
      </w:pPr>
      <w:r>
        <w:rPr>
          <w:b/>
          <w:lang w:val="ru-RU"/>
        </w:rPr>
      </w:r>
    </w:p>
    <w:p>
      <w:pPr>
        <w:pStyle w:val="Normal"/>
        <w:jc w:val="center"/>
        <w:rPr>
          <w:b/>
          <w:lang w:val="ru-RU"/>
        </w:rPr>
      </w:pPr>
      <w:r>
        <w:rPr>
          <w:b/>
          <w:lang w:val="ru-RU"/>
        </w:rPr>
        <w:t xml:space="preserve">Расчет стоимости Услуг </w:t>
      </w:r>
    </w:p>
    <w:p>
      <w:pPr>
        <w:pStyle w:val="Normal"/>
        <w:jc w:val="center"/>
        <w:rPr>
          <w:b/>
          <w:lang w:val="ru-RU"/>
        </w:rPr>
      </w:pPr>
      <w:r>
        <w:rPr>
          <w:b/>
          <w:lang w:val="ru-RU"/>
        </w:rPr>
        <w:t>по Заявке №___ от «___»_____________________</w:t>
      </w:r>
    </w:p>
    <w:p>
      <w:pPr>
        <w:pStyle w:val="Normal"/>
        <w:tabs>
          <w:tab w:val="clear" w:pos="709"/>
          <w:tab w:val="left" w:pos="0" w:leader="none"/>
        </w:tabs>
        <w:rPr>
          <w:lang w:val="ru-RU"/>
        </w:rPr>
      </w:pPr>
      <w:r>
        <w:rPr>
          <w:lang w:val="ru-RU"/>
        </w:rPr>
      </w:r>
    </w:p>
    <w:tbl>
      <w:tblPr>
        <w:tblW w:w="9722"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2208"/>
        <w:gridCol w:w="1644"/>
        <w:gridCol w:w="2185"/>
        <w:gridCol w:w="1416"/>
        <w:gridCol w:w="2269"/>
      </w:tblGrid>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w:t>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 xml:space="preserve">Стоимость </w:t>
            </w:r>
          </w:p>
          <w:p>
            <w:pPr>
              <w:pStyle w:val="Normal"/>
              <w:widowControl w:val="false"/>
              <w:tabs>
                <w:tab w:val="clear" w:pos="709"/>
                <w:tab w:val="left" w:pos="2700" w:leader="none"/>
              </w:tabs>
              <w:jc w:val="center"/>
              <w:rPr>
                <w:lang w:val="ru-RU"/>
              </w:rPr>
            </w:pPr>
            <w:r>
              <w:rPr>
                <w:lang w:val="ru-RU"/>
              </w:rPr>
              <w:t xml:space="preserve">за единицу, </w:t>
            </w:r>
          </w:p>
          <w:p>
            <w:pPr>
              <w:pStyle w:val="Normal"/>
              <w:widowControl w:val="false"/>
              <w:tabs>
                <w:tab w:val="clear" w:pos="709"/>
                <w:tab w:val="left" w:pos="2700" w:leader="none"/>
              </w:tabs>
              <w:jc w:val="center"/>
              <w:rPr>
                <w:lang w:val="ru-RU"/>
              </w:rPr>
            </w:pPr>
            <w:r>
              <w:rPr>
                <w:lang w:val="ru-RU"/>
              </w:rPr>
              <w:t>руб. без НДС</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t>____%</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 xml:space="preserve">Стоимость </w:t>
            </w:r>
          </w:p>
          <w:p>
            <w:pPr>
              <w:pStyle w:val="Normal"/>
              <w:widowControl w:val="false"/>
              <w:tabs>
                <w:tab w:val="clear" w:pos="709"/>
                <w:tab w:val="left" w:pos="2700" w:leader="none"/>
              </w:tabs>
              <w:jc w:val="center"/>
              <w:rPr>
                <w:lang w:val="ru-RU"/>
              </w:rPr>
            </w:pPr>
            <w:r>
              <w:rPr>
                <w:lang w:val="ru-RU"/>
              </w:rPr>
              <w:t>в руб. с учетом НДС</w:t>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7"/>
        <w:gridCol w:w="4677"/>
      </w:tblGrid>
      <w:tr>
        <w:trPr/>
        <w:tc>
          <w:tcPr>
            <w:tcW w:w="4677" w:type="dxa"/>
            <w:tcBorders/>
          </w:tcPr>
          <w:p>
            <w:pPr>
              <w:pStyle w:val="Normal"/>
              <w:widowControl w:val="false"/>
              <w:rPr>
                <w:b/>
                <w:lang w:val="ru-RU"/>
              </w:rPr>
            </w:pPr>
            <w:r>
              <w:rPr>
                <w:b/>
                <w:lang w:val="ru-RU"/>
              </w:rPr>
              <w:t>Заказчик:</w:t>
            </w:r>
          </w:p>
        </w:tc>
        <w:tc>
          <w:tcPr>
            <w:tcW w:w="4677" w:type="dxa"/>
            <w:tcBorders/>
          </w:tcPr>
          <w:p>
            <w:pPr>
              <w:pStyle w:val="Normal"/>
              <w:widowControl w:val="false"/>
              <w:rPr>
                <w:b/>
                <w:lang w:val="ru-RU"/>
              </w:rPr>
            </w:pPr>
            <w:r>
              <w:rPr>
                <w:b/>
                <w:lang w:val="ru-RU"/>
              </w:rPr>
              <w:t>Исполнитель:</w:t>
            </w:r>
          </w:p>
        </w:tc>
      </w:tr>
      <w:tr>
        <w:trPr/>
        <w:tc>
          <w:tcPr>
            <w:tcW w:w="4677" w:type="dxa"/>
            <w:tcBorders/>
          </w:tcPr>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 / Нешев М.В.</w:t>
            </w:r>
            <w:r>
              <w:rPr>
                <w:sz w:val="22"/>
                <w:szCs w:val="22"/>
              </w:rPr>
              <w:t xml:space="preserve">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lang w:val="ru-RU"/>
        </w:rPr>
        <w:t>Приложение № 3</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Нешев М.В.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ind w:firstLine="709"/>
        <w:jc w:val="right"/>
        <w:rPr>
          <w:lang w:val="ru-RU"/>
        </w:rPr>
      </w:pPr>
      <w:r>
        <w:rPr>
          <w:lang w:val="ru-RU"/>
        </w:rPr>
        <w:t>Приложение № 4</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Нешев М.В.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jc w:val="center"/>
        <w:rPr>
          <w:i/>
          <w:i/>
          <w:color w:val="FF0000"/>
          <w:lang w:val="ru-RU"/>
        </w:rPr>
      </w:pPr>
      <w:r>
        <w:rPr/>
      </w:r>
    </w:p>
    <w:sectPr>
      <w:headerReference w:type="default" r:id="rId5"/>
      <w:headerReference w:type="first" r:id="rId6"/>
      <w:footerReference w:type="default" r:id="rId7"/>
      <w:footnotePr>
        <w:numFmt w:val="decimal"/>
      </w:footnotePr>
      <w:type w:val="nextPage"/>
      <w:pgSz w:w="11906" w:h="16838"/>
      <w:pgMar w:left="1701" w:right="850"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5">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5.3.1.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4"/>
      <w:numFmt w:val="decimal"/>
      <w:lvlText w:val="%1.%2."/>
      <w:lvlJc w:val="left"/>
      <w:pPr>
        <w:tabs>
          <w:tab w:val="num" w:pos="0"/>
        </w:tabs>
        <w:ind w:left="1211"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4"/>
      <w:numFmt w:val="decimal"/>
      <w:lvlText w:val="%1."/>
      <w:lvlJc w:val="left"/>
      <w:pPr>
        <w:tabs>
          <w:tab w:val="num" w:pos="0"/>
        </w:tabs>
        <w:ind w:left="360" w:hanging="360"/>
      </w:pPr>
      <w:rPr/>
    </w:lvl>
    <w:lvl w:ilvl="1">
      <w:start w:val="7"/>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0">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2">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4"/>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24">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6"/>
      <w:numFmt w:val="decimal"/>
      <w:lvlText w:val="%1."/>
      <w:lvlJc w:val="left"/>
      <w:pPr>
        <w:tabs>
          <w:tab w:val="num" w:pos="0"/>
        </w:tabs>
        <w:ind w:left="360" w:hanging="360"/>
      </w:pPr>
      <w:rPr/>
    </w:lvl>
    <w:lvl w:ilvl="1">
      <w:start w:val="2"/>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B8EFA-E76D-4C99-B2F8-6DBCB15BBE8A}">
  <ds:schemaRefs>
    <ds:schemaRef ds:uri="http://schemas.openxmlformats.org/officeDocument/2006/bibliography"/>
  </ds:schemaRefs>
</ds:datastoreItem>
</file>

<file path=customXml/itemProps2.xml><?xml version="1.0" encoding="utf-8"?>
<ds:datastoreItem xmlns:ds="http://schemas.openxmlformats.org/officeDocument/2006/customXml" ds:itemID="{85B76153-EA83-4713-BED2-8DA1BA02B18C}">
  <ds:schemaRefs>
    <ds:schemaRef ds:uri="http://schemas.openxmlformats.org/officeDocument/2006/bibliography"/>
  </ds:schemaRefs>
</ds:datastoreItem>
</file>

<file path=customXml/itemProps3.xml><?xml version="1.0" encoding="utf-8"?>
<ds:datastoreItem xmlns:ds="http://schemas.openxmlformats.org/officeDocument/2006/customXml" ds:itemID="{3FEC05CE-5D82-423C-A715-9951D3A2A8A8}">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CBAA9263-5650-4A37-B904-8693FDB7BC69}">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Application>AlterOffice/3.4.0.9$Linux_X86_64 LibreOffice_project/b8daf9e823b1a5463a2f48435ddc2e8696e7d4fc</Application>
  <AppVersion>15.0000</AppVersion>
  <Pages>25</Pages>
  <Words>8448</Words>
  <Characters>59786</Characters>
  <CharactersWithSpaces>68086</CharactersWithSpaces>
  <Paragraphs>414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2022-12-27T07:24:00Z</dcterms:created>
  <dc:creator>UK VoHEC</dc:creator>
  <dc:description/>
  <dc:language>ru-RU</dc:language>
  <cp:lastModifiedBy>fedorovsa@corp.gidroogk.com</cp:lastModifiedBy>
  <cp:lastPrinted>2016-12-15T13:00:00Z</cp:lastPrinted>
  <dcterms:modified xsi:type="dcterms:W3CDTF">2026-08-20T11:39:16Z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