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1985" w:leader="none"/>
        </w:tabs>
        <w:spacing w:lineRule="auto" w:line="36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УТВЕРЖДАЮ</w:t>
      </w:r>
    </w:p>
    <w:p>
      <w:pPr>
        <w:pStyle w:val="Normal"/>
        <w:tabs>
          <w:tab w:val="clear" w:pos="708"/>
          <w:tab w:val="left" w:pos="1985" w:leader="none"/>
        </w:tabs>
        <w:spacing w:lineRule="auto" w:line="36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Директор Камчатского филиала</w:t>
      </w:r>
    </w:p>
    <w:p>
      <w:pPr>
        <w:pStyle w:val="Normal"/>
        <w:tabs>
          <w:tab w:val="clear" w:pos="708"/>
          <w:tab w:val="left" w:pos="1985" w:leader="none"/>
        </w:tabs>
        <w:spacing w:lineRule="auto" w:line="36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АО «ТК РусГидро»</w:t>
      </w:r>
    </w:p>
    <w:p>
      <w:pPr>
        <w:pStyle w:val="Normal"/>
        <w:tabs>
          <w:tab w:val="clear" w:pos="708"/>
          <w:tab w:val="left" w:pos="1985" w:leader="none"/>
        </w:tabs>
        <w:spacing w:lineRule="auto" w:line="36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_____________ М.В. Нешев</w:t>
      </w:r>
    </w:p>
    <w:p>
      <w:pPr>
        <w:pStyle w:val="Normal"/>
        <w:tabs>
          <w:tab w:val="clear" w:pos="708"/>
          <w:tab w:val="left" w:pos="1985" w:leader="none"/>
        </w:tabs>
        <w:spacing w:lineRule="auto" w:line="360" w:before="0" w:after="200"/>
        <w:jc w:val="right"/>
        <w:rPr>
          <w:rFonts w:ascii="Calibri" w:hAnsi="Calibri" w:eastAsia="Calibri"/>
          <w:sz w:val="24"/>
          <w:szCs w:val="24"/>
        </w:rPr>
      </w:pPr>
      <w:r>
        <w:rPr>
          <w:rFonts w:eastAsia="Calibri"/>
          <w:sz w:val="24"/>
          <w:szCs w:val="24"/>
        </w:rPr>
        <w:t>«____» ____________ 202_ г.</w:t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rStyle w:val="Style8"/>
          <w:sz w:val="26"/>
          <w:szCs w:val="26"/>
        </w:rPr>
      </w:pPr>
      <w:r>
        <w:rPr>
          <w:rFonts w:eastAsia="Calibri"/>
          <w:sz w:val="26"/>
          <w:szCs w:val="26"/>
        </w:rPr>
        <w:t xml:space="preserve">ОКПД 2: 45.20.11.500 </w:t>
      </w:r>
      <w:bookmarkStart w:id="0" w:name="_GoBack"/>
      <w:r>
        <w:rPr>
          <w:rFonts w:eastAsia="Calibri"/>
          <w:sz w:val="26"/>
          <w:szCs w:val="26"/>
        </w:rPr>
        <w:t>Услуги по техническому обслуживанию и текущему ремонту мульчер Prinoth RAPTOR 300</w:t>
      </w:r>
      <w:bookmarkEnd w:id="0"/>
      <w:r>
        <w:rPr>
          <w:rFonts w:eastAsia="Calibri"/>
          <w:sz w:val="26"/>
          <w:szCs w:val="26"/>
        </w:rPr>
        <w:t xml:space="preserve"> для нужд Камчатского филиала АО «ТК РусГидро»</w:t>
      </w:r>
    </w:p>
    <w:p>
      <w:pPr>
        <w:pStyle w:val="Normal"/>
        <w:keepNext w:val="true"/>
        <w:keepLines/>
        <w:jc w:val="center"/>
        <w:rPr>
          <w:rFonts w:eastAsia="Calibri"/>
          <w:i/>
          <w:i/>
          <w:sz w:val="26"/>
          <w:szCs w:val="26"/>
        </w:rPr>
      </w:pPr>
      <w:r>
        <w:rPr>
          <w:rFonts w:eastAsia="Calibri"/>
          <w:sz w:val="26"/>
          <w:szCs w:val="26"/>
        </w:rPr>
        <w:t>Лот № 2056-ТО ПРОД-202</w:t>
      </w:r>
      <w:r>
        <w:rPr>
          <w:rFonts w:eastAsia="Calibri"/>
          <w:sz w:val="26"/>
          <w:szCs w:val="26"/>
        </w:rPr>
        <w:t>7</w:t>
      </w:r>
      <w:r>
        <w:rPr>
          <w:rFonts w:eastAsia="Calibri"/>
          <w:sz w:val="26"/>
          <w:szCs w:val="26"/>
        </w:rPr>
        <w:t>-ТК-КФ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right" w:pos="560" w:leader="dot"/>
          <w:tab w:val="right" w:pos="9911" w:leader="dot"/>
        </w:tabs>
        <w:suppressAutoHyphens w:val="true"/>
        <w:spacing w:before="120" w:after="0"/>
        <w:textAlignment w:val="baseline"/>
        <w:rPr>
          <w:rFonts w:cs="Calibri Light (Заголовки)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</w:t>
        <w:tab/>
        <w:t>Общие сведения</w:t>
        <w:tab/>
        <w:t>3</w:t>
      </w:r>
    </w:p>
    <w:p>
      <w:pPr>
        <w:pStyle w:val="Normal"/>
        <w:tabs>
          <w:tab w:val="clear" w:pos="708"/>
          <w:tab w:val="right" w:pos="1680" w:leader="dot"/>
          <w:tab w:val="right" w:pos="10471" w:leader="dot"/>
        </w:tabs>
        <w:suppressAutoHyphens w:val="true"/>
        <w:ind w:left="560" w:hanging="0"/>
        <w:textAlignment w:val="baseline"/>
        <w:rPr>
          <w:rFonts w:cs="Calibri"/>
          <w:b/>
          <w:sz w:val="20"/>
          <w:szCs w:val="20"/>
        </w:rPr>
      </w:pPr>
      <w:r>
        <w:rPr>
          <w:b/>
          <w:iCs/>
          <w:sz w:val="24"/>
          <w:szCs w:val="24"/>
        </w:rPr>
        <w:t>1.1.</w:t>
      </w:r>
      <w:r>
        <w:rPr>
          <w:rFonts w:eastAsia="PMingLiU"/>
          <w:b/>
          <w:sz w:val="24"/>
          <w:szCs w:val="24"/>
        </w:rPr>
        <w:tab/>
      </w:r>
      <w:r>
        <w:rPr>
          <w:b/>
          <w:sz w:val="24"/>
          <w:szCs w:val="24"/>
        </w:rPr>
        <w:t>Обозначения и сокращения</w:t>
        <w:tab/>
        <w:t>3</w:t>
      </w:r>
    </w:p>
    <w:p>
      <w:pPr>
        <w:pStyle w:val="Normal"/>
        <w:tabs>
          <w:tab w:val="clear" w:pos="708"/>
          <w:tab w:val="right" w:pos="1680" w:leader="dot"/>
          <w:tab w:val="right" w:pos="10471" w:leader="dot"/>
        </w:tabs>
        <w:suppressAutoHyphens w:val="true"/>
        <w:ind w:left="560" w:hanging="0"/>
        <w:textAlignment w:val="baseline"/>
        <w:rPr>
          <w:rFonts w:cs="Calibri"/>
          <w:b/>
          <w:sz w:val="20"/>
          <w:szCs w:val="20"/>
        </w:rPr>
      </w:pPr>
      <w:r>
        <w:rPr>
          <w:b/>
          <w:iCs/>
          <w:sz w:val="24"/>
          <w:szCs w:val="24"/>
        </w:rPr>
        <w:t>1.2.</w:t>
      </w:r>
      <w:r>
        <w:rPr>
          <w:rFonts w:eastAsia="PMingLiU"/>
          <w:b/>
          <w:sz w:val="24"/>
          <w:szCs w:val="24"/>
        </w:rPr>
        <w:tab/>
      </w:r>
      <w:r>
        <w:rPr>
          <w:b/>
          <w:sz w:val="24"/>
          <w:szCs w:val="24"/>
        </w:rPr>
        <w:t>Наименование закупаемой продукции</w:t>
        <w:tab/>
        <w:t>3</w:t>
      </w:r>
    </w:p>
    <w:p>
      <w:pPr>
        <w:pStyle w:val="Normal"/>
        <w:tabs>
          <w:tab w:val="clear" w:pos="708"/>
          <w:tab w:val="right" w:pos="1680" w:leader="dot"/>
          <w:tab w:val="right" w:pos="10471" w:leader="dot"/>
        </w:tabs>
        <w:suppressAutoHyphens w:val="true"/>
        <w:ind w:left="560" w:hanging="0"/>
        <w:textAlignment w:val="baseline"/>
        <w:rPr>
          <w:rFonts w:cs="Calibri"/>
          <w:b/>
          <w:sz w:val="20"/>
          <w:szCs w:val="20"/>
        </w:rPr>
      </w:pPr>
      <w:r>
        <w:rPr>
          <w:b/>
          <w:iCs/>
          <w:sz w:val="24"/>
          <w:szCs w:val="24"/>
        </w:rPr>
        <w:t>1.3.</w:t>
      </w:r>
      <w:r>
        <w:rPr>
          <w:rFonts w:eastAsia="PMingLiU"/>
          <w:b/>
          <w:sz w:val="24"/>
          <w:szCs w:val="24"/>
        </w:rPr>
        <w:tab/>
      </w:r>
      <w:r>
        <w:rPr>
          <w:b/>
          <w:sz w:val="24"/>
          <w:szCs w:val="24"/>
        </w:rPr>
        <w:t>Цель использования закупаемой продукции</w:t>
        <w:tab/>
        <w:t>3</w:t>
      </w:r>
    </w:p>
    <w:p>
      <w:pPr>
        <w:pStyle w:val="Normal"/>
        <w:tabs>
          <w:tab w:val="clear" w:pos="708"/>
          <w:tab w:val="right" w:pos="1680" w:leader="dot"/>
          <w:tab w:val="right" w:pos="10471" w:leader="dot"/>
        </w:tabs>
        <w:suppressAutoHyphens w:val="true"/>
        <w:ind w:left="560" w:hanging="0"/>
        <w:textAlignment w:val="baseline"/>
        <w:rPr>
          <w:rFonts w:cs="Calibri"/>
          <w:b/>
          <w:sz w:val="20"/>
          <w:szCs w:val="20"/>
        </w:rPr>
      </w:pPr>
      <w:r>
        <w:rPr>
          <w:b/>
          <w:iCs/>
          <w:sz w:val="24"/>
          <w:szCs w:val="24"/>
        </w:rPr>
        <w:t>1.4.</w:t>
      </w:r>
      <w:r>
        <w:rPr>
          <w:rFonts w:eastAsia="PMingLiU"/>
          <w:b/>
          <w:sz w:val="24"/>
          <w:szCs w:val="24"/>
        </w:rPr>
        <w:tab/>
      </w:r>
      <w:r>
        <w:rPr>
          <w:b/>
          <w:sz w:val="24"/>
          <w:szCs w:val="24"/>
        </w:rPr>
        <w:t>Иные требования и сведения общего характера</w:t>
        <w:tab/>
        <w:t>3</w:t>
      </w:r>
    </w:p>
    <w:p>
      <w:pPr>
        <w:pStyle w:val="Normal"/>
        <w:tabs>
          <w:tab w:val="clear" w:pos="708"/>
          <w:tab w:val="right" w:pos="560" w:leader="dot"/>
          <w:tab w:val="right" w:pos="9911" w:leader="dot"/>
        </w:tabs>
        <w:suppressAutoHyphens w:val="true"/>
        <w:spacing w:before="120" w:after="0"/>
        <w:textAlignment w:val="baseline"/>
        <w:rPr>
          <w:rFonts w:cs="Calibri Light (Заголовки)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</w:t>
      </w:r>
      <w:r>
        <w:rPr>
          <w:rFonts w:eastAsia="PMingLiU"/>
          <w:b/>
          <w:sz w:val="24"/>
          <w:szCs w:val="24"/>
        </w:rPr>
        <w:tab/>
      </w:r>
      <w:r>
        <w:rPr>
          <w:b/>
          <w:bCs/>
          <w:sz w:val="24"/>
          <w:szCs w:val="24"/>
        </w:rPr>
        <w:t>Требования к продукции</w:t>
        <w:tab/>
        <w:t>4</w:t>
      </w:r>
    </w:p>
    <w:p>
      <w:pPr>
        <w:pStyle w:val="Normal"/>
        <w:tabs>
          <w:tab w:val="clear" w:pos="708"/>
          <w:tab w:val="right" w:pos="1680" w:leader="dot"/>
          <w:tab w:val="right" w:pos="10471" w:leader="dot"/>
        </w:tabs>
        <w:suppressAutoHyphens w:val="true"/>
        <w:ind w:left="560" w:hanging="0"/>
        <w:textAlignment w:val="baseline"/>
        <w:rPr>
          <w:rFonts w:cs="Calibri"/>
          <w:b/>
          <w:sz w:val="20"/>
          <w:szCs w:val="20"/>
        </w:rPr>
      </w:pPr>
      <w:r>
        <w:rPr>
          <w:b/>
          <w:iCs/>
          <w:sz w:val="24"/>
          <w:szCs w:val="24"/>
        </w:rPr>
        <w:t>2.1.</w:t>
      </w:r>
      <w:r>
        <w:rPr>
          <w:rFonts w:eastAsia="PMingLiU"/>
          <w:b/>
          <w:sz w:val="24"/>
          <w:szCs w:val="24"/>
        </w:rPr>
        <w:tab/>
      </w:r>
      <w:r>
        <w:rPr>
          <w:b/>
          <w:sz w:val="24"/>
          <w:szCs w:val="24"/>
        </w:rPr>
        <w:t>Требования к объемам и срокам поставки</w:t>
        <w:tab/>
        <w:t>4</w:t>
      </w:r>
    </w:p>
    <w:p>
      <w:pPr>
        <w:pStyle w:val="Normal"/>
        <w:tabs>
          <w:tab w:val="clear" w:pos="708"/>
          <w:tab w:val="right" w:pos="1400" w:leader="dot"/>
          <w:tab w:val="right" w:pos="10191" w:leader="dot"/>
        </w:tabs>
        <w:suppressAutoHyphens w:val="true"/>
        <w:ind w:left="280" w:hanging="0"/>
        <w:textAlignment w:val="baseline"/>
        <w:rPr>
          <w:rFonts w:cs="Calibri"/>
          <w:b/>
          <w:sz w:val="20"/>
          <w:szCs w:val="20"/>
        </w:rPr>
      </w:pPr>
      <w:r>
        <w:rPr>
          <w:b/>
          <w:sz w:val="24"/>
          <w:szCs w:val="24"/>
        </w:rPr>
        <w:t>2.1.1.</w:t>
      </w:r>
      <w:r>
        <w:rPr>
          <w:rFonts w:eastAsia="PMingLiU"/>
          <w:b/>
          <w:sz w:val="24"/>
          <w:szCs w:val="24"/>
        </w:rPr>
        <w:tab/>
      </w:r>
      <w:r>
        <w:rPr>
          <w:b/>
          <w:sz w:val="24"/>
          <w:szCs w:val="24"/>
        </w:rPr>
        <w:t>Перечень и объем закупаемой продукции</w:t>
        <w:tab/>
        <w:t>4</w:t>
      </w:r>
    </w:p>
    <w:p>
      <w:pPr>
        <w:pStyle w:val="Normal"/>
        <w:tabs>
          <w:tab w:val="clear" w:pos="708"/>
          <w:tab w:val="right" w:pos="9911" w:leader="dot"/>
        </w:tabs>
        <w:suppressAutoHyphens w:val="true"/>
        <w:spacing w:before="120" w:after="0"/>
        <w:textAlignment w:val="baseline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Таблица 1.1 Перечень и объем закупаемой продукции</w:t>
        <w:tab/>
        <w:t>4</w:t>
      </w:r>
    </w:p>
    <w:p>
      <w:pPr>
        <w:pStyle w:val="Normal"/>
        <w:tabs>
          <w:tab w:val="clear" w:pos="708"/>
          <w:tab w:val="right" w:pos="1400" w:leader="dot"/>
          <w:tab w:val="right" w:pos="10191" w:leader="dot"/>
        </w:tabs>
        <w:suppressAutoHyphens w:val="true"/>
        <w:ind w:left="280" w:hanging="0"/>
        <w:textAlignment w:val="baseline"/>
        <w:rPr>
          <w:rFonts w:cs="Calibri"/>
          <w:b/>
          <w:sz w:val="20"/>
          <w:szCs w:val="20"/>
        </w:rPr>
      </w:pPr>
      <w:r>
        <w:rPr>
          <w:b/>
          <w:sz w:val="24"/>
          <w:szCs w:val="24"/>
        </w:rPr>
        <w:t>2.1.2.</w:t>
      </w:r>
      <w:r>
        <w:rPr>
          <w:rFonts w:eastAsia="PMingLiU"/>
          <w:b/>
          <w:sz w:val="24"/>
          <w:szCs w:val="24"/>
        </w:rPr>
        <w:tab/>
      </w:r>
      <w:r>
        <w:rPr>
          <w:b/>
          <w:sz w:val="24"/>
          <w:szCs w:val="24"/>
        </w:rPr>
        <w:t>Требования к срокам поставки продукции и оказания сопутствующих услуг</w:t>
        <w:tab/>
        <w:t>4</w:t>
      </w:r>
    </w:p>
    <w:p>
      <w:pPr>
        <w:pStyle w:val="Normal"/>
        <w:tabs>
          <w:tab w:val="clear" w:pos="708"/>
          <w:tab w:val="right" w:pos="9911" w:leader="dot"/>
        </w:tabs>
        <w:suppressAutoHyphens w:val="true"/>
        <w:spacing w:before="120" w:after="0"/>
        <w:textAlignment w:val="baseline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Таблица 2.1 Требования по срокам поставки продукции</w:t>
        <w:tab/>
        <w:t>4</w:t>
      </w:r>
    </w:p>
    <w:p>
      <w:pPr>
        <w:pStyle w:val="Normal"/>
        <w:tabs>
          <w:tab w:val="clear" w:pos="708"/>
          <w:tab w:val="right" w:pos="1680" w:leader="dot"/>
          <w:tab w:val="right" w:pos="10471" w:leader="dot"/>
        </w:tabs>
        <w:suppressAutoHyphens w:val="true"/>
        <w:ind w:left="560" w:hanging="0"/>
        <w:textAlignment w:val="baseline"/>
        <w:rPr>
          <w:rFonts w:cs="Calibri"/>
          <w:b/>
          <w:sz w:val="20"/>
          <w:szCs w:val="20"/>
        </w:rPr>
      </w:pPr>
      <w:r>
        <w:rPr>
          <w:b/>
          <w:iCs/>
          <w:sz w:val="24"/>
          <w:szCs w:val="24"/>
        </w:rPr>
        <w:t>2.2.</w:t>
      </w:r>
      <w:r>
        <w:rPr>
          <w:rFonts w:eastAsia="PMingLiU"/>
          <w:b/>
          <w:sz w:val="24"/>
          <w:szCs w:val="24"/>
        </w:rPr>
        <w:tab/>
      </w:r>
      <w:r>
        <w:rPr>
          <w:b/>
          <w:sz w:val="24"/>
          <w:szCs w:val="24"/>
        </w:rPr>
        <w:t>Требования к качеству продукции</w:t>
        <w:tab/>
        <w:t>6</w:t>
      </w:r>
    </w:p>
    <w:p>
      <w:pPr>
        <w:pStyle w:val="Normal"/>
        <w:tabs>
          <w:tab w:val="clear" w:pos="708"/>
          <w:tab w:val="right" w:pos="9911" w:leader="dot"/>
        </w:tabs>
        <w:suppressAutoHyphens w:val="true"/>
        <w:spacing w:before="120" w:after="0"/>
        <w:textAlignment w:val="baseline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Таблица 3. Требования к продукции</w:t>
        <w:tab/>
        <w:t>6</w:t>
      </w:r>
    </w:p>
    <w:p>
      <w:pPr>
        <w:pStyle w:val="Normal"/>
        <w:tabs>
          <w:tab w:val="clear" w:pos="708"/>
          <w:tab w:val="right" w:pos="9689" w:leader="dot"/>
        </w:tabs>
        <w:suppressAutoHyphens w:val="true"/>
        <w:textAlignment w:val="baseline"/>
        <w:rPr>
          <w:b/>
          <w:color w:val="000000"/>
          <w:sz w:val="24"/>
          <w:szCs w:val="24"/>
        </w:rPr>
      </w:pPr>
      <w:r>
        <w:rPr>
          <w:rFonts w:eastAsia="PMingLiU"/>
          <w:b/>
          <w:sz w:val="24"/>
          <w:szCs w:val="24"/>
        </w:rPr>
        <w:t xml:space="preserve">3. </w:t>
      </w:r>
      <w:r>
        <w:rPr>
          <w:b/>
          <w:color w:val="000000"/>
          <w:sz w:val="24"/>
          <w:szCs w:val="24"/>
        </w:rPr>
        <w:t>Требования к документации по ценообразования на этапе закупки…………………………………………………………………………………………………9</w:t>
      </w:r>
    </w:p>
    <w:p>
      <w:pPr>
        <w:pStyle w:val="Normal"/>
        <w:tabs>
          <w:tab w:val="clear" w:pos="708"/>
          <w:tab w:val="right" w:pos="9689" w:leader="dot"/>
        </w:tabs>
        <w:suppressAutoHyphens w:val="true"/>
        <w:textAlignment w:val="baseline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4. 4.</w:t>
        <w:tab/>
        <w:t>Требования к документации по ценообразованию на этапе заключения (исполнения) договора………………………………………………………………………………………………  9</w:t>
      </w:r>
    </w:p>
    <w:p>
      <w:pPr>
        <w:pStyle w:val="Normal"/>
        <w:suppressAutoHyphens w:val="true"/>
        <w:spacing w:before="0" w:after="0"/>
        <w:ind w:left="720" w:hanging="720"/>
        <w:contextualSpacing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Приложение №1: Форма наряд-заказа……………………………………………………………10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3"/>
        </w:numPr>
        <w:rPr>
          <w:caps/>
        </w:rPr>
      </w:pPr>
      <w:bookmarkStart w:id="1" w:name="_Toc142578788"/>
      <w:r>
        <w:rPr/>
        <w:t>Общие сведения</w:t>
      </w:r>
      <w:bookmarkEnd w:id="1"/>
    </w:p>
    <w:p>
      <w:pPr>
        <w:pStyle w:val="Heading4"/>
        <w:numPr>
          <w:ilvl w:val="1"/>
          <w:numId w:val="3"/>
        </w:numPr>
        <w:rPr/>
      </w:pPr>
      <w:bookmarkStart w:id="2" w:name="_Toc142578789"/>
      <w:bookmarkStart w:id="3" w:name="_Toc46743505"/>
      <w:r>
        <w:rPr/>
        <w:t>Обозначения и сокращения</w:t>
      </w:r>
      <w:bookmarkEnd w:id="2"/>
      <w:bookmarkEnd w:id="3"/>
    </w:p>
    <w:p>
      <w:pPr>
        <w:pStyle w:val="Normal"/>
        <w:rPr>
          <w:rStyle w:val="Style8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4"/>
              <w:widowControl w:val="false"/>
              <w:numPr>
                <w:ilvl w:val="0"/>
                <w:numId w:val="0"/>
              </w:numPr>
              <w:spacing w:before="120" w:after="60"/>
              <w:ind w:left="0" w:hanging="0"/>
              <w:jc w:val="center"/>
              <w:rPr>
                <w:b w:val="false"/>
              </w:rPr>
            </w:pPr>
            <w:r>
              <w:rPr>
                <w:b w:val="false"/>
              </w:rPr>
              <w:t>ТС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4"/>
              <w:widowControl w:val="false"/>
              <w:numPr>
                <w:ilvl w:val="0"/>
                <w:numId w:val="0"/>
              </w:numPr>
              <w:spacing w:before="120" w:after="60"/>
              <w:ind w:left="0" w:hanging="0"/>
              <w:jc w:val="center"/>
              <w:rPr>
                <w:b w:val="false"/>
              </w:rPr>
            </w:pPr>
            <w:r>
              <w:rPr>
                <w:b w:val="false"/>
              </w:rPr>
              <w:t>Транспортное средство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4"/>
              <w:widowControl w:val="false"/>
              <w:numPr>
                <w:ilvl w:val="0"/>
                <w:numId w:val="0"/>
              </w:numPr>
              <w:spacing w:before="120" w:after="60"/>
              <w:ind w:left="0" w:hanging="0"/>
              <w:jc w:val="center"/>
              <w:rPr>
                <w:b w:val="false"/>
              </w:rPr>
            </w:pPr>
            <w:r>
              <w:rPr>
                <w:b w:val="false"/>
              </w:rPr>
              <w:t>Спец.</w:t>
            </w:r>
            <w:r>
              <w:rPr>
                <w:b w:val="false"/>
                <w:lang w:val="ru-RU"/>
              </w:rPr>
              <w:t xml:space="preserve"> </w:t>
            </w:r>
            <w:r>
              <w:rPr>
                <w:b w:val="false"/>
              </w:rPr>
              <w:t>техника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4"/>
              <w:widowControl w:val="false"/>
              <w:numPr>
                <w:ilvl w:val="0"/>
                <w:numId w:val="0"/>
              </w:numPr>
              <w:spacing w:before="120" w:after="60"/>
              <w:ind w:left="0" w:hanging="0"/>
              <w:jc w:val="center"/>
              <w:rPr>
                <w:b w:val="false"/>
              </w:rPr>
            </w:pPr>
            <w:r>
              <w:rPr>
                <w:b w:val="false"/>
              </w:rPr>
              <w:t>Специальная техника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bookmarkStart w:id="4" w:name="_Toc46743506"/>
      <w:bookmarkStart w:id="5" w:name="_Toc46743506"/>
      <w:r>
        <w:br w:type="page"/>
      </w:r>
    </w:p>
    <w:p>
      <w:pPr>
        <w:pStyle w:val="Heading4"/>
        <w:numPr>
          <w:ilvl w:val="1"/>
          <w:numId w:val="3"/>
        </w:numPr>
        <w:rPr/>
      </w:pPr>
      <w:bookmarkStart w:id="6" w:name="_Toc46743506"/>
      <w:bookmarkStart w:id="7" w:name="_Toc142578790"/>
      <w:r>
        <w:rPr/>
        <w:t>Наименование закупаемой продукции</w:t>
      </w:r>
      <w:bookmarkEnd w:id="6"/>
      <w:bookmarkEnd w:id="7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bCs/>
          <w:sz w:val="24"/>
          <w:szCs w:val="24"/>
        </w:rPr>
      </w:pPr>
      <w:bookmarkStart w:id="8" w:name="_Toc46743507"/>
      <w:r>
        <w:rPr>
          <w:rFonts w:eastAsia="Calibri"/>
          <w:sz w:val="24"/>
          <w:szCs w:val="24"/>
        </w:rPr>
        <w:t>ОКПД 2: 45.20.11.500 Услуги по техническому обслуживанию и текущему ремонту мульчер Prinoth RAPTOR 300 для нужд Камчатского филиала АО «ТК РусГидро»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9" w:name="_Toc46743507"/>
      <w:bookmarkStart w:id="10" w:name="_Toc142578791"/>
      <w:r>
        <w:rPr/>
        <w:t xml:space="preserve">Цель </w:t>
      </w:r>
      <w:bookmarkEnd w:id="9"/>
      <w:r>
        <w:rPr>
          <w:lang w:val="ru-RU"/>
        </w:rPr>
        <w:t>оказания услуг</w:t>
      </w:r>
      <w:bookmarkEnd w:id="10"/>
      <w:r>
        <w:rPr/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jc w:val="both"/>
        <w:rPr>
          <w:rStyle w:val="Style8"/>
          <w:b w:val="false"/>
          <w:bCs/>
          <w:sz w:val="24"/>
          <w:szCs w:val="24"/>
        </w:rPr>
      </w:pPr>
      <w:r>
        <w:rPr>
          <w:sz w:val="24"/>
          <w:szCs w:val="24"/>
        </w:rPr>
        <w:t xml:space="preserve">Целью оказания услуг является поддержание работоспособности мульчера </w:t>
      </w:r>
      <w:r>
        <w:rPr>
          <w:sz w:val="24"/>
          <w:szCs w:val="24"/>
          <w:lang w:val="en-US"/>
        </w:rPr>
        <w:t>Prinoth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Raptor</w:t>
      </w:r>
      <w:r>
        <w:rPr>
          <w:sz w:val="24"/>
          <w:szCs w:val="24"/>
        </w:rPr>
        <w:t xml:space="preserve"> 300 для его эксплуатации по назначению.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11" w:name="_Toc142578792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11"/>
    </w:p>
    <w:tbl>
      <w:tblPr>
        <w:tblW w:w="5000" w:type="pct"/>
        <w:jc w:val="left"/>
        <w:tblInd w:w="-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2"/>
        <w:gridCol w:w="2720"/>
        <w:gridCol w:w="2408"/>
        <w:gridCol w:w="3831"/>
      </w:tblGrid>
      <w:tr>
        <w:trPr>
          <w:trHeight w:val="2220" w:hRule="atLeast"/>
        </w:trPr>
        <w:tc>
          <w:tcPr>
            <w:tcW w:w="9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№ </w:t>
            </w:r>
            <w:r>
              <w:rPr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720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Наименование объекта</w:t>
            </w:r>
          </w:p>
        </w:tc>
        <w:tc>
          <w:tcPr>
            <w:tcW w:w="240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Расположение объекта</w:t>
            </w:r>
          </w:p>
          <w:p>
            <w:pPr>
              <w:pStyle w:val="Normal"/>
              <w:widowControl w:val="false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(место оказания услуг)</w:t>
            </w:r>
          </w:p>
        </w:tc>
        <w:tc>
          <w:tcPr>
            <w:tcW w:w="3831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Наименование основного средства</w:t>
            </w:r>
          </w:p>
          <w:p>
            <w:pPr>
              <w:pStyle w:val="Normal"/>
              <w:widowControl w:val="false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(в отношении которого оказываются услуги)</w:t>
            </w:r>
          </w:p>
        </w:tc>
      </w:tr>
      <w:tr>
        <w:trPr>
          <w:trHeight w:val="330" w:hRule="atLeast"/>
        </w:trPr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7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8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600" w:hRule="atLeast"/>
        </w:trPr>
        <w:tc>
          <w:tcPr>
            <w:tcW w:w="96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7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ОКПД 2: 45.20.11.500 Услуги по техническому обслуживанию и текущему ремонту мульчер Prinoth RAPTOR 300 для нужд Камчатского филиала АО «ТК РусГидро»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Камчатский край,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Петропавловск-Камчатский,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Солнечная, 16</w:t>
            </w:r>
          </w:p>
        </w:tc>
        <w:tc>
          <w:tcPr>
            <w:tcW w:w="3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Prinoth Raptor 300</w:t>
            </w:r>
          </w:p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/>
            </w:r>
          </w:p>
        </w:tc>
      </w:tr>
    </w:tbl>
    <w:p>
      <w:pPr>
        <w:pStyle w:val="Heading4"/>
        <w:numPr>
          <w:ilvl w:val="1"/>
          <w:numId w:val="3"/>
        </w:numPr>
        <w:rPr/>
      </w:pPr>
      <w:bookmarkStart w:id="12" w:name="_Toc143518125"/>
      <w:r>
        <w:rPr/>
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</w:r>
      <w:bookmarkEnd w:id="12"/>
    </w:p>
    <w:p>
      <w:pPr>
        <w:pStyle w:val="ListParagraph"/>
        <w:numPr>
          <w:ilvl w:val="0"/>
          <w:numId w:val="8"/>
        </w:numPr>
        <w:suppressAutoHyphens w:val="true"/>
        <w:jc w:val="both"/>
        <w:rPr/>
      </w:pPr>
      <w:r>
        <w:rPr/>
        <w:t>Оказание услуг по техническому обслуживанию и текущему ремонту мульчер Prinoth RAPTOR 300 заключается в выявлении и устранении возникших в процессе эксплуатации неисправностей путем замены или ремонта отдельных деталей агрегата, а также проведение комплекса мероприятий в рамках регламентного обслуживания узлов и агрегатов.</w:t>
      </w:r>
    </w:p>
    <w:p>
      <w:pPr>
        <w:pStyle w:val="ListParagraph"/>
        <w:numPr>
          <w:ilvl w:val="0"/>
          <w:numId w:val="8"/>
        </w:numPr>
        <w:suppressAutoHyphens w:val="true"/>
        <w:ind w:left="0" w:hanging="0"/>
        <w:jc w:val="both"/>
        <w:rPr/>
      </w:pPr>
      <w:r>
        <w:rPr/>
        <w:t>По заявке Заказчика Участник составляет предварительный заказ-наряд, с указанием стоимости работ (услуг) и материалов, копия которого направляется для рассмотрения представителю Заказчика. После рассмотрения заказ - наряда (дефектной ведомости) и утверждения Заказчиком, в адрес Исполнителя направляется информация о согласии или отказе от оказания услуг.</w:t>
      </w:r>
    </w:p>
    <w:p>
      <w:pPr>
        <w:pStyle w:val="ListParagraph"/>
        <w:numPr>
          <w:ilvl w:val="0"/>
          <w:numId w:val="8"/>
        </w:numPr>
        <w:suppressAutoHyphens w:val="true"/>
        <w:ind w:left="0" w:hanging="0"/>
        <w:jc w:val="both"/>
        <w:rPr/>
      </w:pPr>
      <w:r>
        <w:rPr/>
        <w:t>Услуги по текущему ремонту включает:</w:t>
      </w:r>
    </w:p>
    <w:p>
      <w:pPr>
        <w:pStyle w:val="ListParagraph"/>
        <w:ind w:left="900" w:hanging="0"/>
        <w:jc w:val="both"/>
        <w:rPr/>
      </w:pPr>
      <w:r>
        <w:rPr/>
        <w:t>- разборочно-сборочные, слесарные, сварочные и другие работы;</w:t>
      </w:r>
    </w:p>
    <w:p>
      <w:pPr>
        <w:pStyle w:val="ListParagraph"/>
        <w:ind w:left="900" w:hanging="0"/>
        <w:jc w:val="both"/>
        <w:rPr/>
      </w:pPr>
      <w:r>
        <w:rPr/>
        <w:t>- ремонт ходовой части (при необходимости);</w:t>
      </w:r>
    </w:p>
    <w:p>
      <w:pPr>
        <w:pStyle w:val="ListParagraph"/>
        <w:ind w:left="900" w:hanging="0"/>
        <w:jc w:val="both"/>
        <w:rPr/>
      </w:pPr>
      <w:r>
        <w:rPr/>
        <w:t>- ремонт агрегатов и/или их замена (при необходимости);</w:t>
      </w:r>
    </w:p>
    <w:p>
      <w:pPr>
        <w:pStyle w:val="ListParagraph"/>
        <w:ind w:left="900" w:hanging="0"/>
        <w:jc w:val="both"/>
        <w:rPr/>
      </w:pPr>
      <w:r>
        <w:rPr/>
        <w:t>- электромонтажные работы (при необходимости);</w:t>
      </w:r>
    </w:p>
    <w:p>
      <w:pPr>
        <w:pStyle w:val="ListParagraph"/>
        <w:ind w:left="900" w:hanging="0"/>
        <w:jc w:val="both"/>
        <w:rPr/>
      </w:pPr>
      <w:r>
        <w:rPr/>
        <w:t>- ремонт топливной аппаратуры (при необходимости);</w:t>
      </w:r>
    </w:p>
    <w:p>
      <w:pPr>
        <w:pStyle w:val="ListParagraph"/>
        <w:ind w:left="900" w:hanging="0"/>
        <w:jc w:val="both"/>
        <w:rPr/>
      </w:pPr>
      <w:r>
        <w:rPr/>
        <w:t>- диагностические работы (при необходимости);</w:t>
      </w:r>
    </w:p>
    <w:p>
      <w:pPr>
        <w:pStyle w:val="ListParagraph"/>
        <w:ind w:left="900" w:hanging="0"/>
        <w:jc w:val="both"/>
        <w:rPr/>
      </w:pPr>
      <w:r>
        <w:rPr/>
        <w:t>- иные работы связанные с процессом восстановления технической готовности транспортного средства.</w:t>
      </w:r>
    </w:p>
    <w:p>
      <w:pPr>
        <w:pStyle w:val="ListParagraph"/>
        <w:numPr>
          <w:ilvl w:val="0"/>
          <w:numId w:val="8"/>
        </w:numPr>
        <w:suppressAutoHyphens w:val="true"/>
        <w:ind w:left="0" w:hanging="0"/>
        <w:jc w:val="both"/>
        <w:rPr/>
      </w:pPr>
      <w:r>
        <w:rPr/>
        <w:t>В ходе оказания услуг Участник применяет расходные материалы и запасные части Заказчика, а также собственные запасные части и расходные материалы, при условии, что стоимость предоставляемых для ремонта запасных частей и расходных материалов не превышает стоимость розничной реализации у поставщиков в данном регионе и заранее согласовывается с Заказчиком при составлении заказ-наряда.</w:t>
      </w:r>
    </w:p>
    <w:p>
      <w:pPr>
        <w:pStyle w:val="ListParagraph"/>
        <w:numPr>
          <w:ilvl w:val="0"/>
          <w:numId w:val="8"/>
        </w:numPr>
        <w:suppressAutoHyphens w:val="true"/>
        <w:ind w:left="0" w:hanging="0"/>
        <w:jc w:val="both"/>
        <w:rPr/>
      </w:pPr>
      <w:r>
        <w:rPr/>
        <w:t>В стоимость услуг включаются все расходы Участника, связанные с их оказанием, в том числе командировочные расходы на расходные материалы и запасные части, проезд специалистов Участника к месту оказания услуг в г. Петропавловск-Камчатский и обратно, суточные, их проживание в регионе оказания услуг, оплату обязательных платежей (налоги, пошлины и т.п.), при этом итоговая стоимость услуг по каждой заявке заранее согласовывается с Заказчиком при составлении заказ-наряда.</w:t>
      </w:r>
    </w:p>
    <w:p>
      <w:pPr>
        <w:pStyle w:val="ListParagraph"/>
        <w:numPr>
          <w:ilvl w:val="0"/>
          <w:numId w:val="8"/>
        </w:numPr>
        <w:suppressAutoHyphens w:val="true"/>
        <w:ind w:left="0" w:hanging="0"/>
        <w:jc w:val="both"/>
        <w:rPr/>
      </w:pPr>
      <w:r>
        <w:rPr/>
        <w:t>Фактический объем услуг по договору определяется Заказчиком, исходя из его потребностей. Услуги выполняются на основании поданной Заказчиком заявки. В случае если в процессе выполнения услуг будут выявлены дополнительные дефекты, требующие устранения, такие работы могут выполняться только с согласия Заказчика.</w:t>
      </w:r>
    </w:p>
    <w:p>
      <w:pPr>
        <w:pStyle w:val="ListParagraph"/>
        <w:numPr>
          <w:ilvl w:val="0"/>
          <w:numId w:val="8"/>
        </w:numPr>
        <w:suppressAutoHyphens w:val="true"/>
        <w:ind w:left="0" w:hanging="0"/>
        <w:jc w:val="both"/>
        <w:rPr/>
      </w:pPr>
      <w:r>
        <w:rPr/>
        <w:t>Все расходные материалы, замененные в процессе проведения текущего ремонта транспортных средств Заказчика, переходят в собственность Исполнителя и утилизируются его силами.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jc w:val="both"/>
        <w:rPr>
          <w:rStyle w:val="Style8"/>
          <w:b w:val="false"/>
          <w:bCs/>
          <w:sz w:val="24"/>
          <w:szCs w:val="24"/>
        </w:rPr>
      </w:pPr>
      <w:r>
        <w:rPr>
          <w:b w:val="false"/>
          <w:bCs/>
          <w:sz w:val="24"/>
          <w:szCs w:val="24"/>
        </w:rPr>
      </w:r>
    </w:p>
    <w:p>
      <w:pPr>
        <w:pStyle w:val="Heading1"/>
        <w:numPr>
          <w:ilvl w:val="0"/>
          <w:numId w:val="3"/>
        </w:numPr>
        <w:rPr>
          <w:caps/>
          <w:lang w:val="ru-RU"/>
        </w:rPr>
      </w:pPr>
      <w:bookmarkStart w:id="13" w:name="_Toc46743510"/>
      <w:bookmarkStart w:id="14" w:name="_Toc142578793"/>
      <w:bookmarkStart w:id="15" w:name="_Toc51339693"/>
      <w:bookmarkStart w:id="16" w:name="_Toc50125126"/>
      <w:bookmarkEnd w:id="16"/>
      <w:r>
        <w:rPr>
          <w:lang w:val="ru-RU"/>
        </w:rPr>
        <w:t>Требования</w:t>
      </w:r>
      <w:r>
        <w:rPr/>
        <w:t xml:space="preserve"> к продукции</w:t>
      </w:r>
      <w:bookmarkEnd w:id="14"/>
      <w:bookmarkEnd w:id="15"/>
    </w:p>
    <w:p>
      <w:pPr>
        <w:pStyle w:val="Heading4"/>
        <w:numPr>
          <w:ilvl w:val="1"/>
          <w:numId w:val="3"/>
        </w:numPr>
        <w:rPr/>
      </w:pPr>
      <w:bookmarkStart w:id="17" w:name="_Toc142578794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17"/>
    </w:p>
    <w:p>
      <w:pPr>
        <w:pStyle w:val="Heading3"/>
        <w:numPr>
          <w:ilvl w:val="2"/>
          <w:numId w:val="3"/>
        </w:numPr>
        <w:rPr/>
      </w:pPr>
      <w:bookmarkStart w:id="18" w:name="_Toc142578795"/>
      <w:r>
        <w:rPr>
          <w:lang w:val="ru-RU"/>
        </w:rPr>
        <w:t>Требования к перечню и объему услуг</w:t>
      </w:r>
      <w:bookmarkEnd w:id="18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19" w:name="_Toc142578796"/>
      <w:bookmarkStart w:id="20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0"/>
      <w:r>
        <w:rPr>
          <w:sz w:val="24"/>
          <w:szCs w:val="24"/>
          <w:lang w:val="ru-RU"/>
        </w:rPr>
        <w:t>и объем оказываемых услуг</w:t>
      </w:r>
      <w:bookmarkEnd w:id="19"/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60"/>
        <w:gridCol w:w="5554"/>
        <w:gridCol w:w="1845"/>
        <w:gridCol w:w="1661"/>
      </w:tblGrid>
      <w:tr>
        <w:trPr/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(товары / работы / услуги), являющейся предметом закупки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Количество*</w:t>
            </w:r>
          </w:p>
        </w:tc>
      </w:tr>
      <w:tr>
        <w:trPr/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/>
            </w:pPr>
            <w:r>
              <w:rPr/>
            </w:r>
          </w:p>
        </w:tc>
        <w:tc>
          <w:tcPr>
            <w:tcW w:w="55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rPr>
                <w:b/>
                <w:i/>
                <w:i/>
                <w:sz w:val="24"/>
                <w:szCs w:val="24"/>
              </w:rPr>
            </w:pPr>
            <w:r>
              <w:rPr>
                <w:sz w:val="22"/>
                <w:szCs w:val="22"/>
              </w:rPr>
              <w:t>ОКПД 2: 45.20.11.500 Услуги по техническому обслуживанию и текущему ремонту мульчер Prinoth RAPTOR 300 для нужд Камчатского филиала АО «ТК РусГидро»</w:t>
            </w:r>
          </w:p>
        </w:tc>
        <w:tc>
          <w:tcPr>
            <w:tcW w:w="184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Нормо-час</w:t>
            </w:r>
          </w:p>
        </w:tc>
        <w:tc>
          <w:tcPr>
            <w:tcW w:w="1661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* Количество плановое, может быть скорректировано исходя из производственных потребностей Заказчика в пределах общей цены договора.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jc w:val="both"/>
        <w:rPr>
          <w:rFonts w:eastAsia="Calibri"/>
          <w:sz w:val="22"/>
          <w:szCs w:val="24"/>
          <w:lang w:eastAsia="x-none"/>
        </w:rPr>
      </w:pPr>
      <w:r>
        <w:rPr>
          <w:rFonts w:eastAsia="Calibri"/>
          <w:sz w:val="22"/>
          <w:szCs w:val="24"/>
          <w:lang w:eastAsia="x-none"/>
        </w:rPr>
      </w:r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21" w:name="_Toc142578797"/>
      <w:bookmarkStart w:id="22" w:name="_Toc51339696"/>
      <w:r>
        <w:rPr>
          <w:lang w:val="ru-RU"/>
        </w:rPr>
        <w:t xml:space="preserve">Требования </w:t>
      </w:r>
      <w:bookmarkEnd w:id="22"/>
      <w:r>
        <w:rPr>
          <w:lang w:val="ru-RU"/>
        </w:rPr>
        <w:t>к срокам оказания услуг</w:t>
      </w:r>
      <w:bookmarkEnd w:id="21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23" w:name="_Toc50125126"/>
      <w:bookmarkStart w:id="24" w:name="_Toc142578798"/>
      <w:bookmarkStart w:id="25" w:name="_Toc51339697"/>
      <w:bookmarkStart w:id="26" w:name="_Toc50125127"/>
      <w:bookmarkEnd w:id="23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27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25"/>
      <w:bookmarkEnd w:id="26"/>
      <w:bookmarkEnd w:id="27"/>
      <w:r>
        <w:rPr>
          <w:sz w:val="24"/>
          <w:szCs w:val="24"/>
          <w:lang w:val="ru-RU"/>
        </w:rPr>
        <w:t>оказания услуг</w:t>
      </w:r>
      <w:bookmarkEnd w:id="24"/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45"/>
        <w:gridCol w:w="4242"/>
        <w:gridCol w:w="2128"/>
        <w:gridCol w:w="2405"/>
      </w:tblGrid>
      <w:tr>
        <w:trPr>
          <w:trHeight w:val="1354" w:hRule="atLeast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rPr/>
            </w:pPr>
            <w:r>
              <w:rPr/>
            </w: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 2: 45.20.11.500 Услуги по техническому обслуживанию и текущему ремонту мульчер Prinoth RAPTOR 300 для нужд Камчатского филиала АО «ТК РусГидро»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bookmarkStart w:id="28" w:name="_Toc46743510"/>
            <w:r>
              <w:rPr>
                <w:sz w:val="24"/>
                <w:szCs w:val="24"/>
              </w:rPr>
              <w:t>31.12.202</w:t>
            </w:r>
            <w:bookmarkEnd w:id="28"/>
            <w:r>
              <w:rPr>
                <w:sz w:val="24"/>
                <w:szCs w:val="24"/>
              </w:rPr>
              <w:t>7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29" w:name="_Toc51339698"/>
      <w:bookmarkStart w:id="30" w:name="_Toc142578799"/>
      <w:bookmarkStart w:id="31" w:name="_Toc46743511"/>
      <w:r>
        <w:rPr/>
        <w:t xml:space="preserve">Требования к </w:t>
      </w:r>
      <w:bookmarkEnd w:id="31"/>
      <w:r>
        <w:rPr>
          <w:lang w:val="ru-RU"/>
        </w:rPr>
        <w:t>качеству услуг</w:t>
      </w:r>
      <w:bookmarkEnd w:id="30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</w:rPr>
      </w:pPr>
      <w:bookmarkStart w:id="32" w:name="_Toc142578800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29"/>
      <w:r>
        <w:rPr>
          <w:sz w:val="24"/>
          <w:szCs w:val="24"/>
          <w:lang w:val="ru-RU"/>
        </w:rPr>
        <w:t>качеству услуг</w:t>
      </w:r>
      <w:bookmarkEnd w:id="32"/>
      <w:r>
        <w:rPr>
          <w:sz w:val="24"/>
          <w:szCs w:val="24"/>
        </w:rPr>
        <w:t xml:space="preserve"> </w:t>
      </w:r>
    </w:p>
    <w:p>
      <w:pPr>
        <w:pStyle w:val="Normal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услуг/этапа услуг (позиция №1 и №2 Таблицы 2): </w:t>
      </w:r>
      <w:r>
        <w:rPr>
          <w:sz w:val="24"/>
          <w:szCs w:val="24"/>
        </w:rPr>
        <w:t>ОКПД 2: 45.20.11.500 Услуги по техническому обслуживанию и текущему ремонту мульчер Prinoth RAPTOR 300 для нужд Камчатского филиала АО «ТК РусГидро»</w:t>
      </w:r>
    </w:p>
    <w:p>
      <w:pPr>
        <w:pStyle w:val="Normal"/>
        <w:rPr>
          <w:i/>
          <w:i/>
          <w:iCs/>
          <w:shd w:fill="FFFF99" w:val="clear"/>
        </w:rPr>
      </w:pPr>
      <w:r>
        <w:rPr>
          <w:i/>
          <w:iCs/>
          <w:shd w:fill="FFFF99" w:val="clear"/>
        </w:rPr>
      </w:r>
    </w:p>
    <w:tbl>
      <w:tblPr>
        <w:tblStyle w:val="39"/>
        <w:tblW w:w="15593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20"/>
        <w:gridCol w:w="2144"/>
        <w:gridCol w:w="7951"/>
        <w:gridCol w:w="2552"/>
        <w:gridCol w:w="2126"/>
      </w:tblGrid>
      <w:tr>
        <w:trPr>
          <w:trHeight w:val="542" w:hRule="atLeast"/>
        </w:trPr>
        <w:tc>
          <w:tcPr>
            <w:tcW w:w="82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14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795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467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542" w:hRule="atLeast"/>
        </w:trPr>
        <w:tc>
          <w:tcPr>
            <w:tcW w:w="82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95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>
          <w:trHeight w:val="271" w:hRule="atLeast"/>
        </w:trPr>
        <w:tc>
          <w:tcPr>
            <w:tcW w:w="8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33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33"/>
          </w:p>
        </w:tc>
        <w:tc>
          <w:tcPr>
            <w:tcW w:w="214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79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5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>
          <w:trHeight w:val="271" w:hRule="atLeast"/>
        </w:trPr>
        <w:tc>
          <w:tcPr>
            <w:tcW w:w="82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009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  <w:tc>
          <w:tcPr>
            <w:tcW w:w="255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spacing w:before="0" w:after="0"/>
              <w:jc w:val="left"/>
              <w:rPr>
                <w:i/>
                <w:i/>
                <w:sz w:val="36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0"/>
                <w:lang w:val="ru-RU" w:eastAsia="ru-RU" w:bidi="ar-SA"/>
              </w:rPr>
              <w:t>Участник должен предоставить в</w:t>
            </w:r>
          </w:p>
          <w:p>
            <w:pPr>
              <w:pStyle w:val="Normal"/>
              <w:widowControl w:val="false"/>
              <w:suppressAutoHyphens w:val="true"/>
              <w:overflowPunct w:val="true"/>
              <w:spacing w:before="0" w:after="0"/>
              <w:jc w:val="left"/>
              <w:rPr>
                <w:i/>
                <w:i/>
                <w:sz w:val="36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0"/>
                <w:lang w:val="ru-RU" w:eastAsia="ru-RU" w:bidi="ar-SA"/>
              </w:rPr>
              <w:t>заявке согласие выполнить работы, полностью соответствующие настоящим</w:t>
            </w:r>
          </w:p>
          <w:p>
            <w:pPr>
              <w:pStyle w:val="Normal"/>
              <w:widowControl w:val="false"/>
              <w:suppressAutoHyphens w:val="true"/>
              <w:overflowPunct w:val="true"/>
              <w:spacing w:before="0" w:after="0"/>
              <w:jc w:val="left"/>
              <w:rPr>
                <w:i/>
                <w:i/>
                <w:sz w:val="36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0"/>
                <w:lang w:val="ru-RU" w:eastAsia="ru-RU" w:bidi="ar-SA"/>
              </w:rPr>
              <w:t>техническим требованиям, по форме Технического предложения, установленной в</w:t>
            </w:r>
          </w:p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0"/>
                <w:lang w:val="ru-RU" w:eastAsia="ru-RU" w:bidi="ar-SA"/>
              </w:rPr>
              <w:t>Документации о закупке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</w:tr>
      <w:tr>
        <w:trPr>
          <w:trHeight w:val="271" w:hRule="atLeast"/>
        </w:trPr>
        <w:tc>
          <w:tcPr>
            <w:tcW w:w="82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9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009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Общие требования к оказанию услуг </w:t>
            </w:r>
          </w:p>
        </w:tc>
        <w:tc>
          <w:tcPr>
            <w:tcW w:w="2552" w:type="dxa"/>
            <w:vMerge w:val="continue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6" w:type="dxa"/>
            <w:vMerge w:val="restart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3313" w:hRule="atLeast"/>
        </w:trPr>
        <w:tc>
          <w:tcPr>
            <w:tcW w:w="82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2"/>
                <w:numId w:val="9"/>
              </w:numPr>
              <w:suppressAutoHyphens w:val="true"/>
              <w:spacing w:before="0" w:after="0"/>
              <w:ind w:left="1072"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4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79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Участник, оказывающий услуги по техническому обслуживанию и текущему ремонту транспортных средств, обязан обеспечивать их проведение в соответствии с установленными нормами и правилами процедур ремонта транспортных средств, установленными заводом-изготовителем и правилами оказания услуг (выполнения работ) по техническому обслуживанию и ремонту транспортных средств Российской Федерации Утвержденными Постановлением Правительства РФ от 11 апреля 2001 г. N 290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"Об утверждении Правил оказания услуг (выполнения работ) по техническому обслуживанию и ремонту автомототранспортных средств"</w:t>
            </w:r>
          </w:p>
        </w:tc>
        <w:tc>
          <w:tcPr>
            <w:tcW w:w="2552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557" w:hRule="atLeast"/>
        </w:trPr>
        <w:tc>
          <w:tcPr>
            <w:tcW w:w="82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2"/>
                <w:numId w:val="9"/>
              </w:numPr>
              <w:suppressAutoHyphens w:val="true"/>
              <w:spacing w:before="0" w:after="0"/>
              <w:ind w:left="1072"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4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Сохранность и комплектность ТС</w:t>
            </w:r>
          </w:p>
        </w:tc>
        <w:tc>
          <w:tcPr>
            <w:tcW w:w="79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Участник обязан обеспечить сохранность и комплектность транспортных средств Заказчика на период оказания Услуг.</w:t>
            </w:r>
          </w:p>
        </w:tc>
        <w:tc>
          <w:tcPr>
            <w:tcW w:w="2552" w:type="dxa"/>
            <w:vMerge w:val="continue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1370" w:hRule="atLeast"/>
        </w:trPr>
        <w:tc>
          <w:tcPr>
            <w:tcW w:w="82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2"/>
                <w:numId w:val="9"/>
              </w:numPr>
              <w:suppressAutoHyphens w:val="true"/>
              <w:spacing w:before="0" w:after="0"/>
              <w:ind w:left="1072"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4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ограничениям оказания услуг</w:t>
            </w:r>
          </w:p>
        </w:tc>
        <w:tc>
          <w:tcPr>
            <w:tcW w:w="79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Участник обязан извещать Заказчика о возникновении в ходе оказания Услуг новых обстоятельств технического состояния ремонтируемого транспортного средства, которые могут привести к снижению безопасности его эксплуатации</w:t>
            </w:r>
          </w:p>
        </w:tc>
        <w:tc>
          <w:tcPr>
            <w:tcW w:w="2552" w:type="dxa"/>
            <w:vMerge w:val="continue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214" w:hRule="atLeast"/>
        </w:trPr>
        <w:tc>
          <w:tcPr>
            <w:tcW w:w="8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1.1.4.</w:t>
            </w:r>
          </w:p>
        </w:tc>
        <w:tc>
          <w:tcPr>
            <w:tcW w:w="214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Соответствие нормативным документам после проведения работ</w:t>
            </w:r>
          </w:p>
        </w:tc>
        <w:tc>
          <w:tcPr>
            <w:tcW w:w="79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Транспортные средства после ремонта должны удовлетворять требованиям Федерального закона от 02.07.2021 N 297-ФЗ "О самоходных машинах и других видах техники", Технического Регламента Таможенного Союза ТР ТС 010/2011 «О безопасности машин и оборудования»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Утверждённого Решением Комиссии Таможенного союза от 18 октября 2011 года N 823</w:t>
            </w:r>
          </w:p>
        </w:tc>
        <w:tc>
          <w:tcPr>
            <w:tcW w:w="2552" w:type="dxa"/>
            <w:vMerge w:val="continue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733" w:hRule="atLeast"/>
        </w:trPr>
        <w:tc>
          <w:tcPr>
            <w:tcW w:w="8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1.1.5.</w:t>
            </w:r>
          </w:p>
        </w:tc>
        <w:tc>
          <w:tcPr>
            <w:tcW w:w="214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Предоставление расчёта трудозатрат.</w:t>
            </w:r>
          </w:p>
        </w:tc>
        <w:tc>
          <w:tcPr>
            <w:tcW w:w="79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 требованию заказчика Исполнитель должен предоставить позиционный расчет трудозатрат в нормо-часах на оказанные услуги по текущему ремонту транспортных средств с подтверждением норм трудозатрат в нормо-часах</w:t>
            </w:r>
          </w:p>
        </w:tc>
        <w:tc>
          <w:tcPr>
            <w:tcW w:w="2552" w:type="dxa"/>
            <w:vMerge w:val="continue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733" w:hRule="atLeast"/>
        </w:trPr>
        <w:tc>
          <w:tcPr>
            <w:tcW w:w="8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1.1.6.</w:t>
            </w:r>
          </w:p>
        </w:tc>
        <w:tc>
          <w:tcPr>
            <w:tcW w:w="214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Действия Исполнителя по утилизации отходов</w:t>
            </w:r>
          </w:p>
        </w:tc>
        <w:tc>
          <w:tcPr>
            <w:tcW w:w="79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Отходы, образовавшиеся в результате оказания Услуг являются собственностью Исполнителя. Исполнитель обязан собственными силами и за свой счет осуществлять деятельность по обращению с образовавшимися отходами в соответствии с действующим законодательством РФ.</w:t>
            </w:r>
          </w:p>
        </w:tc>
        <w:tc>
          <w:tcPr>
            <w:tcW w:w="2552" w:type="dxa"/>
            <w:vMerge w:val="continue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71" w:hRule="atLeast"/>
        </w:trPr>
        <w:tc>
          <w:tcPr>
            <w:tcW w:w="82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9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009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2552" w:type="dxa"/>
            <w:vMerge w:val="continue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557" w:hRule="atLeast"/>
        </w:trPr>
        <w:tc>
          <w:tcPr>
            <w:tcW w:w="8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1.2.1.</w:t>
            </w:r>
          </w:p>
        </w:tc>
        <w:tc>
          <w:tcPr>
            <w:tcW w:w="21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Начало оказание услуг</w:t>
            </w:r>
          </w:p>
        </w:tc>
        <w:tc>
          <w:tcPr>
            <w:tcW w:w="795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Услуги оказываются по заявкам в период с момента подписания договора.</w:t>
            </w:r>
          </w:p>
        </w:tc>
        <w:tc>
          <w:tcPr>
            <w:tcW w:w="255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813" w:hRule="atLeast"/>
        </w:trPr>
        <w:tc>
          <w:tcPr>
            <w:tcW w:w="8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1.2.2.</w:t>
            </w:r>
          </w:p>
        </w:tc>
        <w:tc>
          <w:tcPr>
            <w:tcW w:w="21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Сроки оказания услуг</w:t>
            </w:r>
          </w:p>
        </w:tc>
        <w:tc>
          <w:tcPr>
            <w:tcW w:w="795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Срок исполнения по конкретной заявке согласовываются сторонами в заказ-наряде, но не должен превышать 5 (пять) рабочих дней.</w:t>
            </w:r>
          </w:p>
        </w:tc>
        <w:tc>
          <w:tcPr>
            <w:tcW w:w="255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557" w:hRule="atLeast"/>
        </w:trPr>
        <w:tc>
          <w:tcPr>
            <w:tcW w:w="8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1.2.3</w:t>
            </w:r>
          </w:p>
        </w:tc>
        <w:tc>
          <w:tcPr>
            <w:tcW w:w="21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Качество оказания услуг</w:t>
            </w:r>
          </w:p>
        </w:tc>
        <w:tc>
          <w:tcPr>
            <w:tcW w:w="795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Качество оказанных Услуг должно соответствовать нормативно-технической и технологической документации по ремонту транспортных средств Заказчика</w:t>
            </w:r>
          </w:p>
        </w:tc>
        <w:tc>
          <w:tcPr>
            <w:tcW w:w="255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557" w:hRule="atLeast"/>
        </w:trPr>
        <w:tc>
          <w:tcPr>
            <w:tcW w:w="82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9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009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552" w:type="dxa"/>
            <w:vMerge w:val="continue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1656" w:hRule="atLeast"/>
        </w:trPr>
        <w:tc>
          <w:tcPr>
            <w:tcW w:w="8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1.3.1</w:t>
            </w:r>
          </w:p>
        </w:tc>
        <w:tc>
          <w:tcPr>
            <w:tcW w:w="214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Профессионализм рабочего персонала Исполнителя и качество используемого оборудования</w:t>
            </w:r>
          </w:p>
        </w:tc>
        <w:tc>
          <w:tcPr>
            <w:tcW w:w="79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Участник обязан оказать услуги в специально оборудованном (для выполнения данного вида работ) помещении, с надлежащей эффективностью и на высоком профессиональном уровне, с использованием современного, безопасного, эффективного оборудования, техники, инструментов, материалов и методов.</w:t>
            </w:r>
          </w:p>
        </w:tc>
        <w:tc>
          <w:tcPr>
            <w:tcW w:w="255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1583" w:hRule="atLeast"/>
        </w:trPr>
        <w:tc>
          <w:tcPr>
            <w:tcW w:w="8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1.3.2</w:t>
            </w:r>
          </w:p>
        </w:tc>
        <w:tc>
          <w:tcPr>
            <w:tcW w:w="214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Соответствие устанавливаемых запчастей требованиям ТБ и завода изготовителя</w:t>
            </w:r>
          </w:p>
        </w:tc>
        <w:tc>
          <w:tcPr>
            <w:tcW w:w="79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Участник обязан устанавливать на транспортные средства Заказчика только новые запасные части, в соответствии с каталожными номерами завода изготовителя. Запасные части, используемые Исполнителем, должны быть сертифицированы. Исполнитель по требованию Заказчика обязан предъявить сертификаты соответствия</w:t>
            </w:r>
          </w:p>
        </w:tc>
        <w:tc>
          <w:tcPr>
            <w:tcW w:w="255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557" w:hRule="atLeast"/>
        </w:trPr>
        <w:tc>
          <w:tcPr>
            <w:tcW w:w="8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1.4.</w:t>
            </w:r>
          </w:p>
        </w:tc>
        <w:tc>
          <w:tcPr>
            <w:tcW w:w="1009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гарантийным обязательствам оказываемых услуг</w:t>
            </w:r>
          </w:p>
        </w:tc>
        <w:tc>
          <w:tcPr>
            <w:tcW w:w="255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1656" w:hRule="atLeast"/>
        </w:trPr>
        <w:tc>
          <w:tcPr>
            <w:tcW w:w="8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1.4.1.</w:t>
            </w:r>
          </w:p>
        </w:tc>
        <w:tc>
          <w:tcPr>
            <w:tcW w:w="214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Сроки гарантийного обязательства</w:t>
            </w:r>
          </w:p>
        </w:tc>
        <w:tc>
          <w:tcPr>
            <w:tcW w:w="79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Гарантийные обязательства на оказанные Услуги должны составлять не менее 3 (Трёх) месяцев. Гарантийный срок на замененные в процессе обслуживания или ремонта детали и механизмы должен составлять не менее установленного заводом изготовителем.</w:t>
            </w:r>
          </w:p>
        </w:tc>
        <w:tc>
          <w:tcPr>
            <w:tcW w:w="255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Normal"/>
        <w:suppressAutoHyphens w:val="true"/>
        <w:spacing w:before="0" w:after="0"/>
        <w:ind w:firstLine="709"/>
        <w:contextualSpacing/>
        <w:jc w:val="both"/>
        <w:rPr>
          <w:rFonts w:eastAsia="Calibri"/>
          <w:b/>
          <w:sz w:val="24"/>
          <w:szCs w:val="24"/>
        </w:rPr>
      </w:pPr>
      <w:bookmarkStart w:id="34" w:name="_Toc51339699"/>
      <w:bookmarkStart w:id="35" w:name="_Toc46743519"/>
      <w:bookmarkEnd w:id="34"/>
      <w:bookmarkEnd w:id="35"/>
      <w:r>
        <w:rPr>
          <w:rFonts w:eastAsia="Calibri"/>
          <w:b/>
          <w:sz w:val="24"/>
          <w:szCs w:val="24"/>
        </w:rPr>
        <w:t>3. Требования к документации по ценообразованию на этапе закупки.</w:t>
      </w:r>
    </w:p>
    <w:p>
      <w:pPr>
        <w:pStyle w:val="Normal"/>
        <w:suppressAutoHyphens w:val="true"/>
        <w:spacing w:before="0" w:after="0"/>
        <w:ind w:firstLine="709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3.1.</w:t>
        <w:tab/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suppressAutoHyphens w:val="true"/>
        <w:spacing w:before="0" w:after="0"/>
        <w:ind w:firstLine="709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3.2.</w:t>
        <w:tab/>
        <w:t>Дополнительные документы по ценообразованию (сметная документация) в состав заявки Участника не включаются.</w:t>
      </w:r>
    </w:p>
    <w:p>
      <w:pPr>
        <w:pStyle w:val="Normal"/>
        <w:suppressAutoHyphens w:val="true"/>
        <w:spacing w:before="0" w:after="0"/>
        <w:ind w:firstLine="709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numPr>
          <w:ilvl w:val="0"/>
          <w:numId w:val="10"/>
        </w:numPr>
        <w:tabs>
          <w:tab w:val="clear" w:pos="708"/>
        </w:tabs>
        <w:suppressAutoHyphens w:val="true"/>
        <w:spacing w:before="60" w:after="60"/>
        <w:ind w:left="0" w:firstLine="709"/>
        <w:contextualSpacing/>
        <w:jc w:val="both"/>
        <w:rPr>
          <w:rFonts w:eastAsia="Calibri"/>
          <w:iCs/>
          <w:sz w:val="24"/>
          <w:szCs w:val="24"/>
          <w:lang w:eastAsia="x-none"/>
        </w:rPr>
      </w:pPr>
      <w:r>
        <w:rPr>
          <w:rFonts w:eastAsia="Calibri"/>
          <w:b/>
          <w:bCs/>
          <w:sz w:val="24"/>
          <w:szCs w:val="24"/>
          <w:lang w:eastAsia="x-none"/>
        </w:rPr>
        <w:t>Требования к документации по ценообразованию на этапе заключения (исполнения) договора.</w:t>
      </w:r>
    </w:p>
    <w:p>
      <w:pPr>
        <w:pStyle w:val="Normal"/>
        <w:numPr>
          <w:ilvl w:val="1"/>
          <w:numId w:val="10"/>
        </w:numPr>
        <w:suppressAutoHyphens w:val="true"/>
        <w:spacing w:before="60" w:after="60"/>
        <w:ind w:left="0" w:firstLine="709"/>
        <w:jc w:val="both"/>
        <w:rPr>
          <w:iCs/>
          <w:sz w:val="24"/>
          <w:szCs w:val="24"/>
          <w:lang w:eastAsia="x-none"/>
        </w:rPr>
      </w:pPr>
      <w:r>
        <w:rPr>
          <w:rFonts w:eastAsia="Calibri"/>
          <w:iCs/>
          <w:sz w:val="24"/>
          <w:szCs w:val="24"/>
          <w:lang w:val="x-none" w:eastAsia="x-none"/>
        </w:rPr>
        <w:t>Порядок формировани</w:t>
      </w:r>
      <w:r>
        <w:rPr>
          <w:iCs/>
          <w:sz w:val="24"/>
          <w:szCs w:val="24"/>
        </w:rPr>
        <w:t>я</w:t>
      </w:r>
      <w:r>
        <w:rPr>
          <w:rFonts w:eastAsia="Calibri"/>
          <w:iCs/>
          <w:sz w:val="24"/>
          <w:szCs w:val="24"/>
          <w:lang w:val="x-none" w:eastAsia="x-none"/>
        </w:rPr>
        <w:t xml:space="preserve"> </w:t>
      </w:r>
      <w:r>
        <w:rPr>
          <w:rFonts w:eastAsia="Calibri"/>
          <w:iCs/>
          <w:sz w:val="24"/>
          <w:szCs w:val="24"/>
          <w:lang w:eastAsia="x-none"/>
        </w:rPr>
        <w:t xml:space="preserve">на этапе исполнения договора </w:t>
      </w:r>
      <w:r>
        <w:rPr>
          <w:rFonts w:eastAsia="Calibri"/>
          <w:iCs/>
          <w:sz w:val="24"/>
          <w:szCs w:val="24"/>
          <w:lang w:val="x-none" w:eastAsia="x-none"/>
        </w:rPr>
        <w:t>стоимост</w:t>
      </w:r>
      <w:r>
        <w:rPr>
          <w:iCs/>
          <w:sz w:val="24"/>
          <w:szCs w:val="24"/>
        </w:rPr>
        <w:t>и</w:t>
      </w:r>
      <w:r>
        <w:rPr>
          <w:rFonts w:eastAsia="Calibri"/>
          <w:iCs/>
          <w:sz w:val="24"/>
          <w:szCs w:val="24"/>
          <w:lang w:val="x-none" w:eastAsia="x-none"/>
        </w:rPr>
        <w:t xml:space="preserve"> </w:t>
      </w:r>
      <w:r>
        <w:rPr>
          <w:rFonts w:eastAsia="Calibri"/>
          <w:iCs/>
          <w:sz w:val="24"/>
          <w:szCs w:val="24"/>
          <w:lang w:eastAsia="x-none"/>
        </w:rPr>
        <w:t>выполняемых услуг</w:t>
      </w:r>
      <w:r>
        <w:rPr>
          <w:rFonts w:eastAsia="Calibri"/>
          <w:iCs/>
          <w:sz w:val="24"/>
          <w:szCs w:val="24"/>
          <w:lang w:val="x-none" w:eastAsia="x-none"/>
        </w:rPr>
        <w:t xml:space="preserve"> </w:t>
      </w:r>
      <w:r>
        <w:rPr>
          <w:rFonts w:eastAsia="Calibri"/>
          <w:iCs/>
          <w:sz w:val="24"/>
          <w:szCs w:val="24"/>
          <w:lang w:eastAsia="x-none"/>
        </w:rPr>
        <w:t xml:space="preserve">по заявке Заказчика </w:t>
      </w:r>
      <w:r>
        <w:rPr>
          <w:iCs/>
          <w:sz w:val="24"/>
          <w:szCs w:val="24"/>
        </w:rPr>
        <w:t>установлен в Проекте договора.</w:t>
      </w:r>
    </w:p>
    <w:p>
      <w:pPr>
        <w:pStyle w:val="Normal"/>
        <w:rPr>
          <w:bCs/>
          <w:iCs/>
          <w:sz w:val="24"/>
          <w:szCs w:val="24"/>
          <w:lang w:eastAsia="x-none"/>
        </w:rPr>
      </w:pPr>
      <w:r>
        <w:rPr>
          <w:bCs/>
          <w:iCs/>
          <w:sz w:val="24"/>
          <w:szCs w:val="24"/>
          <w:lang w:eastAsia="x-none"/>
        </w:rPr>
      </w:r>
    </w:p>
    <w:p>
      <w:pPr>
        <w:pStyle w:val="Normal"/>
        <w:rPr>
          <w:bCs/>
          <w:iCs/>
          <w:sz w:val="24"/>
          <w:szCs w:val="24"/>
          <w:lang w:eastAsia="x-none"/>
        </w:rPr>
      </w:pPr>
      <w:r>
        <w:rPr>
          <w:bCs/>
          <w:iCs/>
          <w:sz w:val="24"/>
          <w:szCs w:val="24"/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Подготовил: </w:t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Руководитель ГКЭО и РТС</w:t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Камчатского филиала АО «ТК РусГидро»                                                       </w:t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  <w:bookmarkStart w:id="36" w:name="_Toc51339699"/>
      <w:bookmarkStart w:id="37" w:name="_Toc46743519"/>
      <w:bookmarkStart w:id="38" w:name="_Toc51339699"/>
      <w:bookmarkStart w:id="39" w:name="_Toc46743519"/>
      <w:bookmarkEnd w:id="38"/>
      <w:bookmarkEnd w:id="39"/>
    </w:p>
    <w:p>
      <w:pPr>
        <w:pStyle w:val="Normal"/>
        <w:spacing w:before="0" w:after="120"/>
        <w:jc w:val="both"/>
        <w:rPr>
          <w:i/>
          <w:i/>
          <w:iCs/>
          <w:sz w:val="24"/>
          <w:szCs w:val="24"/>
          <w:shd w:fill="FFFF99" w:val="clear"/>
        </w:rPr>
      </w:pPr>
      <w:r>
        <w:rPr>
          <w:i/>
          <w:iCs/>
          <w:sz w:val="24"/>
          <w:szCs w:val="24"/>
          <w:shd w:fill="FFFF99" w:val="clear"/>
        </w:rPr>
      </w:r>
    </w:p>
    <w:p>
      <w:pPr>
        <w:pStyle w:val="Normal"/>
        <w:spacing w:before="0" w:after="120"/>
        <w:jc w:val="both"/>
        <w:rPr>
          <w:i/>
          <w:i/>
          <w:iCs/>
          <w:sz w:val="24"/>
          <w:szCs w:val="24"/>
          <w:shd w:fill="FFFF99" w:val="clear"/>
        </w:rPr>
      </w:pPr>
      <w:r>
        <w:rPr>
          <w:i/>
          <w:iCs/>
          <w:sz w:val="24"/>
          <w:szCs w:val="24"/>
          <w:shd w:fill="FFFF99" w:val="clear"/>
        </w:rPr>
      </w:r>
    </w:p>
    <w:p>
      <w:pPr>
        <w:pStyle w:val="Normal"/>
        <w:spacing w:before="0" w:after="120"/>
        <w:jc w:val="both"/>
        <w:rPr>
          <w:i/>
          <w:i/>
          <w:iCs/>
          <w:sz w:val="24"/>
          <w:szCs w:val="24"/>
          <w:shd w:fill="FFFF99" w:val="clear"/>
        </w:rPr>
      </w:pPr>
      <w:r>
        <w:rPr>
          <w:i/>
          <w:iCs/>
          <w:sz w:val="24"/>
          <w:szCs w:val="24"/>
          <w:shd w:fill="FFFF99" w:val="clear"/>
        </w:rPr>
      </w:r>
    </w:p>
    <w:p>
      <w:pPr>
        <w:pStyle w:val="Normal"/>
        <w:spacing w:before="0" w:after="120"/>
        <w:jc w:val="both"/>
        <w:rPr>
          <w:i/>
          <w:i/>
          <w:iCs/>
          <w:sz w:val="24"/>
          <w:szCs w:val="24"/>
          <w:shd w:fill="FFFF99" w:val="clear"/>
        </w:rPr>
      </w:pPr>
      <w:r>
        <w:rPr>
          <w:i/>
          <w:iCs/>
          <w:sz w:val="24"/>
          <w:szCs w:val="24"/>
          <w:shd w:fill="FFFF99" w:val="clear"/>
        </w:rPr>
      </w:r>
    </w:p>
    <w:p>
      <w:pPr>
        <w:pStyle w:val="Normal"/>
        <w:spacing w:before="0" w:after="120"/>
        <w:jc w:val="both"/>
        <w:rPr>
          <w:i/>
          <w:i/>
          <w:iCs/>
          <w:sz w:val="24"/>
          <w:szCs w:val="24"/>
          <w:shd w:fill="FFFF99" w:val="clear"/>
        </w:rPr>
      </w:pPr>
      <w:r>
        <w:rPr>
          <w:i/>
          <w:iCs/>
          <w:sz w:val="24"/>
          <w:szCs w:val="24"/>
          <w:shd w:fill="FFFF99" w:val="clear"/>
        </w:rPr>
      </w:r>
    </w:p>
    <w:p>
      <w:pPr>
        <w:pStyle w:val="Normal"/>
        <w:spacing w:before="0" w:after="120"/>
        <w:jc w:val="both"/>
        <w:rPr>
          <w:i/>
          <w:i/>
          <w:iCs/>
          <w:sz w:val="24"/>
          <w:szCs w:val="24"/>
          <w:shd w:fill="FFFF99" w:val="clear"/>
        </w:rPr>
      </w:pPr>
      <w:r>
        <w:rPr>
          <w:i/>
          <w:iCs/>
          <w:sz w:val="24"/>
          <w:szCs w:val="24"/>
          <w:shd w:fill="FFFF99" w:val="clear"/>
        </w:rPr>
      </w:r>
    </w:p>
    <w:p>
      <w:pPr>
        <w:pStyle w:val="Normal"/>
        <w:spacing w:before="0" w:after="120"/>
        <w:jc w:val="both"/>
        <w:rPr>
          <w:i/>
          <w:i/>
          <w:iCs/>
          <w:sz w:val="24"/>
          <w:szCs w:val="24"/>
          <w:shd w:fill="FFFF99" w:val="clear"/>
        </w:rPr>
      </w:pPr>
      <w:r>
        <w:rPr>
          <w:i/>
          <w:iCs/>
          <w:sz w:val="24"/>
          <w:szCs w:val="24"/>
          <w:shd w:fill="FFFF99" w:val="clear"/>
        </w:rPr>
      </w:r>
    </w:p>
    <w:p>
      <w:pPr>
        <w:pStyle w:val="Normal"/>
        <w:spacing w:before="0" w:after="120"/>
        <w:jc w:val="both"/>
        <w:rPr>
          <w:i/>
          <w:i/>
          <w:iCs/>
          <w:sz w:val="24"/>
          <w:szCs w:val="24"/>
          <w:shd w:fill="FFFF99" w:val="clear"/>
        </w:rPr>
      </w:pPr>
      <w:r>
        <w:rPr>
          <w:i/>
          <w:iCs/>
          <w:sz w:val="24"/>
          <w:szCs w:val="24"/>
          <w:shd w:fill="FFFF99" w:val="clear"/>
        </w:rPr>
      </w:r>
    </w:p>
    <w:p>
      <w:pPr>
        <w:pStyle w:val="Normal"/>
        <w:spacing w:before="0" w:after="120"/>
        <w:jc w:val="both"/>
        <w:rPr>
          <w:i/>
          <w:i/>
          <w:iCs/>
          <w:sz w:val="24"/>
          <w:szCs w:val="24"/>
          <w:shd w:fill="FFFF99" w:val="clear"/>
        </w:rPr>
      </w:pPr>
      <w:r>
        <w:rPr>
          <w:i/>
          <w:iCs/>
          <w:sz w:val="24"/>
          <w:szCs w:val="24"/>
          <w:shd w:fill="FFFF99" w:val="clear"/>
        </w:rPr>
      </w:r>
    </w:p>
    <w:p>
      <w:pPr>
        <w:pStyle w:val="Normal"/>
        <w:spacing w:before="0" w:after="120"/>
        <w:jc w:val="both"/>
        <w:rPr>
          <w:i/>
          <w:i/>
          <w:iCs/>
          <w:sz w:val="24"/>
          <w:szCs w:val="24"/>
          <w:shd w:fill="FFFF99" w:val="clear"/>
        </w:rPr>
      </w:pPr>
      <w:r>
        <w:rPr>
          <w:i/>
          <w:iCs/>
          <w:sz w:val="24"/>
          <w:szCs w:val="24"/>
          <w:shd w:fill="FFFF99" w:val="clear"/>
        </w:rPr>
      </w:r>
    </w:p>
    <w:p>
      <w:pPr>
        <w:pStyle w:val="Normal"/>
        <w:spacing w:before="0" w:after="120"/>
        <w:jc w:val="both"/>
        <w:rPr>
          <w:i/>
          <w:i/>
          <w:iCs/>
          <w:sz w:val="24"/>
          <w:szCs w:val="24"/>
          <w:shd w:fill="FFFF99" w:val="clear"/>
        </w:rPr>
      </w:pPr>
      <w:r>
        <w:rPr>
          <w:i/>
          <w:iCs/>
          <w:sz w:val="24"/>
          <w:szCs w:val="24"/>
          <w:shd w:fill="FFFF99" w:val="clear"/>
        </w:rPr>
      </w:r>
    </w:p>
    <w:p>
      <w:pPr>
        <w:pStyle w:val="Normal"/>
        <w:spacing w:before="0" w:after="120"/>
        <w:jc w:val="both"/>
        <w:rPr>
          <w:i/>
          <w:i/>
          <w:iCs/>
          <w:sz w:val="24"/>
          <w:szCs w:val="24"/>
          <w:shd w:fill="FFFF99" w:val="clear"/>
        </w:rPr>
      </w:pPr>
      <w:r>
        <w:rPr>
          <w:i/>
          <w:iCs/>
          <w:sz w:val="24"/>
          <w:szCs w:val="24"/>
          <w:shd w:fill="FFFF99" w:val="clear"/>
        </w:rPr>
      </w:r>
    </w:p>
    <w:p>
      <w:pPr>
        <w:pStyle w:val="Normal"/>
        <w:spacing w:before="0" w:after="120"/>
        <w:jc w:val="both"/>
        <w:rPr>
          <w:i/>
          <w:i/>
          <w:iCs/>
          <w:sz w:val="24"/>
          <w:szCs w:val="24"/>
          <w:shd w:fill="FFFF99" w:val="clear"/>
        </w:rPr>
      </w:pPr>
      <w:r>
        <w:rPr>
          <w:i/>
          <w:iCs/>
          <w:sz w:val="24"/>
          <w:szCs w:val="24"/>
          <w:shd w:fill="FFFF99" w:val="clear"/>
        </w:rPr>
      </w:r>
    </w:p>
    <w:p>
      <w:pPr>
        <w:pStyle w:val="Normal"/>
        <w:spacing w:before="0" w:after="120"/>
        <w:jc w:val="both"/>
        <w:rPr>
          <w:i/>
          <w:i/>
          <w:iCs/>
          <w:sz w:val="24"/>
          <w:szCs w:val="24"/>
          <w:shd w:fill="FFFF99" w:val="clear"/>
        </w:rPr>
      </w:pPr>
      <w:r>
        <w:rPr>
          <w:i/>
          <w:iCs/>
          <w:sz w:val="24"/>
          <w:szCs w:val="24"/>
          <w:shd w:fill="FFFF99" w:val="clear"/>
        </w:rPr>
      </w:r>
    </w:p>
    <w:p>
      <w:pPr>
        <w:pStyle w:val="Normal"/>
        <w:spacing w:before="0" w:after="120"/>
        <w:jc w:val="both"/>
        <w:rPr>
          <w:i/>
          <w:i/>
          <w:iCs/>
          <w:sz w:val="24"/>
          <w:szCs w:val="24"/>
          <w:shd w:fill="FFFF99" w:val="clear"/>
        </w:rPr>
      </w:pPr>
      <w:r>
        <w:rPr>
          <w:i/>
          <w:iCs/>
          <w:sz w:val="24"/>
          <w:szCs w:val="24"/>
          <w:shd w:fill="FFFF99" w:val="clear"/>
        </w:rPr>
      </w:r>
    </w:p>
    <w:p>
      <w:pPr>
        <w:pStyle w:val="Normal"/>
        <w:spacing w:before="0" w:after="120"/>
        <w:jc w:val="both"/>
        <w:rPr>
          <w:i/>
          <w:i/>
          <w:iCs/>
          <w:sz w:val="24"/>
          <w:szCs w:val="24"/>
          <w:shd w:fill="FFFF99" w:val="clear"/>
        </w:rPr>
      </w:pPr>
      <w:r>
        <w:rPr>
          <w:i/>
          <w:iCs/>
          <w:sz w:val="24"/>
          <w:szCs w:val="24"/>
          <w:shd w:fill="FFFF99" w:val="clear"/>
        </w:rPr>
      </w:r>
    </w:p>
    <w:p>
      <w:pPr>
        <w:pStyle w:val="Normal"/>
        <w:spacing w:before="0" w:after="120"/>
        <w:jc w:val="both"/>
        <w:rPr>
          <w:i/>
          <w:i/>
          <w:iCs/>
          <w:sz w:val="24"/>
          <w:szCs w:val="24"/>
          <w:shd w:fill="FFFF99" w:val="clear"/>
        </w:rPr>
      </w:pPr>
      <w:r>
        <w:rPr>
          <w:i/>
          <w:iCs/>
          <w:sz w:val="24"/>
          <w:szCs w:val="24"/>
          <w:shd w:fill="FFFF99" w:val="clear"/>
        </w:rPr>
      </w:r>
    </w:p>
    <w:p>
      <w:pPr>
        <w:pStyle w:val="Normal"/>
        <w:spacing w:before="0" w:after="120"/>
        <w:jc w:val="both"/>
        <w:rPr>
          <w:i/>
          <w:i/>
          <w:iCs/>
          <w:sz w:val="24"/>
          <w:szCs w:val="24"/>
          <w:shd w:fill="FFFF99" w:val="clear"/>
        </w:rPr>
      </w:pPr>
      <w:r>
        <w:rPr>
          <w:i/>
          <w:iCs/>
          <w:sz w:val="24"/>
          <w:szCs w:val="24"/>
          <w:shd w:fill="FFFF99" w:val="clear"/>
        </w:rPr>
      </w:r>
    </w:p>
    <w:p>
      <w:pPr>
        <w:pStyle w:val="Normal"/>
        <w:spacing w:before="0" w:after="120"/>
        <w:jc w:val="both"/>
        <w:rPr>
          <w:i/>
          <w:i/>
          <w:iCs/>
          <w:sz w:val="24"/>
          <w:szCs w:val="24"/>
          <w:shd w:fill="FFFF99" w:val="clear"/>
        </w:rPr>
      </w:pPr>
      <w:r>
        <w:rPr>
          <w:i/>
          <w:iCs/>
          <w:sz w:val="24"/>
          <w:szCs w:val="24"/>
          <w:shd w:fill="FFFF99" w:val="clear"/>
        </w:rPr>
      </w:r>
    </w:p>
    <w:p>
      <w:pPr>
        <w:pStyle w:val="Normal"/>
        <w:spacing w:before="0" w:after="120"/>
        <w:jc w:val="both"/>
        <w:rPr>
          <w:i/>
          <w:i/>
          <w:iCs/>
          <w:sz w:val="24"/>
          <w:szCs w:val="24"/>
          <w:shd w:fill="FFFF99" w:val="clear"/>
        </w:rPr>
      </w:pPr>
      <w:r>
        <w:rPr>
          <w:i/>
          <w:iCs/>
          <w:sz w:val="24"/>
          <w:szCs w:val="24"/>
          <w:shd w:fill="FFFF99" w:val="clear"/>
        </w:rPr>
      </w:r>
    </w:p>
    <w:p>
      <w:pPr>
        <w:pStyle w:val="Normal"/>
        <w:spacing w:before="0" w:after="120"/>
        <w:jc w:val="both"/>
        <w:rPr>
          <w:i/>
          <w:i/>
          <w:iCs/>
          <w:sz w:val="24"/>
          <w:szCs w:val="24"/>
          <w:shd w:fill="FFFF99" w:val="clear"/>
        </w:rPr>
      </w:pPr>
      <w:r>
        <w:rPr/>
      </w:r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0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/>
    </w:lvl>
  </w:abstractNum>
  <w:abstractNum w:abstractNumId="8">
    <w:lvl w:ilvl="0">
      <w:start w:val="1"/>
      <w:numFmt w:val="decimal"/>
      <w:suff w:val="space"/>
      <w:lvlText w:val="1.4.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071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1"/>
      </w:num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0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8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basedOn w:val="DefaultParagraphFont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 Unicode MS"/>
    </w:rPr>
  </w:style>
  <w:style w:type="paragraph" w:styleId="Style16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7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8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0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1" w:customStyle="1">
    <w:name w:val="Раздел регламента"/>
    <w:basedOn w:val="Normal"/>
    <w:qFormat/>
    <w:rsid w:val="00e228fa"/>
    <w:pPr/>
    <w:rPr/>
  </w:style>
  <w:style w:type="paragraph" w:styleId="Style22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3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4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4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3" w:customStyle="1">
    <w:name w:val="List 3"/>
    <w:basedOn w:val="Normal"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5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6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7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8" w:customStyle="1">
    <w:name w:val="Подподпункт"/>
    <w:basedOn w:val="Style20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29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0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1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2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e">
    <w:name w:val="Сетка таблицы2"/>
    <w:basedOn w:val="a5"/>
    <w:uiPriority w:val="39"/>
    <w:rsid w:val="0060251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9">
    <w:name w:val="Сетка таблицы3"/>
    <w:basedOn w:val="a5"/>
    <w:uiPriority w:val="39"/>
    <w:rsid w:val="00777a6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F3C3E-EDCC-4A49-9D1F-0725A1A57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Application>AlterOffice/3.4.0.9$Linux_X86_64 LibreOffice_project/b8daf9e823b1a5463a2f48435ddc2e8696e7d4fc</Application>
  <AppVersion>15.0000</AppVersion>
  <Pages>9</Pages>
  <Words>1399</Words>
  <Characters>9600</Characters>
  <CharactersWithSpaces>10863</CharactersWithSpaces>
  <Paragraphs>178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2021-04-04T11:05:00Z</dcterms:created>
  <dc:creator>Быстров Олег Геннадьевич</dc:creator>
  <dc:description/>
  <dc:language>ru-RU</dc:language>
  <cp:lastModifiedBy>fedorovsa@corp.gidroogk.com</cp:lastModifiedBy>
  <cp:lastPrinted>2006-07-26T14:04:00Z</cp:lastPrinted>
  <dcterms:modified xsi:type="dcterms:W3CDTF">2026-08-20T11:38:08Z</dcterms:modified>
  <cp:revision>47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