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7"/>
        <w:keepNext w:val="true"/>
        <w:keepLines w:val="true"/>
        <w:pBdr/>
        <w:spacing/>
        <w:ind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/>
      </w:pPr>
      <w:r>
        <w:rPr>
          <w:rFonts w:eastAsia="Calibri"/>
          <w:b/>
          <w:sz w:val="26"/>
          <w:szCs w:val="26"/>
        </w:rPr>
        <w:t xml:space="preserve">Технические требования.</w:t>
      </w:r>
      <w:r/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37"/>
        <w:keepNext w:val="true"/>
        <w:keepLines w:val="true"/>
        <w:pBdr/>
        <w:spacing/>
        <w:ind/>
        <w:jc w:val="center"/>
        <w:rPr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О</w:t>
      </w:r>
      <w:r>
        <w:rPr>
          <w:b/>
          <w:bCs/>
          <w:sz w:val="26"/>
          <w:szCs w:val="26"/>
        </w:rPr>
        <w:t xml:space="preserve">КПД2 - 95.11.10.120. Восстановление картриджей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37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для копировально-множительной техники </w:t>
      </w:r>
      <w:r>
        <w:rPr>
          <w:b/>
          <w:bCs/>
          <w:sz w:val="26"/>
          <w:szCs w:val="26"/>
        </w:rPr>
        <w:t xml:space="preserve">с 2027 по 2028 год.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lang w:val="en-US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709" w:bottom="992" w:left="1134" w:header="680" w:footer="0" w:gutter="0"/>
          <w:cols w:num="1" w:sep="0" w:space="1701" w:equalWidth="1"/>
        </w:sect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/>
        <w:jc w:val="center"/>
        <w:rPr>
          <w:sz w:val="26"/>
          <w:szCs w:val="26"/>
        </w:rPr>
      </w:pPr>
      <w:r>
        <w:rPr>
          <w:b/>
        </w:rPr>
        <w:t xml:space="preserve">СОДЕРЖАНИЕ</w:t>
      </w:r>
      <w:r>
        <w:rPr>
          <w:sz w:val="26"/>
          <w:szCs w:val="26"/>
        </w:rPr>
      </w:r>
      <w:r>
        <w:rPr>
          <w:sz w:val="26"/>
          <w:szCs w:val="26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974"/>
            <w:pBdr/>
            <w:tabs>
              <w:tab w:val="left" w:leader="none" w:pos="567"/>
              <w:tab w:val="clear" w:leader="none" w:pos="708"/>
              <w:tab w:val="right" w:leader="dot" w:pos="10030"/>
            </w:tabs>
            <w:spacing/>
            <w:ind/>
            <w:rPr>
              <w:rFonts w:ascii="Calibri" w:hAnsi="Calibri"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961"/>
              <w:vanish w:val="0"/>
            </w:rPr>
            <w:instrText xml:space="preserve"> TOC \z \o "1-4" \u \h</w:instrText>
          </w:r>
          <w:r>
            <w:rPr>
              <w:rStyle w:val="961"/>
              <w:vanish w:val="0"/>
            </w:rPr>
            <w:fldChar w:fldCharType="separate"/>
          </w:r>
          <w:hyperlink w:tooltip="#_Toc155972253" w:anchor="_Toc155972253" w:history="1">
            <w:r>
              <w:rPr>
                <w:rStyle w:val="961"/>
                <w:vanish w:val="0"/>
              </w:rPr>
              <w:t xml:space="preserve">1.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Общие сведения</w:t>
            </w:r>
            <w:r>
              <w:fldChar w:fldCharType="begin"/>
            </w:r>
            <w:r>
              <w:instrText xml:space="preserve">PAGEREF _Toc155972253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b w:val="0"/>
              <w:bCs w:val="0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b w:val="0"/>
              <w:bCs w:val="0"/>
              <w:sz w:val="22"/>
              <w:szCs w:val="22"/>
            </w:rPr>
          </w:r>
        </w:p>
        <w:p>
          <w:pPr>
            <w:pStyle w:val="976"/>
            <w:pBdr/>
            <w:tabs>
              <w:tab w:val="clear" w:leader="none" w:pos="708"/>
              <w:tab w:val="left" w:leader="none" w:pos="1100"/>
              <w:tab w:val="right" w:leader="dot" w:pos="10030"/>
            </w:tabs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54" w:anchor="_Toc155972254" w:history="1">
            <w:r>
              <w:rPr>
                <w:rStyle w:val="961"/>
                <w:iCs/>
                <w:vanish w:val="0"/>
              </w:rPr>
              <w:t xml:space="preserve">1.1.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Наименование объекта, место выполнения работ</w:t>
            </w:r>
            <w:r>
              <w:fldChar w:fldCharType="begin"/>
            </w:r>
            <w:r>
              <w:instrText xml:space="preserve">PAGEREF _Toc155972254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976"/>
            <w:pBdr/>
            <w:tabs>
              <w:tab w:val="clear" w:leader="none" w:pos="708"/>
              <w:tab w:val="left" w:leader="none" w:pos="1100"/>
              <w:tab w:val="right" w:leader="dot" w:pos="10030"/>
            </w:tabs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55" w:anchor="_Toc155972255" w:history="1">
            <w:r>
              <w:rPr>
                <w:rStyle w:val="961"/>
                <w:iCs/>
                <w:vanish w:val="0"/>
              </w:rPr>
              <w:t xml:space="preserve">1.2.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Цель использования закупаемой услуги.</w:t>
            </w:r>
            <w:r>
              <w:fldChar w:fldCharType="begin"/>
            </w:r>
            <w:r>
              <w:instrText xml:space="preserve">PAGEREF _Toc155972255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974"/>
            <w:pBdr/>
            <w:tabs>
              <w:tab w:val="left" w:leader="none" w:pos="567"/>
              <w:tab w:val="clear" w:leader="none" w:pos="708"/>
              <w:tab w:val="right" w:leader="dot" w:pos="10030"/>
            </w:tabs>
            <w:spacing/>
            <w:ind/>
            <w:rPr>
              <w:rFonts w:ascii="Calibri" w:hAnsi="Calibri"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r/>
          <w:hyperlink w:tooltip="#_Toc155972256" w:anchor="_Toc155972256" w:history="1">
            <w:r>
              <w:rPr>
                <w:rStyle w:val="961"/>
                <w:vanish w:val="0"/>
              </w:rPr>
              <w:t xml:space="preserve">2.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Требования заказчика</w:t>
            </w:r>
            <w:r>
              <w:fldChar w:fldCharType="begin"/>
            </w:r>
            <w:r>
              <w:instrText xml:space="preserve">PAGEREF _Toc155972256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b w:val="0"/>
              <w:bCs w:val="0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b w:val="0"/>
              <w:bCs w:val="0"/>
              <w:sz w:val="22"/>
              <w:szCs w:val="22"/>
            </w:rPr>
          </w:r>
        </w:p>
        <w:p>
          <w:pPr>
            <w:pStyle w:val="975"/>
            <w:pBdr/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57" w:anchor="_Toc155972257" w:history="1">
            <w:r>
              <w:rPr>
                <w:rStyle w:val="961"/>
                <w:bCs/>
                <w:iCs/>
                <w:vanish w:val="0"/>
              </w:rPr>
              <w:t xml:space="preserve">2.1.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Требования к объемам и срокам выполнения работ</w:t>
            </w:r>
            <w:r>
              <w:fldChar w:fldCharType="begin"/>
            </w:r>
            <w:r>
              <w:instrText xml:space="preserve">PAGEREF _Toc155972257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975"/>
            <w:pBdr/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58" w:anchor="_Toc155972258" w:history="1">
            <w:r>
              <w:rPr>
                <w:rStyle w:val="961"/>
                <w:vanish w:val="0"/>
                <w:lang w:val="en-US"/>
              </w:rPr>
              <w:t xml:space="preserve">2.1.1.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Перечень и объем выполняемых работ</w:t>
            </w:r>
            <w:r>
              <w:fldChar w:fldCharType="begin"/>
            </w:r>
            <w:r>
              <w:instrText xml:space="preserve">PAGEREF _Toc155972258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975"/>
            <w:pBdr/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59" w:anchor="_Toc155972259" w:history="1">
            <w:r>
              <w:fldChar w:fldCharType="begin"/>
            </w:r>
            <w:r>
              <w:instrText xml:space="preserve">PAGEREF _Toc155972259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 xml:space="preserve">Таблица 1. Перечень и объем выполняемых работ</w:t>
              <w:tab/>
              <w:t xml:space="preserve">3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975"/>
            <w:pBdr/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60" w:anchor="_Toc155972260" w:history="1">
            <w:r>
              <w:rPr>
                <w:rStyle w:val="961"/>
                <w:bCs/>
                <w:iCs/>
                <w:vanish w:val="0"/>
              </w:rPr>
              <w:t xml:space="preserve">2.2.</w:t>
            </w:r>
            <w:r>
              <w:rPr>
                <w:rStyle w:val="961"/>
                <w:rFonts w:ascii="Calibri" w:hAnsi="Calibri" w:asciiTheme="minorHAnsi" w:hAnsiTheme="minorHAnsi" w:eastAsiaTheme="minorEastAsia" w:cstheme="minorBidi"/>
                <w:sz w:val="22"/>
                <w:szCs w:val="22"/>
              </w:rPr>
              <w:tab/>
            </w:r>
            <w:r>
              <w:rPr>
                <w:rStyle w:val="961"/>
              </w:rPr>
              <w:t xml:space="preserve">Требования к объемам и срокам выполнения работ</w:t>
            </w:r>
            <w:r>
              <w:fldChar w:fldCharType="begin"/>
            </w:r>
            <w:r>
              <w:instrText xml:space="preserve">PAGEREF _Toc155972260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ab/>
              <w:t xml:space="preserve">6</w:t>
            </w:r>
            <w:r>
              <w:fldChar w:fldCharType="end"/>
            </w:r>
          </w:hyperlink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975"/>
            <w:pBdr/>
            <w:spacing/>
            <w:ind/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pPr>
          <w:r/>
          <w:hyperlink w:tooltip="#_Toc155972261" w:anchor="_Toc155972261" w:history="1">
            <w:r>
              <w:fldChar w:fldCharType="begin"/>
            </w:r>
            <w:r>
              <w:instrText xml:space="preserve">PAGEREF _Toc155972261 \h</w:instrText>
            </w:r>
            <w:r>
              <w:fldChar w:fldCharType="separate"/>
            </w:r>
            <w:r>
              <w:rPr>
                <w:rStyle w:val="961"/>
                <w:vanish w:val="0"/>
              </w:rPr>
              <w:t xml:space="preserve">Таблица 2. Требования к качеству выполняемых работ</w:t>
              <w:tab/>
              <w:t xml:space="preserve">6</w:t>
            </w:r>
            <w:r>
              <w:fldChar w:fldCharType="end"/>
            </w:r>
          </w:hyperlink>
          <w:r>
            <w:rPr>
              <w:rStyle w:val="961"/>
              <w:vanish w:val="0"/>
            </w:rPr>
            <w:fldChar w:fldCharType="end"/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="Calibri" w:hAnsi="Calibri" w:asciiTheme="minorHAnsi" w:hAnsiTheme="minorHAnsi" w:eastAsiaTheme="minorEastAsia" w:cstheme="minorBidi"/>
              <w:sz w:val="22"/>
              <w:szCs w:val="22"/>
            </w:rPr>
          </w:r>
        </w:p>
      </w:sdtContent>
    </w:sdt>
    <w:p>
      <w:pPr>
        <w:pStyle w:val="974"/>
        <w:pBdr/>
        <w:tabs>
          <w:tab w:val="clear" w:leader="none" w:pos="708"/>
          <w:tab w:val="right" w:leader="dot" w:pos="10053"/>
        </w:tabs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9"/>
        <w:pBdr/>
        <w:spacing/>
        <w:ind/>
        <w:rPr/>
      </w:pPr>
      <w:r/>
      <w:r/>
    </w:p>
    <w:p>
      <w:pPr>
        <w:pStyle w:val="937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  <w:r>
        <w:rPr>
          <w:rFonts w:eastAsia="Calibri"/>
          <w:b/>
          <w:i/>
          <w:sz w:val="24"/>
          <w:szCs w:val="24"/>
        </w:rPr>
      </w:r>
    </w:p>
    <w:p>
      <w:pPr>
        <w:pStyle w:val="938"/>
        <w:keepNext w:val="true"/>
        <w:widowControl w:val="true"/>
        <w:numPr>
          <w:ilvl w:val="0"/>
          <w:numId w:val="1"/>
        </w:numPr>
        <w:pBdr/>
        <w:bidi w:val="false"/>
        <w:spacing w:after="60" w:before="240"/>
        <w:ind w:right="0" w:hanging="340" w:left="3458"/>
        <w:jc w:val="left"/>
        <w:rPr/>
      </w:pPr>
      <w:r/>
      <w:bookmarkStart w:id="0" w:name="_Toc51339692"/>
      <w:r/>
      <w:bookmarkStart w:id="1" w:name="_Toc155972253"/>
      <w:r>
        <w:t xml:space="preserve">Общие сведения</w:t>
      </w:r>
      <w:bookmarkEnd w:id="0"/>
      <w:r/>
      <w:bookmarkEnd w:id="1"/>
      <w:r/>
      <w:r/>
    </w:p>
    <w:p>
      <w:pPr>
        <w:pStyle w:val="941"/>
        <w:numPr>
          <w:ilvl w:val="1"/>
          <w:numId w:val="1"/>
        </w:numPr>
        <w:pBdr/>
        <w:spacing/>
        <w:ind/>
        <w:rPr/>
      </w:pPr>
      <w:r/>
      <w:bookmarkStart w:id="2" w:name="_Toc155972254"/>
      <w:r/>
      <w:bookmarkStart w:id="3" w:name="_Toc46743505"/>
      <w:r>
        <w:t xml:space="preserve">Наименование объекта, место выполнения работ</w:t>
      </w:r>
      <w:bookmarkEnd w:id="2"/>
      <w:r/>
      <w:bookmarkEnd w:id="3"/>
      <w:r/>
      <w:r/>
    </w:p>
    <w:p>
      <w:pPr>
        <w:pStyle w:val="937"/>
        <w:pBdr/>
        <w:spacing/>
        <w:ind w:firstLine="709"/>
        <w:jc w:val="both"/>
        <w:rPr/>
      </w:pPr>
      <w:r>
        <w:rPr>
          <w:sz w:val="24"/>
          <w:szCs w:val="24"/>
        </w:rPr>
        <w:t xml:space="preserve">Выполнение работ по восстановлению картриджей будет производится по адресу АО «Сахаэнерго», город Якутск, переулок Энергетиков, 2.</w:t>
      </w:r>
      <w:r/>
    </w:p>
    <w:p>
      <w:pPr>
        <w:pStyle w:val="941"/>
        <w:numPr>
          <w:ilvl w:val="1"/>
          <w:numId w:val="1"/>
        </w:numPr>
        <w:pBdr/>
        <w:spacing/>
        <w:ind/>
        <w:rPr/>
      </w:pPr>
      <w:r/>
      <w:bookmarkStart w:id="4" w:name="_Toc155972255"/>
      <w:r/>
      <w:bookmarkStart w:id="5" w:name="_Toc46743507"/>
      <w:r>
        <w:t xml:space="preserve">Цель </w:t>
      </w:r>
      <w:bookmarkEnd w:id="5"/>
      <w:r>
        <w:t xml:space="preserve">использования закупаемой услуги.</w:t>
      </w:r>
      <w:bookmarkEnd w:id="4"/>
      <w:r/>
      <w:r/>
    </w:p>
    <w:p>
      <w:pPr>
        <w:pStyle w:val="937"/>
        <w:pBdr/>
        <w:spacing/>
        <w:ind w:firstLine="709"/>
        <w:jc w:val="both"/>
        <w:rPr/>
      </w:pPr>
      <w:r>
        <w:rPr>
          <w:sz w:val="24"/>
          <w:szCs w:val="24"/>
        </w:rPr>
        <w:t xml:space="preserve">Восстановление картриджей копировально-множительной техники для их дальнейшего использования. </w:t>
      </w:r>
      <w:r/>
    </w:p>
    <w:p>
      <w:pPr>
        <w:pStyle w:val="938"/>
        <w:keepNext w:val="true"/>
        <w:widowControl w:val="true"/>
        <w:numPr>
          <w:ilvl w:val="0"/>
          <w:numId w:val="1"/>
        </w:numPr>
        <w:pBdr/>
        <w:bidi w:val="false"/>
        <w:spacing w:after="60" w:before="240"/>
        <w:ind w:right="0" w:hanging="340" w:left="3458"/>
        <w:jc w:val="left"/>
        <w:rPr/>
      </w:pPr>
      <w:r/>
      <w:bookmarkStart w:id="6" w:name="_Toc155972256"/>
      <w:r/>
      <w:bookmarkStart w:id="7" w:name="_Toc51339693"/>
      <w:r>
        <w:t xml:space="preserve">Требования </w:t>
      </w:r>
      <w:bookmarkEnd w:id="7"/>
      <w:r>
        <w:t xml:space="preserve">заказчика</w:t>
      </w:r>
      <w:bookmarkEnd w:id="6"/>
      <w:r/>
      <w:r/>
    </w:p>
    <w:p>
      <w:pPr>
        <w:pStyle w:val="940"/>
        <w:numPr>
          <w:ilvl w:val="1"/>
          <w:numId w:val="1"/>
        </w:numPr>
        <w:pBdr/>
        <w:spacing/>
        <w:ind/>
        <w:rPr/>
      </w:pPr>
      <w:r/>
      <w:bookmarkStart w:id="8" w:name="_Toc155972257"/>
      <w:r>
        <w:t xml:space="preserve">Требования к объемам и срокам </w:t>
      </w:r>
      <w:r>
        <w:rPr>
          <w:lang w:val="ru-RU"/>
        </w:rPr>
        <w:t xml:space="preserve">выполнения работ</w:t>
      </w:r>
      <w:bookmarkEnd w:id="8"/>
      <w:r/>
      <w:r/>
    </w:p>
    <w:p>
      <w:pPr>
        <w:pStyle w:val="940"/>
        <w:numPr>
          <w:ilvl w:val="2"/>
          <w:numId w:val="1"/>
        </w:numPr>
        <w:pBdr/>
        <w:spacing/>
        <w:ind/>
        <w:rPr>
          <w:lang w:val="en-US"/>
        </w:rPr>
      </w:pPr>
      <w:r/>
      <w:bookmarkStart w:id="9" w:name="_Toc155972258"/>
      <w:r>
        <w:t xml:space="preserve">Перечень и объем выполняемых работ</w:t>
      </w:r>
      <w:bookmarkEnd w:id="9"/>
      <w:r>
        <w:rPr>
          <w:lang w:val="en-US"/>
        </w:rPr>
      </w:r>
      <w:r>
        <w:rPr>
          <w:lang w:val="en-US"/>
        </w:rPr>
      </w:r>
    </w:p>
    <w:p>
      <w:pPr>
        <w:pStyle w:val="937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по мере необходимости в течение года партиями будет передавать на восстановление картриджи, указанных в Таблице 1. На основании заявки от Заказчика, сформированной с использован</w:t>
      </w:r>
      <w:r>
        <w:rPr>
          <w:sz w:val="24"/>
          <w:szCs w:val="24"/>
        </w:rPr>
        <w:t xml:space="preserve">ием телефонной связи, в течение 5(пяти) рабочих часов Участник должен направить в организацию Заказчика с 08:00 до 17:00 представителя участника, чтобы забрать картриджи для дальнейшего выполнения работ по восстановлению картриджей на территории Участника.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pBdr/>
        <w:spacing/>
        <w:ind/>
        <w:rPr/>
      </w:pPr>
      <w:r/>
      <w:bookmarkStart w:id="10" w:name="_Toc155972259"/>
      <w:r/>
      <w:bookmarkStart w:id="11" w:name="_Toc51339695"/>
      <w:r>
        <w:t xml:space="preserve">Таблица 1. Перечень </w:t>
      </w:r>
      <w:bookmarkEnd w:id="11"/>
      <w:r>
        <w:t xml:space="preserve">и объем выполняемых работ</w:t>
      </w:r>
      <w:bookmarkEnd w:id="10"/>
      <w:r/>
      <w:r/>
    </w:p>
    <w:p>
      <w:pPr>
        <w:pStyle w:val="937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9700" w:type="dxa"/>
        <w:tblInd w:w="-32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569"/>
        <w:gridCol w:w="6632"/>
        <w:gridCol w:w="958"/>
        <w:gridCol w:w="1540"/>
      </w:tblGrid>
      <w:tr>
        <w:trPr>
          <w:trHeight w:val="300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106R04348 для МФУ Xerox B205/B215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101R00664 DU для МФУ Xerox B205/B215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106R02778 для МФУ Xerox WC3225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101R00474 DU для МФУ Xerox WC3225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Exv40/719/05x для МФУ Canon 1133, Canon MF419x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CE 505A для МФУ HP LJ P2055/P2035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CE285a для МФУ HP LaserJet Pro P1102/1102w, M1132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TN-1075/1095 для МФУ Brother DCP-1510/DCP-1512/HL-1110/HL-1112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Cf259a/057 для МФУ Canon MF443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cf283a для МФУ HP LaserJet Pro M125,126,127,128,201,225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tn2375 для МФУ Brother DCP L2500, L2520, L2540, L2560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CF280X для МФУ HP LaserJet Pro 400 M425; M425dn; M425dw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MLT-D115 для МФУ Samsung Xpress M2620/ M2620D/ M2820/ M2820DW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5949x для МФУ HP LJ 1320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Q2612A/ Canon FX-10 для МФУ HP M1005/1010-1022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Q5949a/Q7553a для МФУ HP LJ1160/1320/3390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ce255x для МФУ HP LJ P3010/3015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106R03585 для МФУ Xerox VersaLink B400/B405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Pantum PC-211EV для МФУ Pantum M6607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226X/052H для МФУ HP LJ Pro M402/M426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MLT-205 для МФУ Samsung ML 3710; ML 3710 D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Drum EXV50 для МФУ Canon 1435if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106R03623 для МФУ Xerox Phaser 3330/WorkCentre 3335/3345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101R00555 DU для МФУ Xerox Phaser 3330/WorkCentre 3335/3345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TL-5120X для МФУ PANTUM5100ADN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Du DL5120 для МФУ Pantum BP5100/BM5100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EP-27 для МФУ CANON LBP 3200/ LB MF5630,5650,3110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C7115A/ C7115Х /ЕР-25 для МФУ HP LJ 1000(05)/1200(20)/3300(20)(30)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CB435A/ CB435S для МФУ HP LJ P1005/P1006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CE278A/ CE278S для МФУ HP LJ P1566/P1606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undefined" w:hAnsi="undefined" w:cs="undefined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>
              <w:rPr>
                <w:rFonts w:ascii="undefined" w:hAnsi="undefined" w:cs="undefined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undefined" w:hAnsi="undefined" w:cs="undefined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r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MLT-101 для МФУ SAMSUNG ML 2160/2165/SCX3400/3405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</w:tr>
      <w:tr>
        <w:trPr>
          <w:trHeight w:val="811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569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6632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картриджа MLT-104S для МФУ SAMSUNG M 1660/1665/SCX 3200/3205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93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0" w:type="dxa"/>
            <w:vAlign w:val="bottom"/>
            <w:textDirection w:val="lrTb"/>
            <w:noWrap w:val="false"/>
          </w:tcPr>
          <w:p>
            <w:pPr>
              <w:pStyle w:val="985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10"/>
          <w:headerReference w:type="even" r:id="rId11"/>
          <w:headerReference w:type="first" r:id="rId12"/>
          <w:footnotePr/>
          <w:endnotePr/>
          <w:type w:val="nextPage"/>
          <w:pgSz w:h="16838" w:orient="portrait" w:w="11906"/>
          <w:pgMar w:top="1134" w:right="732" w:bottom="992" w:left="1134" w:header="680" w:footer="0" w:gutter="0"/>
          <w:cols w:num="1" w:sep="0" w:space="1701" w:equalWidth="1"/>
        </w:sectPr>
      </w:pPr>
      <w:r/>
      <w:r/>
    </w:p>
    <w:p>
      <w:pPr>
        <w:pStyle w:val="940"/>
        <w:numPr>
          <w:ilvl w:val="1"/>
          <w:numId w:val="1"/>
        </w:numPr>
        <w:pBdr/>
        <w:spacing/>
        <w:ind/>
        <w:rPr/>
      </w:pPr>
      <w:r/>
      <w:bookmarkStart w:id="12" w:name="_Toc155972260"/>
      <w:r>
        <w:t xml:space="preserve">Требования к объемам и срокам </w:t>
      </w:r>
      <w:r>
        <w:rPr>
          <w:lang w:val="ru-RU"/>
        </w:rPr>
        <w:t xml:space="preserve">выполнения работ</w:t>
      </w:r>
      <w:bookmarkEnd w:id="12"/>
      <w:r/>
      <w:r/>
    </w:p>
    <w:p>
      <w:pPr>
        <w:pStyle w:val="940"/>
        <w:pBdr/>
        <w:spacing/>
        <w:ind/>
        <w:rPr/>
      </w:pPr>
      <w:r/>
      <w:bookmarkStart w:id="13" w:name="_Toc155972261"/>
      <w:r/>
      <w:bookmarkStart w:id="14" w:name="_Toc143591236"/>
      <w:r>
        <w:t xml:space="preserve">Таблица 2. Требования к качеству </w:t>
      </w:r>
      <w:bookmarkEnd w:id="14"/>
      <w:r>
        <w:t xml:space="preserve">выполняемых работ</w:t>
      </w:r>
      <w:bookmarkEnd w:id="13"/>
      <w:r>
        <w:t xml:space="preserve"> </w:t>
      </w:r>
      <w:r/>
    </w:p>
    <w:p>
      <w:pPr>
        <w:pStyle w:val="937"/>
        <w:pBdr/>
        <w:spacing/>
        <w:ind/>
        <w:rPr/>
      </w:pPr>
      <w:r>
        <w:rPr>
          <w:b/>
          <w:bCs/>
          <w:sz w:val="24"/>
          <w:szCs w:val="24"/>
        </w:rPr>
        <w:t xml:space="preserve">Наименование выполняемых работ:: Восстановление картриджей для копировально-множительной техники</w:t>
      </w:r>
      <w:r/>
    </w:p>
    <w:tbl>
      <w:tblPr>
        <w:tblStyle w:val="989"/>
        <w:tblW w:w="1516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9"/>
        <w:gridCol w:w="2271"/>
        <w:gridCol w:w="253"/>
        <w:gridCol w:w="5557"/>
        <w:gridCol w:w="29"/>
        <w:gridCol w:w="1672"/>
        <w:gridCol w:w="426"/>
        <w:gridCol w:w="27"/>
        <w:gridCol w:w="1957"/>
        <w:gridCol w:w="426"/>
        <w:gridCol w:w="27"/>
        <w:gridCol w:w="1673"/>
      </w:tblGrid>
      <w:tr>
        <w:trPr/>
        <w:tc>
          <w:tcPr>
            <w:tcBorders/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п/п</w:t>
            </w:r>
            <w:r/>
          </w:p>
        </w:tc>
        <w:tc>
          <w:tcPr>
            <w:tcBorders/>
            <w:tcW w:w="2271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Наименование параметра</w:t>
            </w:r>
            <w:r/>
          </w:p>
        </w:tc>
        <w:tc>
          <w:tcPr>
            <w:gridSpan w:val="2"/>
            <w:tcBorders/>
            <w:tcW w:w="5810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Требование заказчика</w:t>
            </w:r>
            <w:r/>
          </w:p>
        </w:tc>
        <w:tc>
          <w:tcPr>
            <w:gridSpan w:val="5"/>
            <w:tcBorders/>
            <w:tcW w:w="4111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Способ подтверждения участником соответствия требованиям</w:t>
            </w:r>
            <w:r/>
          </w:p>
        </w:tc>
        <w:tc>
          <w:tcPr>
            <w:gridSpan w:val="3"/>
            <w:tcBorders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Предложение участника по характеристикам и параметрам</w:t>
            </w:r>
            <w:r/>
          </w:p>
        </w:tc>
      </w:tr>
      <w:tr>
        <w:trPr/>
        <w:tc>
          <w:tcPr>
            <w:tcBorders/>
            <w:tcW w:w="849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71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5810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1701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Согласие с требованием/ указание характеристик</w:t>
            </w:r>
            <w:r/>
          </w:p>
        </w:tc>
        <w:tc>
          <w:tcPr>
            <w:gridSpan w:val="3"/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/>
          </w:p>
        </w:tc>
        <w:tc>
          <w:tcPr>
            <w:gridSpan w:val="3"/>
            <w:tcBorders/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/>
            <w:bookmarkStart w:id="15" w:name="_Toc53499667"/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1</w:t>
            </w:r>
            <w:bookmarkEnd w:id="15"/>
            <w:r/>
            <w:r/>
          </w:p>
        </w:tc>
        <w:tc>
          <w:tcPr>
            <w:tcBorders/>
            <w:tcW w:w="2271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2</w:t>
            </w:r>
            <w:r/>
          </w:p>
        </w:tc>
        <w:tc>
          <w:tcPr>
            <w:gridSpan w:val="2"/>
            <w:tcBorders/>
            <w:tcW w:w="5810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3</w:t>
            </w:r>
            <w:r/>
          </w:p>
        </w:tc>
        <w:tc>
          <w:tcPr>
            <w:gridSpan w:val="2"/>
            <w:tcBorders/>
            <w:tcW w:w="1701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4</w:t>
            </w:r>
            <w:r/>
          </w:p>
        </w:tc>
        <w:tc>
          <w:tcPr>
            <w:gridSpan w:val="3"/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5</w:t>
            </w:r>
            <w:r/>
          </w:p>
        </w:tc>
        <w:tc>
          <w:tcPr>
            <w:gridSpan w:val="3"/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6</w:t>
            </w:r>
            <w:r/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numPr>
                <w:ilvl w:val="0"/>
                <w:numId w:val="2"/>
              </w:numPr>
              <w:pBdr/>
              <w:spacing w:after="60" w:before="60"/>
              <w:ind/>
              <w:contextualSpacing w:val="true"/>
              <w:jc w:val="left"/>
              <w:rPr/>
            </w:pPr>
            <w:r/>
            <w:r/>
          </w:p>
        </w:tc>
        <w:tc>
          <w:tcPr>
            <w:gridSpan w:val="3"/>
            <w:tcBorders/>
            <w:tcW w:w="8081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/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выполняемым работам</w:t>
            </w:r>
            <w:r/>
          </w:p>
        </w:tc>
        <w:tc>
          <w:tcPr>
            <w:gridSpan w:val="2"/>
            <w:tcBorders/>
            <w:tcW w:w="1701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  <w:tc>
          <w:tcPr>
            <w:gridSpan w:val="3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  <w:tc>
          <w:tcPr>
            <w:gridSpan w:val="3"/>
            <w:tcBorders/>
            <w:tcW w:w="2126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bCs/>
                <w:lang w:val="ru-RU" w:bidi="ar-SA"/>
              </w:rPr>
              <w:t xml:space="preserve">1.1.</w:t>
            </w:r>
            <w:r/>
          </w:p>
        </w:tc>
        <w:tc>
          <w:tcPr>
            <w:gridSpan w:val="2"/>
            <w:tcBorders/>
            <w:tcW w:w="2524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Общие требования к оказанию услуг</w:t>
            </w:r>
            <w:r/>
          </w:p>
        </w:tc>
        <w:tc>
          <w:tcPr>
            <w:gridSpan w:val="2"/>
            <w:tcBorders/>
            <w:tcW w:w="5586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numPr>
                <w:ilvl w:val="0"/>
                <w:numId w:val="3"/>
              </w:numPr>
              <w:pBdr/>
              <w:spacing w:after="60" w:before="60"/>
              <w:ind w:firstLine="51" w:left="0"/>
              <w:contextualSpacing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По</w:t>
            </w:r>
            <w:r>
              <w:rPr>
                <w:sz w:val="24"/>
                <w:szCs w:val="24"/>
                <w:lang w:val="ru-RU" w:bidi="ar-SA"/>
              </w:rPr>
              <w:t xml:space="preserve">д восстановлением картриджей понимается комплекс работ по восстановлению технических характеристик картриджей до уровня, обеспечивающего штатную эксплуатацию печатающей техники, в том числе: диагностика и разборка картриджа, полная очистка бункера отработк</w:t>
            </w:r>
            <w:r>
              <w:rPr>
                <w:sz w:val="24"/>
                <w:szCs w:val="24"/>
                <w:lang w:val="ru-RU" w:bidi="ar-SA"/>
              </w:rPr>
              <w:t xml:space="preserve">и и деталей картриджа от старого тонера, пыли и т.п., замена неисправных деталей (в случае необходимости), смазка узлов и механизмов картриджа, заполнение картриджа тонером в объеме, соответствующем ресурсу печати для данной модели картриджа, сборка картри</w:t>
            </w:r>
            <w:r>
              <w:rPr>
                <w:sz w:val="24"/>
                <w:szCs w:val="24"/>
                <w:lang w:val="ru-RU" w:bidi="ar-SA"/>
              </w:rPr>
              <w:t xml:space="preserve">джа, программирование или замена микросхемы картриджа, тестирование восстановленного картриджа, его упаковка в светозащитный пакет, маркировка с указанием даты восстановления, наклейка гарантийных пломб на технологических отверстиях для заполнения тонером.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7"/>
              <w:widowControl w:val="false"/>
              <w:numPr>
                <w:ilvl w:val="0"/>
                <w:numId w:val="3"/>
              </w:numPr>
              <w:pBdr/>
              <w:spacing w:after="60" w:before="60"/>
              <w:ind w:firstLine="51" w:left="0"/>
              <w:contextualSpacing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Работы должны выполнятся надлежащего качества и соответствовать требованиям, предъявляемым к услугам таког</w:t>
            </w:r>
            <w:r>
              <w:rPr>
                <w:sz w:val="24"/>
                <w:szCs w:val="24"/>
                <w:lang w:val="ru-RU" w:bidi="ar-SA"/>
              </w:rPr>
              <w:t xml:space="preserve">о рода, а именно: при осуществлении печати текстовой страницы не должно быть постороннего фона, затемнений, пятен и полос, точек и повторного изображения, в том числе и с обратной стороны листа, заполнение текстовых или графических объектов должно быть рав</w:t>
            </w:r>
            <w:r>
              <w:rPr>
                <w:sz w:val="24"/>
                <w:szCs w:val="24"/>
                <w:lang w:val="ru-RU" w:bidi="ar-SA"/>
              </w:rPr>
              <w:t xml:space="preserve">номерным, контрастным, четким и точным, печатающее устройство должно функционировать в штатном режиме. Восстановленные картриджи не должны ухудшать техническое состояние печатающей техники заказчика. Восстановленные картриджи должны обеспечить ресурс печат</w:t>
            </w:r>
            <w:r>
              <w:rPr>
                <w:sz w:val="24"/>
                <w:szCs w:val="24"/>
                <w:lang w:val="ru-RU" w:bidi="ar-SA"/>
              </w:rPr>
              <w:t xml:space="preserve">и не менее заявленного производителем для аналогичных новых (оригинальных) картриджей без ухудшения качества печати. Стоимость услуг по восстановлению картриджей включает стоимость расходных материалов и запасных частей. Списание картриджей не допускается.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7"/>
              <w:widowControl w:val="false"/>
              <w:numPr>
                <w:ilvl w:val="0"/>
                <w:numId w:val="3"/>
              </w:numPr>
              <w:pBdr/>
              <w:spacing w:after="60" w:before="60"/>
              <w:ind w:firstLine="51" w:left="0"/>
              <w:contextualSpacing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Восстановление картриджей осуществляется Исполнителем с использованием собственного специализированного оборудования, расходных материалов и новых (не восстановленных) запасных частей, с характеристиками не ниже, чем у вышедших из строя.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125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73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17" w:name="_GoBack"/>
            <w:r/>
            <w:bookmarkEnd w:id="17"/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bCs/>
                <w:lang w:val="ru-RU" w:bidi="ar-SA"/>
              </w:rPr>
              <w:t xml:space="preserve">1.2.</w:t>
            </w:r>
            <w:r/>
          </w:p>
        </w:tc>
        <w:tc>
          <w:tcPr>
            <w:gridSpan w:val="2"/>
            <w:tcBorders/>
            <w:tcW w:w="2524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Место поставки</w:t>
            </w:r>
            <w:r/>
          </w:p>
        </w:tc>
        <w:tc>
          <w:tcPr>
            <w:gridSpan w:val="2"/>
            <w:tcBorders/>
            <w:tcW w:w="5586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60" w:before="6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Участник для проведения работ по восстановлению картриджей за счет собственных сил и средств должен производить забор и доставку картриджей по адресу: АО «Сахаэнерго» г. Якутск переулок Энергетиков 2;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125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73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bCs/>
                <w:lang w:val="ru-RU" w:bidi="ar-SA"/>
              </w:rPr>
              <w:t xml:space="preserve">1.3</w:t>
            </w:r>
            <w:r/>
          </w:p>
        </w:tc>
        <w:tc>
          <w:tcPr>
            <w:gridSpan w:val="2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Условия транспортирования</w:t>
            </w:r>
            <w:r/>
          </w:p>
        </w:tc>
        <w:tc>
          <w:tcPr>
            <w:gridSpan w:val="2"/>
            <w:tcBorders/>
            <w:tcW w:w="5586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Готовые картриджи должны иметь упаковку, предотвращающую повреждение при транспортировке в условиях Крайнего Севера при отрицательных температурах наружного воздуха.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125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73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bCs/>
                <w:lang w:val="ru-RU" w:bidi="ar-SA"/>
              </w:rPr>
              <w:t xml:space="preserve">1.4</w:t>
            </w:r>
            <w:r/>
          </w:p>
        </w:tc>
        <w:tc>
          <w:tcPr>
            <w:gridSpan w:val="2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Упаковка используемая при транспортировке</w:t>
            </w:r>
            <w:r/>
          </w:p>
        </w:tc>
        <w:tc>
          <w:tcPr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1. Каждый картридж должен иметь упаковку, исключающую повреждение при транспортировке и высыпанию красящих элементов.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2. Каждый восстановленный картридж должен иметь упаковку с указанием даты восстановления и моделью картриджа..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lang w:val="ru-RU" w:bidi="ar-SA"/>
              </w:rPr>
              <w:t xml:space="preserve">1.5.</w:t>
            </w:r>
            <w:r/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оплате работ</w:t>
            </w:r>
            <w:r/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1. Стоимость максимальная Договора 920 000,00 руб. без НДС.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2. Оплата по настоящему Договору осуществляется: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  </w:t>
            </w:r>
            <w:r>
              <w:rPr>
                <w:sz w:val="24"/>
                <w:szCs w:val="24"/>
                <w:lang w:val="ru-RU" w:bidi="ar-SA"/>
              </w:rPr>
              <w:t xml:space="preserve">-для договоров с СМП в течение 7 (семи) рабочих дней с даты подписания акта выполненных работ, на основании счета, выставленного Исполнителем.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60" w:before="60"/>
              <w:ind w:firstLine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-для остальных Исполнителей договоров в течение 20 (двадцати) календарных дней с даты подписания акта выполненных работ, на основании счета, выставленного Исполнителем.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lang w:val="ru-RU" w:bidi="ar-SA"/>
              </w:rPr>
              <w:t xml:space="preserve">1.6.</w:t>
            </w:r>
            <w:r/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по сроку выполнения работ</w:t>
            </w:r>
            <w:r/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Заказчик по мере необходимости в течение года партиями будет передавать</w:t>
            </w:r>
            <w:bookmarkStart w:id="18" w:name="_GoBack1"/>
            <w:r/>
            <w:bookmarkEnd w:id="18"/>
            <w:r>
              <w:rPr>
                <w:sz w:val="24"/>
                <w:szCs w:val="24"/>
                <w:lang w:val="ru-RU" w:bidi="ar-SA"/>
              </w:rPr>
              <w:t xml:space="preserve"> на восстановление картриджи. Участник обязуется выполнить работы в течении 3х рабочих дней с момента передачи картриджей.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lang w:val="ru-RU" w:bidi="ar-SA"/>
              </w:rPr>
              <w:t xml:space="preserve">1.7.</w:t>
            </w:r>
            <w:r/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выполняемым работам</w:t>
            </w:r>
            <w:r/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1.</w:t>
              <w:tab/>
              <w:t xml:space="preserve">Участник гарантирует качество выполненных работ и используемых расходных материалов.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2. При восстановлении картриджей изнашиваемые части должны быть полностью заменены на новые, эквивалентные, должна быть выполнена удаление отходов и чистка.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3.</w:t>
              <w:tab/>
              <w:t xml:space="preserve">После восстановления обязательно пропечатывается тестовая страница и при должном качестве отпечатка вкладывается в упаковку вместе с картриджем.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5. Участник обеспечивает сохранность картриджей во время транспортировки в условиях Крайнего Севера при отрицательных температурах наружного воздуха.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6.Участник выполняет свои обязательства лично.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7. Во всех восстанавливаемых картриджах должны быть заменены чипы на новые.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/>
            </w:pPr>
            <w:r>
              <w:rPr>
                <w:b/>
                <w:lang w:val="ru-RU" w:bidi="ar-SA"/>
              </w:rPr>
              <w:t xml:space="preserve">1.8.</w:t>
            </w:r>
            <w:r/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гарантии</w:t>
            </w:r>
            <w:r/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1. Участник предоставляет гарантийный срок во время хранения картриджей на территории заказчика в течении 1 года после выполнения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2. При обнаружении брака Заказчиком во время гарантийного срока хранения картриджа Участник обязан безвозмездно устранить их в течении 3х рабочих дней.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Требование к безопасности по выполнению работ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1. Выполняемые работы должны отвечать требованиям безопасности для жизни и здоровья людей. Используемые материалы не должны содер</w:t>
            </w:r>
            <w:r>
              <w:rPr>
                <w:sz w:val="24"/>
                <w:szCs w:val="24"/>
                <w:lang w:val="ru-RU" w:bidi="ar-SA"/>
              </w:rPr>
              <w:t xml:space="preserve">жать ядовитых (токсичных) компонентов, должны соответствовать установленным санитарным нормам и правилам Российской Федерации, государственным стандартам или техническим условиям, должны быть разрешены к применению и иметь необходимые сертификаты качества.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7"/>
              <w:widowControl w:val="false"/>
              <w:numPr>
                <w:ilvl w:val="0"/>
                <w:numId w:val="2"/>
              </w:numPr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hanging="360" w:left="0"/>
              <w:contextualSpacing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2.Работы должны выполняться в соответствии с действующим законодательством Российской Федерации с обязательным выполнением норм и правил охраны труда, пожарной безопасности и техники безопасности, производственной санитарии.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firstLine="0" w:left="360"/>
              <w:contextualSpacing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0" w:before="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60" w:before="60"/>
              <w:ind/>
              <w:jc w:val="left"/>
              <w:rPr/>
            </w:pPr>
            <w:r>
              <w:rPr>
                <w:lang w:val="ru-RU" w:bidi="ar-SA"/>
              </w:rPr>
              <w:t xml:space="preserve">2</w:t>
            </w:r>
            <w:r/>
          </w:p>
        </w:tc>
        <w:tc>
          <w:tcPr>
            <w:gridSpan w:val="3"/>
            <w:shd w:val="clear" w:color="auto" w:fill="auto"/>
            <w:tcBorders/>
            <w:tcW w:w="8081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Дополнительные к установленным в документации о закупке требования к участникам. Перечень документов, подтверждающих соответствие Участника закупки установленным дополнительным требованиям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5"/>
              <w:contextualSpacing w:val="true"/>
              <w:jc w:val="both"/>
              <w:rPr/>
            </w:pPr>
            <w:r>
              <w:rPr>
                <w:b/>
                <w:lang w:val="ru-RU" w:bidi="ar-SA"/>
              </w:rPr>
              <w:t xml:space="preserve">2.1.</w:t>
            </w:r>
            <w:r/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/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Участникам закупочных процедур в части ценообразования</w:t>
            </w:r>
            <w:r/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Для обоснования стоимости заявки Участник должен представить Коммерческое предложение в форме, приведенной в Документации о закупке.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5"/>
              <w:contextualSpacing w:val="true"/>
              <w:jc w:val="both"/>
              <w:rPr>
                <w:b/>
              </w:rPr>
            </w:pPr>
            <w:r>
              <w:rPr>
                <w:b/>
                <w:lang w:val="ru-RU" w:bidi="ar-SA"/>
              </w:rPr>
              <w:t xml:space="preserve">2.2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Опыт выполнения аналогичных договоров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Наличие опыта выполнения работ, соответствующих профилю лота   (проведение работ по восстановление картриджей) при этом учитываются только выполненные Подрядчиком договоры. Не является отборочным критерием.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12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«Справка об опыте Участника»  за последние 3 года с приложением подтверждающих документов (копий договоров и актов выполненных работ, подписанных с обеих сторон).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1700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977"/>
              <w:widowControl w:val="false"/>
              <w:pBdr/>
              <w:spacing w:after="60" w:before="60"/>
              <w:ind w:firstLine="0" w:left="5"/>
              <w:contextualSpacing w:val="true"/>
              <w:jc w:val="both"/>
              <w:rPr>
                <w:b/>
              </w:rPr>
            </w:pPr>
            <w:r>
              <w:rPr>
                <w:b/>
              </w:rPr>
              <w:t xml:space="preserve">2.3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2524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Квалификация персонала исполнения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привлекаемого к выполнению работ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555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привлекать к выполнению работ: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7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Не менее одного специалиста, прошедших курс обучения по заправке или восстановлению картриджей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Предоставление копий сертификатов сотрудников Исполнителя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1700" w:type="dxa"/>
            <w:textDirection w:val="lrTb"/>
            <w:noWrap w:val="false"/>
          </w:tcPr>
          <w:p>
            <w:pPr>
              <w:pStyle w:val="937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37"/>
        <w:pBdr/>
        <w:spacing w:after="120" w:before="0"/>
        <w:ind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</w:p>
    <w:p>
      <w:pPr>
        <w:pStyle w:val="937"/>
        <w:pBdr/>
        <w:spacing/>
        <w:ind/>
        <w:rPr/>
      </w:pPr>
      <w:r/>
      <w:r/>
    </w:p>
    <w:sectPr>
      <w:headerReference w:type="default" r:id="rId13"/>
      <w:headerReference w:type="first" r:id="rId14"/>
      <w:footnotePr/>
      <w:endnotePr/>
      <w:type w:val="nextPage"/>
      <w:pgSz w:h="11906" w:orient="landscape" w:w="16838"/>
      <w:pgMar w:top="1134" w:right="1134" w:bottom="709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ndefined">
    <w:panose1 w:val="05040102010807070707"/>
  </w:font>
  <w:font w:name="Calibri Light (Заголовки)">
    <w:panose1 w:val="020F0502020204030204"/>
  </w:font>
  <w:font w:name="Lohit Devanagari">
    <w:panose1 w:val="020B0600000000000000"/>
  </w:font>
  <w:font w:name="Liberation Sans">
    <w:panose1 w:val="020B0604020202020204"/>
  </w:font>
  <w:font w:name="Tahoma">
    <w:panose1 w:val="020B060403050404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73"/>
                            <w:pBdr/>
                            <w:spacing/>
                            <w:ind/>
                            <w:rPr>
                              <w:rStyle w:val="954"/>
                            </w:rPr>
                          </w:pPr>
                          <w:r>
                            <w:rPr>
                              <w:rStyle w:val="95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954"/>
                            </w:rPr>
                          </w:r>
                          <w:r>
                            <w:rPr>
                              <w:rStyle w:val="95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73"/>
                      <w:pBdr/>
                      <w:spacing/>
                      <w:ind/>
                      <w:rPr>
                        <w:rStyle w:val="954"/>
                      </w:rPr>
                    </w:pPr>
                    <w:r>
                      <w:rPr>
                        <w:rStyle w:val="954"/>
                        <w:color w:val="000000"/>
                      </w:rPr>
                      <w:fldChar w:fldCharType="begin"/>
                    </w:r>
                    <w:r>
                      <w:rPr>
                        <w:rStyle w:val="95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954"/>
                        <w:color w:val="000000"/>
                      </w:rPr>
                      <w:fldChar w:fldCharType="separate"/>
                    </w:r>
                    <w:r>
                      <w:rPr>
                        <w:rStyle w:val="954"/>
                        <w:color w:val="000000"/>
                      </w:rPr>
                      <w:t xml:space="preserve">0</w:t>
                    </w:r>
                    <w:r>
                      <w:rPr>
                        <w:rStyle w:val="954"/>
                        <w:color w:val="000000"/>
                      </w:rPr>
                      <w:fldChar w:fldCharType="end"/>
                    </w:r>
                    <w:r>
                      <w:rPr>
                        <w:rStyle w:val="954"/>
                      </w:rPr>
                    </w:r>
                    <w:r>
                      <w:rPr>
                        <w:rStyle w:val="95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10</w:t>
    </w:r>
    <w:r>
      <w:fldChar w:fldCharType="end"/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6">
    <w:name w:val="Table Grid Light"/>
    <w:basedOn w:val="9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1"/>
    <w:basedOn w:val="9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2"/>
    <w:basedOn w:val="9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1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2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3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4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5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6"/>
    <w:basedOn w:val="9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1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2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3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4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5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6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1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2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3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4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5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6"/>
    <w:basedOn w:val="9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1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2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3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4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5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6"/>
    <w:basedOn w:val="9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1">
    <w:name w:val="Heading 7"/>
    <w:basedOn w:val="937"/>
    <w:next w:val="937"/>
    <w:link w:val="91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2">
    <w:name w:val="Heading 8"/>
    <w:basedOn w:val="937"/>
    <w:next w:val="937"/>
    <w:link w:val="91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3">
    <w:name w:val="Heading 9"/>
    <w:basedOn w:val="937"/>
    <w:next w:val="937"/>
    <w:link w:val="91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4">
    <w:name w:val="Heading 1 Char"/>
    <w:basedOn w:val="944"/>
    <w:link w:val="9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5">
    <w:name w:val="Heading 2 Char"/>
    <w:basedOn w:val="944"/>
    <w:link w:val="9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6">
    <w:name w:val="Heading 3 Char"/>
    <w:basedOn w:val="944"/>
    <w:link w:val="9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7">
    <w:name w:val="Heading 4 Char"/>
    <w:basedOn w:val="944"/>
    <w:link w:val="9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8">
    <w:name w:val="Heading 5 Char"/>
    <w:basedOn w:val="944"/>
    <w:link w:val="9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9">
    <w:name w:val="Heading 6 Char"/>
    <w:basedOn w:val="944"/>
    <w:link w:val="9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0">
    <w:name w:val="Heading 7 Char"/>
    <w:basedOn w:val="944"/>
    <w:link w:val="9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1">
    <w:name w:val="Heading 8 Char"/>
    <w:basedOn w:val="944"/>
    <w:link w:val="9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2">
    <w:name w:val="Heading 9 Char"/>
    <w:basedOn w:val="944"/>
    <w:link w:val="9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Title"/>
    <w:basedOn w:val="937"/>
    <w:next w:val="937"/>
    <w:link w:val="91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4">
    <w:name w:val="Title Char"/>
    <w:basedOn w:val="944"/>
    <w:link w:val="9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5">
    <w:name w:val="Subtitle"/>
    <w:basedOn w:val="937"/>
    <w:next w:val="937"/>
    <w:link w:val="9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6">
    <w:name w:val="Subtitle Char"/>
    <w:basedOn w:val="944"/>
    <w:link w:val="9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7">
    <w:name w:val="Quote"/>
    <w:basedOn w:val="937"/>
    <w:next w:val="937"/>
    <w:link w:val="9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8">
    <w:name w:val="Quote Char"/>
    <w:basedOn w:val="944"/>
    <w:link w:val="9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9">
    <w:name w:val="Intense Emphasis"/>
    <w:basedOn w:val="9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0">
    <w:name w:val="Intense Quote"/>
    <w:basedOn w:val="937"/>
    <w:next w:val="937"/>
    <w:link w:val="92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1">
    <w:name w:val="Intense Quote Char"/>
    <w:basedOn w:val="944"/>
    <w:link w:val="92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2">
    <w:name w:val="Intense Reference"/>
    <w:basedOn w:val="9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3">
    <w:name w:val="No Spacing"/>
    <w:basedOn w:val="937"/>
    <w:uiPriority w:val="1"/>
    <w:qFormat/>
    <w:pPr>
      <w:pBdr/>
      <w:spacing w:after="0" w:line="240" w:lineRule="auto"/>
      <w:ind/>
    </w:pPr>
  </w:style>
  <w:style w:type="character" w:styleId="924">
    <w:name w:val="Subtle Emphasis"/>
    <w:basedOn w:val="9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5">
    <w:name w:val="Strong"/>
    <w:basedOn w:val="944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8">
    <w:name w:val="Header Char"/>
    <w:basedOn w:val="944"/>
    <w:link w:val="973"/>
    <w:uiPriority w:val="99"/>
    <w:pPr>
      <w:pBdr/>
      <w:spacing/>
      <w:ind/>
    </w:pPr>
  </w:style>
  <w:style w:type="character" w:styleId="929">
    <w:name w:val="Footer Char"/>
    <w:basedOn w:val="944"/>
    <w:link w:val="983"/>
    <w:uiPriority w:val="99"/>
    <w:pPr>
      <w:pBdr/>
      <w:spacing/>
      <w:ind/>
    </w:pPr>
  </w:style>
  <w:style w:type="character" w:styleId="930">
    <w:name w:val="Footnote Text Char"/>
    <w:basedOn w:val="944"/>
    <w:link w:val="971"/>
    <w:uiPriority w:val="99"/>
    <w:semiHidden/>
    <w:pPr>
      <w:pBdr/>
      <w:spacing/>
      <w:ind/>
    </w:pPr>
    <w:rPr>
      <w:sz w:val="20"/>
      <w:szCs w:val="20"/>
    </w:rPr>
  </w:style>
  <w:style w:type="paragraph" w:styleId="931">
    <w:name w:val="endnote text"/>
    <w:basedOn w:val="937"/>
    <w:link w:val="9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2">
    <w:name w:val="Endnote Text Char"/>
    <w:basedOn w:val="944"/>
    <w:link w:val="931"/>
    <w:uiPriority w:val="99"/>
    <w:semiHidden/>
    <w:pPr>
      <w:pBdr/>
      <w:spacing/>
      <w:ind/>
    </w:pPr>
    <w:rPr>
      <w:sz w:val="20"/>
      <w:szCs w:val="20"/>
    </w:rPr>
  </w:style>
  <w:style w:type="character" w:styleId="933">
    <w:name w:val="endnote reference"/>
    <w:basedOn w:val="944"/>
    <w:uiPriority w:val="99"/>
    <w:semiHidden/>
    <w:unhideWhenUsed/>
    <w:pPr>
      <w:pBdr/>
      <w:spacing/>
      <w:ind/>
    </w:pPr>
    <w:rPr>
      <w:vertAlign w:val="superscript"/>
    </w:rPr>
  </w:style>
  <w:style w:type="character" w:styleId="934">
    <w:name w:val="FollowedHyperlink"/>
    <w:basedOn w:val="9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5">
    <w:name w:val="TOC Heading"/>
    <w:uiPriority w:val="39"/>
    <w:unhideWhenUsed/>
    <w:pPr>
      <w:pBdr/>
      <w:spacing/>
      <w:ind/>
    </w:pPr>
  </w:style>
  <w:style w:type="paragraph" w:styleId="936">
    <w:name w:val="table of figures"/>
    <w:basedOn w:val="937"/>
    <w:next w:val="937"/>
    <w:uiPriority w:val="99"/>
    <w:unhideWhenUsed/>
    <w:pPr>
      <w:pBdr/>
      <w:spacing w:after="0" w:afterAutospacing="0"/>
      <w:ind/>
    </w:pPr>
  </w:style>
  <w:style w:type="paragraph" w:styleId="937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38">
    <w:name w:val="Heading 1"/>
    <w:basedOn w:val="940"/>
    <w:next w:val="937"/>
    <w:link w:val="945"/>
    <w:uiPriority w:val="9"/>
    <w:qFormat/>
    <w:pPr>
      <w:pBdr/>
      <w:spacing/>
      <w:ind/>
      <w:outlineLvl w:val="0"/>
    </w:pPr>
    <w:rPr>
      <w:sz w:val="28"/>
      <w:szCs w:val="28"/>
    </w:rPr>
  </w:style>
  <w:style w:type="paragraph" w:styleId="939">
    <w:name w:val="Heading 2"/>
    <w:basedOn w:val="941"/>
    <w:next w:val="937"/>
    <w:link w:val="946"/>
    <w:qFormat/>
    <w:pPr>
      <w:pBdr/>
      <w:spacing/>
      <w:ind/>
      <w:outlineLvl w:val="1"/>
    </w:pPr>
  </w:style>
  <w:style w:type="paragraph" w:styleId="940">
    <w:name w:val="Heading 3"/>
    <w:basedOn w:val="937"/>
    <w:next w:val="937"/>
    <w:link w:val="947"/>
    <w:qFormat/>
    <w:pPr>
      <w:keepNext w:val="true"/>
      <w:pBdr/>
      <w:tabs>
        <w:tab w:val="left" w:leader="none" w:pos="0"/>
        <w:tab w:val="clear" w:leader="none" w:pos="708"/>
      </w:tabs>
      <w:spacing w:after="60" w:before="240"/>
      <w:ind w:hanging="505" w:left="1225"/>
      <w:outlineLvl w:val="2"/>
    </w:pPr>
    <w:rPr>
      <w:rFonts w:eastAsia="Calibri"/>
      <w:b/>
      <w:sz w:val="24"/>
      <w:szCs w:val="24"/>
    </w:rPr>
  </w:style>
  <w:style w:type="paragraph" w:styleId="941">
    <w:name w:val="Heading 4"/>
    <w:basedOn w:val="940"/>
    <w:next w:val="937"/>
    <w:link w:val="948"/>
    <w:qFormat/>
    <w:pPr>
      <w:pBdr/>
      <w:spacing/>
      <w:ind/>
      <w:outlineLvl w:val="3"/>
    </w:pPr>
    <w:rPr>
      <w:bCs/>
    </w:rPr>
  </w:style>
  <w:style w:type="paragraph" w:styleId="942">
    <w:name w:val="Heading 5"/>
    <w:basedOn w:val="937"/>
    <w:next w:val="937"/>
    <w:link w:val="962"/>
    <w:uiPriority w:val="9"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="Cambria" w:hAnsi="Cambria" w:asciiTheme="majorHAnsi" w:hAnsiTheme="majorHAnsi" w:eastAsiaTheme="majorEastAsia" w:cstheme="majorBidi"/>
      <w:color w:val="243f60" w:themeColor="accent1" w:themeShade="7F"/>
    </w:rPr>
  </w:style>
  <w:style w:type="paragraph" w:styleId="943">
    <w:name w:val="Heading 6"/>
    <w:basedOn w:val="937"/>
    <w:next w:val="937"/>
    <w:link w:val="963"/>
    <w:uiPriority w:val="9"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 w:asciiTheme="majorHAnsi" w:hAnsiTheme="majorHAnsi" w:eastAsiaTheme="majorEastAsia" w:cstheme="majorBidi"/>
      <w:i/>
      <w:iCs/>
      <w:color w:val="243f60" w:themeColor="accent1" w:themeShade="7F"/>
    </w:rPr>
  </w:style>
  <w:style w:type="character" w:styleId="944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45" w:customStyle="1">
    <w:name w:val="Заголовок 1 Знак"/>
    <w:basedOn w:val="944"/>
    <w:uiPriority w:val="9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946" w:customStyle="1">
    <w:name w:val="Заголовок 2 Знак"/>
    <w:basedOn w:val="944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47" w:customStyle="1">
    <w:name w:val="Заголовок 3 Знак"/>
    <w:basedOn w:val="944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948" w:customStyle="1">
    <w:name w:val="Заголовок 4 Знак"/>
    <w:basedOn w:val="944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49" w:customStyle="1">
    <w:name w:val="Текст сноски Знак"/>
    <w:basedOn w:val="944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50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51">
    <w:name w:val="footnote reference"/>
    <w:pPr>
      <w:pBdr/>
      <w:spacing/>
      <w:ind/>
    </w:pPr>
    <w:rPr>
      <w:vertAlign w:val="superscript"/>
    </w:rPr>
  </w:style>
  <w:style w:type="character" w:styleId="952" w:customStyle="1">
    <w:name w:val="Footnote Characters"/>
    <w:qFormat/>
    <w:pPr>
      <w:pBdr/>
      <w:spacing/>
      <w:ind/>
    </w:pPr>
    <w:rPr>
      <w:vertAlign w:val="superscript"/>
    </w:rPr>
  </w:style>
  <w:style w:type="character" w:styleId="953" w:customStyle="1">
    <w:name w:val="Верхний колонтитул Знак"/>
    <w:basedOn w:val="94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4">
    <w:name w:val="page number"/>
    <w:basedOn w:val="944"/>
    <w:qFormat/>
    <w:pPr>
      <w:pBdr/>
      <w:spacing/>
      <w:ind/>
    </w:pPr>
  </w:style>
  <w:style w:type="character" w:styleId="955">
    <w:name w:val="Hyperlink"/>
    <w:basedOn w:val="94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6" w:customStyle="1">
    <w:name w:val="Абзац списка Знак"/>
    <w:link w:val="977"/>
    <w:uiPriority w:val="34"/>
    <w:qFormat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957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58" w:customStyle="1">
    <w:name w:val="Текст выноски Знак"/>
    <w:basedOn w:val="944"/>
    <w:link w:val="982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959">
    <w:name w:val="Emphasis"/>
    <w:basedOn w:val="944"/>
    <w:uiPriority w:val="20"/>
    <w:qFormat/>
    <w:pPr>
      <w:pBdr/>
      <w:spacing/>
      <w:ind/>
    </w:pPr>
    <w:rPr>
      <w:i/>
      <w:iCs/>
    </w:rPr>
  </w:style>
  <w:style w:type="character" w:styleId="960" w:customStyle="1">
    <w:name w:val="Нижний колонтитул Знак"/>
    <w:basedOn w:val="944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61" w:customStyle="1">
    <w:name w:val="Ссылка указателя"/>
    <w:qFormat/>
    <w:pPr>
      <w:pBdr/>
      <w:spacing/>
      <w:ind/>
    </w:pPr>
  </w:style>
  <w:style w:type="character" w:styleId="962" w:customStyle="1">
    <w:name w:val="Заголовок 5 Знак"/>
    <w:basedOn w:val="944"/>
    <w:uiPriority w:val="9"/>
    <w:qFormat/>
    <w:pPr>
      <w:pBdr/>
      <w:spacing/>
      <w:ind/>
    </w:pPr>
    <w:rPr>
      <w:rFonts w:ascii="Cambria" w:hAnsi="Cambria" w:asciiTheme="majorHAnsi" w:hAnsiTheme="majorHAnsi" w:eastAsiaTheme="majorEastAsia" w:cstheme="majorBidi"/>
      <w:color w:val="243f60" w:themeColor="accent1" w:themeShade="7F"/>
      <w:sz w:val="28"/>
      <w:szCs w:val="28"/>
      <w:lang w:eastAsia="ru-RU"/>
    </w:rPr>
  </w:style>
  <w:style w:type="character" w:styleId="963" w:customStyle="1">
    <w:name w:val="Заголовок 6 Знак"/>
    <w:basedOn w:val="944"/>
    <w:uiPriority w:val="9"/>
    <w:qFormat/>
    <w:pPr>
      <w:pBdr/>
      <w:spacing/>
      <w:ind/>
    </w:pPr>
    <w:rPr>
      <w:rFonts w:ascii="Cambria" w:hAnsi="Cambria" w:asciiTheme="majorHAnsi" w:hAnsiTheme="majorHAnsi" w:eastAsiaTheme="majorEastAsia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964" w:customStyle="1">
    <w:name w:val="Заголовок"/>
    <w:basedOn w:val="937"/>
    <w:next w:val="965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965">
    <w:name w:val="Body Text"/>
    <w:basedOn w:val="937"/>
    <w:pPr>
      <w:pBdr/>
      <w:spacing w:after="140" w:before="0" w:line="276" w:lineRule="auto"/>
      <w:ind/>
    </w:pPr>
  </w:style>
  <w:style w:type="paragraph" w:styleId="966">
    <w:name w:val="List"/>
    <w:basedOn w:val="965"/>
    <w:pPr>
      <w:pBdr/>
      <w:spacing/>
      <w:ind/>
    </w:pPr>
    <w:rPr>
      <w:rFonts w:cs="Lohit Devanagari"/>
    </w:rPr>
  </w:style>
  <w:style w:type="paragraph" w:styleId="967">
    <w:name w:val="Caption"/>
    <w:basedOn w:val="937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68">
    <w:name w:val="Указатель"/>
    <w:basedOn w:val="937"/>
    <w:qFormat/>
    <w:pPr>
      <w:suppressLineNumbers w:val="true"/>
      <w:pBdr/>
      <w:spacing/>
      <w:ind/>
    </w:pPr>
    <w:rPr>
      <w:rFonts w:cs="Lohit Devanagari"/>
    </w:rPr>
  </w:style>
  <w:style w:type="paragraph" w:styleId="969">
    <w:name w:val="caption1"/>
    <w:basedOn w:val="937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70">
    <w:name w:val="index heading"/>
    <w:basedOn w:val="937"/>
    <w:qFormat/>
    <w:pPr>
      <w:suppressLineNumbers w:val="true"/>
      <w:pBdr/>
      <w:spacing/>
      <w:ind/>
    </w:pPr>
    <w:rPr>
      <w:rFonts w:cs="Lohit Devanagari"/>
    </w:rPr>
  </w:style>
  <w:style w:type="paragraph" w:styleId="971">
    <w:name w:val="footnote text"/>
    <w:basedOn w:val="937"/>
    <w:link w:val="949"/>
    <w:uiPriority w:val="99"/>
    <w:pPr>
      <w:pBdr/>
      <w:spacing/>
      <w:ind/>
    </w:pPr>
    <w:rPr>
      <w:sz w:val="20"/>
      <w:szCs w:val="20"/>
    </w:rPr>
  </w:style>
  <w:style w:type="paragraph" w:styleId="972" w:customStyle="1">
    <w:name w:val="Колонтитул"/>
    <w:basedOn w:val="937"/>
    <w:qFormat/>
    <w:pPr>
      <w:pBdr/>
      <w:spacing/>
      <w:ind/>
    </w:pPr>
  </w:style>
  <w:style w:type="paragraph" w:styleId="973">
    <w:name w:val="Header"/>
    <w:basedOn w:val="937"/>
    <w:link w:val="953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974">
    <w:name w:val="TOC 1"/>
    <w:basedOn w:val="937"/>
    <w:next w:val="937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975">
    <w:name w:val="TOC 3"/>
    <w:basedOn w:val="937"/>
    <w:next w:val="937"/>
    <w:uiPriority w:val="39"/>
    <w:pPr>
      <w:pBdr/>
      <w:tabs>
        <w:tab w:val="clear" w:leader="none" w:pos="708"/>
        <w:tab w:val="left" w:leader="none" w:pos="1100"/>
        <w:tab w:val="right" w:leader="dot" w:pos="10053"/>
      </w:tabs>
      <w:spacing/>
      <w:ind w:firstLine="0" w:left="567"/>
    </w:pPr>
    <w:rPr>
      <w:rFonts w:cs="Calibri" w:cstheme="minorHAnsi"/>
      <w:sz w:val="20"/>
      <w:szCs w:val="20"/>
    </w:rPr>
  </w:style>
  <w:style w:type="paragraph" w:styleId="976">
    <w:name w:val="TOC 4"/>
    <w:basedOn w:val="937"/>
    <w:next w:val="937"/>
    <w:uiPriority w:val="39"/>
    <w:pPr>
      <w:pBdr/>
      <w:spacing/>
      <w:ind w:firstLine="0" w:left="560"/>
    </w:pPr>
    <w:rPr>
      <w:rFonts w:cs="Calibri" w:cstheme="minorHAnsi"/>
      <w:sz w:val="20"/>
      <w:szCs w:val="20"/>
    </w:rPr>
  </w:style>
  <w:style w:type="paragraph" w:styleId="977">
    <w:name w:val="List Paragraph"/>
    <w:basedOn w:val="937"/>
    <w:link w:val="956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978" w:customStyle="1">
    <w:name w:val="Таблица"/>
    <w:basedOn w:val="937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979" w:customStyle="1">
    <w:name w:val="Таблица шапка"/>
    <w:basedOn w:val="937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980" w:customStyle="1">
    <w:name w:val="Раздел положения"/>
    <w:basedOn w:val="937"/>
    <w:qFormat/>
    <w:pPr>
      <w:pBdr/>
      <w:tabs>
        <w:tab w:val="left" w:leader="none" w:pos="360"/>
        <w:tab w:val="clear" w:leader="none" w:pos="708"/>
      </w:tabs>
      <w:spacing w:after="80" w:before="80"/>
      <w:ind w:hanging="360" w:left="360"/>
      <w:jc w:val="center"/>
    </w:pPr>
    <w:rPr>
      <w:b/>
      <w:sz w:val="32"/>
      <w:szCs w:val="32"/>
    </w:rPr>
  </w:style>
  <w:style w:type="paragraph" w:styleId="981" w:customStyle="1">
    <w:name w:val="Подраздел раздела положения"/>
    <w:basedOn w:val="937"/>
    <w:qFormat/>
    <w:pPr>
      <w:pBdr/>
      <w:tabs>
        <w:tab w:val="left" w:leader="none" w:pos="357"/>
        <w:tab w:val="clear" w:leader="none" w:pos="708"/>
      </w:tabs>
      <w:spacing w:after="80" w:before="80"/>
      <w:ind/>
      <w:jc w:val="both"/>
    </w:pPr>
  </w:style>
  <w:style w:type="paragraph" w:styleId="982">
    <w:name w:val="Balloon Text"/>
    <w:basedOn w:val="937"/>
    <w:link w:val="958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83">
    <w:name w:val="Footer"/>
    <w:basedOn w:val="937"/>
    <w:link w:val="960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84" w:customStyle="1">
    <w:name w:val="Содержимое врезки"/>
    <w:basedOn w:val="937"/>
    <w:qFormat/>
    <w:pPr>
      <w:pBdr/>
      <w:spacing/>
      <w:ind/>
    </w:pPr>
  </w:style>
  <w:style w:type="paragraph" w:styleId="985">
    <w:name w:val="Содержимое таблицы"/>
    <w:basedOn w:val="937"/>
    <w:qFormat/>
    <w:pPr>
      <w:widowControl w:val="false"/>
      <w:suppressLineNumbers w:val="true"/>
      <w:pBdr/>
      <w:spacing/>
      <w:ind/>
    </w:pPr>
  </w:style>
  <w:style w:type="paragraph" w:styleId="986">
    <w:name w:val="Заголовок таблицы"/>
    <w:basedOn w:val="985"/>
    <w:qFormat/>
    <w:pPr>
      <w:suppressLineNumbers w:val="true"/>
      <w:pBdr/>
      <w:spacing/>
      <w:ind/>
      <w:jc w:val="center"/>
    </w:pPr>
    <w:rPr>
      <w:b/>
      <w:bCs/>
    </w:rPr>
  </w:style>
  <w:style w:type="numbering" w:styleId="987" w:default="1">
    <w:name w:val="No List"/>
    <w:uiPriority w:val="99"/>
    <w:semiHidden/>
    <w:unhideWhenUsed/>
    <w:qFormat/>
    <w:pPr>
      <w:pBdr/>
      <w:spacing/>
      <w:ind/>
    </w:pPr>
  </w:style>
  <w:style w:type="table" w:styleId="988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Table Grid"/>
    <w:basedOn w:val="988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Сетка таблицы5"/>
    <w:basedOn w:val="988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Таллаева Акулина Николаевна</dc:creator>
  <dc:description/>
  <dc:language>ru-RU</dc:language>
  <cp:revision>24</cp:revision>
  <dcterms:created xsi:type="dcterms:W3CDTF">2023-10-10T06:28:00Z</dcterms:created>
  <dcterms:modified xsi:type="dcterms:W3CDTF">2026-08-19T23:41:16Z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