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 xml:space="preserve">Договор № </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г. Петропавловск-Камчатский</w:t>
      </w:r>
      <w:bookmarkStart w:id="0" w:name="OLE_LINK1"/>
      <w:bookmarkStart w:id="1" w:name="OLE_LINK2"/>
      <w:r>
        <w:rPr>
          <w:lang w:val="ru-RU"/>
        </w:rPr>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_________________________, действующего на основании Доверенности №710 от 26.08.2024, с одной стороны, и </w:t>
      </w:r>
    </w:p>
    <w:p>
      <w:pPr>
        <w:pStyle w:val="BodyText3"/>
        <w:spacing w:before="0" w:after="0"/>
        <w:ind w:firstLine="708"/>
        <w:jc w:val="both"/>
        <w:rPr>
          <w:sz w:val="24"/>
          <w:szCs w:val="24"/>
          <w:lang w:val="ru-RU"/>
        </w:rPr>
      </w:pPr>
      <w:r>
        <w:rPr>
          <w:b/>
          <w:sz w:val="24"/>
          <w:szCs w:val="24"/>
          <w:lang w:val="ru-RU"/>
        </w:rPr>
        <w:t>Муниципальное автотранспортное предприятие Билибинского муниципального района (МАП БМР)</w:t>
      </w:r>
      <w:r>
        <w:rPr>
          <w:sz w:val="24"/>
          <w:szCs w:val="24"/>
          <w:lang w:val="ru-RU"/>
        </w:rPr>
        <w:t xml:space="preserve"> (далее – «Исполнитель»), в лице _____________________, действующего на основании 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транспортных средств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9"/>
          <w:tab w:val="left" w:pos="993" w:leader="none"/>
          <w:tab w:val="left" w:pos="1134" w:leader="none"/>
        </w:tabs>
        <w:ind w:left="0" w:firstLine="709"/>
        <w:jc w:val="both"/>
        <w:rPr>
          <w:bCs/>
        </w:rPr>
      </w:pPr>
      <w:r>
        <w:rPr>
          <w:bCs/>
        </w:rPr>
        <w:t xml:space="preserve">Услуги оказываются по Предварительным Заказ-Нарядам Заказчика, и направляемым Исполнителю в порядке и сроки, установленные пунктом 3.1 Договора. </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w:t>
      </w:r>
      <w:r>
        <w:rPr>
          <w:bCs/>
          <w:lang w:val="ru-RU"/>
        </w:rPr>
        <w:t>нужд: Камчатского филиала АО «ТК</w:t>
      </w:r>
      <w:r>
        <w:rPr>
          <w:lang w:val="ru-RU"/>
        </w:rPr>
        <w:t xml:space="preserve"> РусГидро».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Место оказания Услуг: По месту нахождения Исполнителя.</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Начало оказания Услуг: с даты подписания Договора.</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Услуги оказываются течение 15 (пятнадцати) дней с даты получения Заказчиком уведомления о необходимости оказания услуг.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0"/>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0"/>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Предварительным Заказ-Наряд,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0"/>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0"/>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0"/>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5"/>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5"/>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5"/>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5"/>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2.3.5.1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2.3.5.1 Договора. </w:t>
      </w:r>
    </w:p>
    <w:p>
      <w:pPr>
        <w:pStyle w:val="ListParagraph"/>
        <w:numPr>
          <w:ilvl w:val="2"/>
          <w:numId w:val="15"/>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5"/>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5"/>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5"/>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5"/>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5"/>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5"/>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5"/>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5"/>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5"/>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5"/>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5"/>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5"/>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Normal"/>
        <w:tabs>
          <w:tab w:val="clear" w:pos="709"/>
          <w:tab w:val="left" w:pos="1418" w:leader="none"/>
        </w:tabs>
        <w:jc w:val="both"/>
        <w:rPr>
          <w:bCs/>
          <w:lang w:val="ru-RU"/>
        </w:rPr>
      </w:pPr>
      <w:r>
        <w:rPr>
          <w:bCs/>
          <w:lang w:val="ru-RU"/>
        </w:rPr>
      </w:r>
    </w:p>
    <w:p>
      <w:pPr>
        <w:pStyle w:val="Normal"/>
        <w:tabs>
          <w:tab w:val="clear" w:pos="709"/>
          <w:tab w:val="left" w:pos="1418" w:leader="none"/>
        </w:tabs>
        <w:jc w:val="both"/>
        <w:rPr>
          <w:bCs/>
          <w:lang w:val="ru-RU"/>
        </w:rPr>
      </w:pPr>
      <w:r>
        <w:rPr>
          <w:bCs/>
          <w:lang w:val="ru-RU"/>
        </w:rPr>
      </w:r>
    </w:p>
    <w:p>
      <w:pPr>
        <w:pStyle w:val="ListParagraph"/>
        <w:numPr>
          <w:ilvl w:val="0"/>
          <w:numId w:val="11"/>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7"/>
        </w:numPr>
        <w:shd w:val="clear" w:color="auto" w:fill="FFFFFF"/>
        <w:tabs>
          <w:tab w:val="clear" w:pos="709"/>
          <w:tab w:val="left" w:pos="284" w:leader="none"/>
          <w:tab w:val="left" w:pos="1134" w:leader="none"/>
        </w:tabs>
        <w:ind w:left="0" w:firstLine="709"/>
        <w:jc w:val="both"/>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5 (пяти) рабочих дней до предполагаемой даты начала оказания Услуг уведомляет Исполнителя о необходимости проведения Услуг, посредством телефонной связи или лично. </w:t>
      </w:r>
    </w:p>
    <w:p>
      <w:pPr>
        <w:pStyle w:val="Normal"/>
        <w:ind w:firstLine="709"/>
        <w:jc w:val="both"/>
        <w:rPr>
          <w:lang w:val="ru-RU"/>
        </w:rPr>
      </w:pPr>
      <w:r>
        <w:rPr>
          <w:lang w:val="ru-RU"/>
        </w:rPr>
        <w:t xml:space="preserve">3.1.2. Исполнитель в течение 1 (одного) рабочего дня с даты получения уведомления направляет Заказчику Предварительный Заказ-Наряд. </w:t>
      </w:r>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6"/>
        </w:numPr>
        <w:tabs>
          <w:tab w:val="clear" w:pos="709"/>
          <w:tab w:val="left" w:pos="1418" w:leader="none"/>
        </w:tabs>
        <w:ind w:left="0" w:firstLine="709"/>
        <w:jc w:val="both"/>
        <w:rPr/>
      </w:pPr>
      <w:r>
        <w:rPr/>
        <w:t>подтверждает Исполнителю согласие с Услугами в Предварительном Заказ-Наряде;</w:t>
      </w:r>
    </w:p>
    <w:p>
      <w:pPr>
        <w:pStyle w:val="ListParagraph"/>
        <w:numPr>
          <w:ilvl w:val="0"/>
          <w:numId w:val="16"/>
        </w:numPr>
        <w:tabs>
          <w:tab w:val="clear" w:pos="709"/>
          <w:tab w:val="left" w:pos="1418" w:leader="none"/>
        </w:tabs>
        <w:ind w:left="0" w:firstLine="709"/>
        <w:jc w:val="both"/>
        <w:rPr/>
      </w:pPr>
      <w:r>
        <w:rPr/>
        <w:t>направляет Исполнителю свои возражения (замечания) к Предварительному Заказ-Наряду;</w:t>
      </w:r>
    </w:p>
    <w:p>
      <w:pPr>
        <w:pStyle w:val="ListParagraph"/>
        <w:numPr>
          <w:ilvl w:val="0"/>
          <w:numId w:val="16"/>
        </w:numPr>
        <w:tabs>
          <w:tab w:val="clear" w:pos="709"/>
          <w:tab w:val="left" w:pos="1418" w:leader="none"/>
        </w:tabs>
        <w:ind w:left="0" w:firstLine="709"/>
        <w:jc w:val="both"/>
        <w:rPr/>
      </w:pPr>
      <w:r>
        <w:rPr/>
        <w:t>уведомляет Исполнителя об отказе от Выполнения Услуг.</w:t>
      </w:r>
    </w:p>
    <w:p>
      <w:pPr>
        <w:pStyle w:val="Normal"/>
        <w:ind w:firstLine="709"/>
        <w:jc w:val="both"/>
        <w:rPr>
          <w:lang w:val="ru-RU"/>
        </w:rPr>
      </w:pPr>
      <w:r>
        <w:rPr>
          <w:lang w:val="ru-RU"/>
        </w:rPr>
        <w:t xml:space="preserve">Соответствующая информация направляется Исполнителю лично или посредством телефонной связи. </w:t>
      </w:r>
    </w:p>
    <w:p>
      <w:pPr>
        <w:pStyle w:val="Normal"/>
        <w:ind w:firstLine="709"/>
        <w:jc w:val="both"/>
        <w:rPr>
          <w:lang w:val="ru-RU"/>
        </w:rPr>
      </w:pPr>
      <w:r>
        <w:rPr>
          <w:lang w:val="ru-RU"/>
        </w:rPr>
        <w:t xml:space="preserve">3.1.4. При получении подтверждения Заказчика о согласии с Предварительным Заказ-Нарядом, Исполнитель в течение 3 (трех) рабочих дней подписывает Предварительный Заказ-Наряд и направляет их по электронной почте на адрес SavchenkoEV@rushydro.ru с последующим направлением оригиналов по адресу, указанному в разделе 16 Договора. </w:t>
      </w:r>
    </w:p>
    <w:p>
      <w:pPr>
        <w:pStyle w:val="Normal"/>
        <w:ind w:firstLine="709"/>
        <w:jc w:val="both"/>
        <w:rPr>
          <w:lang w:val="ru-RU"/>
        </w:rPr>
      </w:pPr>
      <w:r>
        <w:rPr>
          <w:lang w:val="ru-RU"/>
        </w:rPr>
        <w:t>3.1.5. Подписание обеими Сторонами Предварительного Заказ-Наряда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Предварительному Заказ-Наряду отказаться от выполнения Услуг по Предварительному Заказ-Наряду полностью либо от не исполненной части Услуг после начала исполнения Услуг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необходимые Услуги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исправленный список Услуг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7"/>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Предварительные Заказ-Наряды, и письменно сообщают друг другу контакты и должность таких представителей. </w:t>
      </w:r>
    </w:p>
    <w:p>
      <w:pPr>
        <w:pStyle w:val="ListParagraph"/>
        <w:numPr>
          <w:ilvl w:val="1"/>
          <w:numId w:val="17"/>
        </w:numPr>
        <w:shd w:val="clear" w:color="auto" w:fill="FFFFFF"/>
        <w:tabs>
          <w:tab w:val="left" w:pos="709" w:leader="none"/>
          <w:tab w:val="left" w:pos="1134" w:leader="none"/>
        </w:tabs>
        <w:ind w:left="0" w:firstLine="709"/>
        <w:jc w:val="both"/>
        <w:rPr/>
      </w:pPr>
      <w:r>
        <w:rPr/>
        <w:t>Исполнитель до 5 числа месяца, следующего за месяцем, в котором были оказаны Услуги, направляет Заказчику подписанный со своей стороны Акт об оказании Услуг в 2 (двух) экземплярах с приложением Заказ-Нарядов и иной документации, подтверждающей Оказанные Услуги.</w:t>
      </w:r>
    </w:p>
    <w:p>
      <w:pPr>
        <w:pStyle w:val="ListParagraph"/>
        <w:numPr>
          <w:ilvl w:val="1"/>
          <w:numId w:val="17"/>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Заказ-Наряда,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7"/>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7"/>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7"/>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ListParagraph"/>
        <w:shd w:val="clear" w:color="auto" w:fill="FFFFFF"/>
        <w:tabs>
          <w:tab w:val="clear" w:pos="709"/>
          <w:tab w:val="left" w:pos="284" w:leader="none"/>
          <w:tab w:val="left" w:pos="1134" w:leader="none"/>
        </w:tabs>
        <w:ind w:left="0" w:hanging="0"/>
        <w:jc w:val="both"/>
        <w:rPr/>
      </w:pPr>
      <w:r>
        <w:rPr/>
      </w:r>
    </w:p>
    <w:p>
      <w:pPr>
        <w:pStyle w:val="ListParagraph"/>
        <w:shd w:val="clear" w:color="auto" w:fill="FFFFFF"/>
        <w:tabs>
          <w:tab w:val="clear" w:pos="709"/>
          <w:tab w:val="left" w:pos="284" w:leader="none"/>
          <w:tab w:val="left" w:pos="1134" w:leader="none"/>
        </w:tabs>
        <w:ind w:left="0" w:hanging="0"/>
        <w:jc w:val="both"/>
        <w:rPr/>
      </w:pPr>
      <w:r>
        <w:rPr/>
      </w:r>
    </w:p>
    <w:p>
      <w:pPr>
        <w:pStyle w:val="ListParagraph"/>
        <w:shd w:val="clear" w:color="auto" w:fill="FFFFFF"/>
        <w:tabs>
          <w:tab w:val="clear" w:pos="709"/>
          <w:tab w:val="left" w:pos="284" w:leader="none"/>
          <w:tab w:val="left" w:pos="1134" w:leader="none"/>
        </w:tabs>
        <w:ind w:left="0" w:hanging="0"/>
        <w:jc w:val="both"/>
        <w:rPr/>
      </w:pPr>
      <w:r>
        <w:rPr/>
      </w:r>
    </w:p>
    <w:p>
      <w:pPr>
        <w:pStyle w:val="ListParagraph"/>
        <w:shd w:val="clear" w:color="auto" w:fill="FFFFFF"/>
        <w:tabs>
          <w:tab w:val="clear" w:pos="709"/>
          <w:tab w:val="left" w:pos="284" w:leader="none"/>
          <w:tab w:val="left" w:pos="1134" w:leader="none"/>
        </w:tabs>
        <w:ind w:left="0" w:hanging="0"/>
        <w:jc w:val="both"/>
        <w:rPr/>
      </w:pPr>
      <w:r>
        <w:rPr/>
      </w:r>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bCs/>
          <w:lang w:val="ru-RU"/>
        </w:rPr>
      </w:pPr>
      <w:r>
        <w:rPr>
          <w:lang w:val="ru-RU"/>
        </w:rPr>
        <w:t xml:space="preserve">4.1. </w:t>
      </w:r>
      <w:r>
        <w:rPr>
          <w:bCs/>
          <w:lang w:val="ru-RU"/>
        </w:rPr>
        <w:t>Стоимость Услуг по Договору (Цена Договора) в соответствии с Расчетом стоимости Услуг (Приложение № 2 к Договору) является предельной и составляет ______________  (______________) рублей ___ копеек, 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p>
    <w:p>
      <w:pPr>
        <w:pStyle w:val="Normal"/>
        <w:widowControl w:val="false"/>
        <w:ind w:firstLine="709"/>
        <w:jc w:val="both"/>
        <w:rPr>
          <w:bCs/>
          <w:lang w:val="ru-RU"/>
        </w:rPr>
      </w:pPr>
      <w:r>
        <w:rPr>
          <w:bCs/>
          <w:lang w:val="ru-RU"/>
        </w:rPr>
        <w:t>4.2. Расчет стоимости услуг по Предварительному Заказ-Наряду производится в соответствии с Таблицей стоимости единичных расценок, указанной в Расчете стоимости Услуг (Приложение № 2 к Договору).</w:t>
      </w:r>
    </w:p>
    <w:p>
      <w:pPr>
        <w:pStyle w:val="ListParagraph"/>
        <w:shd w:val="clear" w:color="auto" w:fill="FFFFFF"/>
        <w:tabs>
          <w:tab w:val="clear" w:pos="709"/>
          <w:tab w:val="left" w:pos="567" w:leader="none"/>
        </w:tabs>
        <w:ind w:left="0" w:firstLine="709"/>
        <w:jc w:val="both"/>
        <w:rPr>
          <w:bCs/>
        </w:rPr>
      </w:pPr>
      <w:r>
        <w:rPr>
          <w:bCs/>
        </w:rPr>
        <w:t>4.3. Цена Договора включает в себя прибыль Исполнителя, а также все расходы и затраты Исполнителя на:</w:t>
      </w:r>
    </w:p>
    <w:p>
      <w:pPr>
        <w:pStyle w:val="ListParagraph"/>
        <w:numPr>
          <w:ilvl w:val="2"/>
          <w:numId w:val="18"/>
        </w:numPr>
        <w:shd w:val="clear" w:color="auto" w:fill="FFFFFF"/>
        <w:tabs>
          <w:tab w:val="clear" w:pos="709"/>
          <w:tab w:val="left" w:pos="1418" w:leader="none"/>
        </w:tabs>
        <w:ind w:left="0" w:firstLine="709"/>
        <w:jc w:val="both"/>
        <w:rPr>
          <w:bCs/>
        </w:rPr>
      </w:pPr>
      <w:r>
        <w:rPr>
          <w:bCs/>
        </w:rPr>
        <w:t>приобретение материально-технических ресурсов, необходимых для оказания Услуг по Договору;</w:t>
      </w:r>
    </w:p>
    <w:p>
      <w:pPr>
        <w:pStyle w:val="ListParagraph"/>
        <w:numPr>
          <w:ilvl w:val="2"/>
          <w:numId w:val="18"/>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8"/>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8"/>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8"/>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8"/>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18"/>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8"/>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8"/>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8"/>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18"/>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8"/>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8"/>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2"/>
        </w:numPr>
        <w:shd w:val="clear" w:color="auto" w:fill="FFFFFF" w:themeFill="background1"/>
        <w:tabs>
          <w:tab w:val="left" w:pos="0" w:leader="none"/>
          <w:tab w:val="left" w:pos="709" w:leader="none"/>
          <w:tab w:val="left" w:pos="1134" w:leader="none"/>
          <w:tab w:val="left" w:pos="1418" w:leader="none"/>
        </w:tabs>
        <w:ind w:left="0" w:firstLine="709"/>
        <w:jc w:val="both"/>
        <w:rPr/>
      </w:pPr>
      <w:r>
        <w:rPr>
          <w:rFonts w:eastAsia="Calibri"/>
          <w:bCs/>
          <w:sz w:val="24"/>
          <w:szCs w:val="24"/>
          <w:shd w:fill="auto" w:val="clear"/>
          <w:lang w:val="ru-RU"/>
        </w:rPr>
        <w:t>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w:t>
      </w:r>
      <w:r>
        <w:rPr>
          <w:rFonts w:eastAsia="Calibri"/>
        </w:rPr>
        <w:t>.</w:t>
      </w:r>
    </w:p>
    <w:p>
      <w:pPr>
        <w:pStyle w:val="ListParagraph"/>
        <w:numPr>
          <w:ilvl w:val="1"/>
          <w:numId w:val="12"/>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2"/>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2"/>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19"/>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9"/>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9"/>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9"/>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9"/>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9"/>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9"/>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shd w:val="clear" w:color="auto" w:fill="FFFFFF"/>
        <w:tabs>
          <w:tab w:val="clear" w:pos="709"/>
          <w:tab w:val="left" w:pos="1134" w:leader="none"/>
        </w:tabs>
        <w:ind w:left="0" w:hanging="0"/>
        <w:jc w:val="both"/>
        <w:rPr>
          <w:bCs/>
        </w:rPr>
      </w:pPr>
      <w:r>
        <w:rPr>
          <w:bCs/>
        </w:rPr>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3"/>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0"/>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0"/>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0"/>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0"/>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0"/>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0"/>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0"/>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0"/>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0"/>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0"/>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0"/>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0"/>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0"/>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0"/>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0"/>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0"/>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0"/>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tabs>
          <w:tab w:val="clear" w:pos="709"/>
          <w:tab w:val="left" w:pos="1134" w:leader="none"/>
        </w:tabs>
        <w:ind w:left="709" w:hanging="0"/>
        <w:jc w:val="both"/>
        <w:rPr>
          <w:bCs/>
        </w:rPr>
      </w:pPr>
      <w:r>
        <w:rPr>
          <w:bCs/>
        </w:rPr>
      </w:r>
    </w:p>
    <w:p>
      <w:pPr>
        <w:pStyle w:val="ListParagraph"/>
        <w:numPr>
          <w:ilvl w:val="0"/>
          <w:numId w:val="20"/>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0"/>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0"/>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0"/>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w:t>
      </w:r>
      <w:r>
        <w:rPr>
          <w:bCs/>
        </w:rPr>
        <w:t>7 Договора.</w:t>
      </w:r>
    </w:p>
    <w:p>
      <w:pPr>
        <w:pStyle w:val="ListParagraph"/>
        <w:numPr>
          <w:ilvl w:val="1"/>
          <w:numId w:val="20"/>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0"/>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tabs>
          <w:tab w:val="clear" w:pos="709"/>
          <w:tab w:val="left" w:pos="284" w:leader="none"/>
          <w:tab w:val="left" w:pos="1134" w:leader="none"/>
        </w:tabs>
        <w:ind w:left="709" w:hanging="0"/>
        <w:jc w:val="both"/>
        <w:rPr>
          <w:bCs/>
        </w:rPr>
      </w:pPr>
      <w:r>
        <w:rPr>
          <w:bCs/>
        </w:rPr>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0"/>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0"/>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0"/>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0"/>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0"/>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0"/>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0"/>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0"/>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0"/>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0"/>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0"/>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0"/>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0"/>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0"/>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0"/>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0"/>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0"/>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0"/>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0"/>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0"/>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w:t>
      </w:r>
      <w:r>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0"/>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0"/>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0"/>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0"/>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0"/>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0"/>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0"/>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0"/>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0"/>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0"/>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0"/>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0"/>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lang w:val="ru-RU"/>
        </w:rPr>
        <w:t>14.8.1. Заказным почтовым отправлением с уведомлением о вручении по адресу ее места нахождения / почтовому адресу, указанному в разделе 16 Договора, или в ранее полученном уведомлении Стороны об изменении адреса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t xml:space="preserve">14.8.2. Доставкой лично или курьером Стороны-отправителя по адресу ее места нахождения / почтовому адресу, указанному в разделе 16 Договора, или в ранее полученном уведомлении Стороны об изменении адреса – в дату и время фактического приема уведомления Стороной-получателем с отметкой о получении; </w:t>
      </w:r>
    </w:p>
    <w:p>
      <w:pPr>
        <w:pStyle w:val="ListParagraph"/>
        <w:ind w:left="0" w:firstLine="709"/>
        <w:jc w:val="both"/>
        <w:rPr/>
      </w:pPr>
      <w:bookmarkStart w:id="12" w:name="_Ref361338032"/>
      <w:r>
        <w:rPr/>
        <w:t xml:space="preserve">14.8.3. </w:t>
      </w:r>
      <w:bookmarkEnd w:id="12"/>
      <w:r>
        <w:rPr/>
        <w:t>Посредством электронной почты (e-mail)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pPr>
      <w: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shd w:val="clear" w:color="auto" w:fill="FFFFFF"/>
        <w:tabs>
          <w:tab w:val="clear" w:pos="709"/>
          <w:tab w:val="left" w:pos="0" w:leader="none"/>
          <w:tab w:val="left" w:pos="1418" w:leader="none"/>
          <w:tab w:val="left" w:pos="1701" w:leader="none"/>
        </w:tabs>
        <w:ind w:left="0" w:firstLine="709"/>
        <w:jc w:val="both"/>
        <w:rPr/>
      </w:pPr>
      <w: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0"/>
        </w:numPr>
        <w:shd w:val="clear" w:color="auto" w:fill="FFFFFF"/>
        <w:tabs>
          <w:tab w:val="left" w:pos="709"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0"/>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0"/>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tabs>
          <w:tab w:val="clear" w:pos="709"/>
          <w:tab w:val="left" w:pos="1418" w:leader="none"/>
        </w:tabs>
        <w:ind w:firstLine="426"/>
        <w:jc w:val="both"/>
        <w:rPr>
          <w:lang w:val="ru-RU"/>
        </w:rPr>
      </w:pPr>
      <w:r>
        <w:rPr>
          <w:lang w:val="ru-RU"/>
        </w:rPr>
      </w:r>
    </w:p>
    <w:p>
      <w:pPr>
        <w:pStyle w:val="Normal"/>
        <w:shd w:val="clear" w:color="auto" w:fill="FFFFFF"/>
        <w:tabs>
          <w:tab w:val="clear" w:pos="709"/>
          <w:tab w:val="left" w:pos="1418" w:leader="none"/>
        </w:tabs>
        <w:ind w:firstLine="426"/>
        <w:jc w:val="both"/>
        <w:rPr>
          <w:lang w:val="ru-RU"/>
        </w:rPr>
      </w:pPr>
      <w:r>
        <w:rPr>
          <w:lang w:val="ru-RU"/>
        </w:rPr>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Техническое задание;</w:t>
      </w:r>
    </w:p>
    <w:p>
      <w:pPr>
        <w:pStyle w:val="Normal"/>
        <w:tabs>
          <w:tab w:val="clear" w:pos="709"/>
          <w:tab w:val="left" w:pos="2127" w:leader="none"/>
          <w:tab w:val="left" w:pos="2410" w:leader="none"/>
        </w:tabs>
        <w:jc w:val="both"/>
        <w:rPr>
          <w:lang w:val="ru-RU"/>
        </w:rPr>
      </w:pPr>
      <w:r>
        <w:rPr>
          <w:lang w:val="ru-RU"/>
        </w:rPr>
        <w:t>Приложение № 2 – Расчет стоимости Услуг;</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8929"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441"/>
        <w:gridCol w:w="4487"/>
      </w:tblGrid>
      <w:tr>
        <w:trPr/>
        <w:tc>
          <w:tcPr>
            <w:tcW w:w="4441" w:type="dxa"/>
            <w:tcBorders/>
            <w:shd w:color="auto" w:fill="auto" w:val="clear"/>
          </w:tcPr>
          <w:p>
            <w:pPr>
              <w:pStyle w:val="Normal"/>
              <w:widowControl w:val="false"/>
              <w:rPr/>
            </w:pPr>
            <w:r>
              <w:rPr/>
              <w:t>ЗАКАЗЧИК:</w:t>
            </w:r>
          </w:p>
        </w:tc>
        <w:tc>
          <w:tcPr>
            <w:tcW w:w="4487" w:type="dxa"/>
            <w:tcBorders/>
            <w:shd w:color="auto" w:fill="auto" w:val="clear"/>
          </w:tcPr>
          <w:p>
            <w:pPr>
              <w:pStyle w:val="Normal"/>
              <w:widowControl w:val="false"/>
              <w:rPr/>
            </w:pPr>
            <w:r>
              <w:rPr>
                <w:lang w:val="ru-RU"/>
              </w:rPr>
              <w:t>ИСПОЛНИТЕЛЬ</w:t>
            </w:r>
            <w:r>
              <w:rPr/>
              <w:t>:</w:t>
            </w:r>
          </w:p>
        </w:tc>
      </w:tr>
      <w:tr>
        <w:trPr/>
        <w:tc>
          <w:tcPr>
            <w:tcW w:w="4441" w:type="dxa"/>
            <w:tcBorders/>
            <w:shd w:color="auto" w:fill="auto" w:val="clear"/>
          </w:tcPr>
          <w:p>
            <w:pPr>
              <w:pStyle w:val="Normal"/>
              <w:widowControl w:val="false"/>
              <w:rPr>
                <w:b/>
                <w:lang w:val="ru-RU"/>
              </w:rPr>
            </w:pPr>
            <w:r>
              <w:rPr>
                <w:b/>
                <w:lang w:val="ru-RU"/>
              </w:rPr>
              <w:t>Акционерное общество</w:t>
            </w:r>
          </w:p>
          <w:p>
            <w:pPr>
              <w:pStyle w:val="Normal"/>
              <w:widowControl w:val="false"/>
              <w:rPr>
                <w:b/>
                <w:lang w:val="ru-RU"/>
              </w:rPr>
            </w:pPr>
            <w:r>
              <w:rPr>
                <w:b/>
                <w:lang w:val="ru-RU"/>
              </w:rPr>
              <w:t>«Транспортная компания РусГидро»</w:t>
            </w:r>
          </w:p>
          <w:p>
            <w:pPr>
              <w:pStyle w:val="Normal"/>
              <w:widowControl w:val="false"/>
              <w:rPr>
                <w:b/>
                <w:lang w:val="ru-RU"/>
              </w:rPr>
            </w:pPr>
            <w:r>
              <w:rPr>
                <w:b/>
                <w:lang w:val="ru-RU"/>
              </w:rPr>
              <w:t>(АО «ТК РусГидро»)</w:t>
            </w:r>
          </w:p>
          <w:p>
            <w:pPr>
              <w:pStyle w:val="Normal"/>
              <w:widowControl w:val="false"/>
              <w:rPr>
                <w:b/>
                <w:lang w:val="ru-RU"/>
              </w:rPr>
            </w:pPr>
            <w:r>
              <w:rPr>
                <w:b/>
                <w:lang w:val="ru-RU"/>
              </w:rPr>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 xml:space="preserve">«Газпромбанк» (Акционерное общество) </w:t>
            </w:r>
          </w:p>
          <w:p>
            <w:pPr>
              <w:pStyle w:val="Normal"/>
              <w:widowControl w:val="false"/>
              <w:rPr>
                <w:lang w:val="ru-RU"/>
              </w:rPr>
            </w:pPr>
            <w:r>
              <w:rPr>
                <w:lang w:val="ru-RU"/>
              </w:rPr>
              <w:t xml:space="preserve">ГПБ (АО) г. Москва </w:t>
            </w:r>
          </w:p>
          <w:p>
            <w:pPr>
              <w:pStyle w:val="Normal"/>
              <w:widowControl w:val="false"/>
              <w:rPr>
                <w:lang w:val="ru-RU"/>
              </w:rPr>
            </w:pPr>
            <w:r>
              <w:rPr>
                <w:lang w:val="ru-RU"/>
              </w:rPr>
              <w:t xml:space="preserve">к/с 30101 810 2 0000 0000823 </w:t>
            </w:r>
          </w:p>
          <w:p>
            <w:pPr>
              <w:pStyle w:val="Normal"/>
              <w:widowControl w:val="false"/>
              <w:rPr>
                <w:lang w:val="ru-RU"/>
              </w:rPr>
            </w:pPr>
            <w:r>
              <w:rPr>
                <w:lang w:val="ru-RU"/>
              </w:rPr>
              <w:t>БИК 044525823</w:t>
            </w:r>
          </w:p>
          <w:p>
            <w:pPr>
              <w:pStyle w:val="Normal"/>
              <w:widowControl w:val="false"/>
              <w:rPr>
                <w:lang w:val="ru-RU"/>
              </w:rPr>
            </w:pPr>
            <w:r>
              <w:rPr>
                <w:lang w:val="ru-RU"/>
              </w:rPr>
            </w:r>
          </w:p>
          <w:p>
            <w:pPr>
              <w:pStyle w:val="Normal"/>
              <w:widowControl w:val="false"/>
              <w:rPr>
                <w:lang w:val="ru-RU"/>
              </w:rPr>
            </w:pPr>
            <w:r>
              <w:rPr>
                <w:lang w:val="ru-RU"/>
              </w:rPr>
              <w:t xml:space="preserve">Камчатский филиал </w:t>
            </w:r>
          </w:p>
          <w:p>
            <w:pPr>
              <w:pStyle w:val="Normal"/>
              <w:widowControl w:val="false"/>
              <w:rPr>
                <w:lang w:val="ru-RU"/>
              </w:rPr>
            </w:pPr>
            <w:r>
              <w:rPr>
                <w:lang w:val="ru-RU"/>
              </w:rPr>
              <w:t>АО «ТК РусГидро»</w:t>
            </w:r>
          </w:p>
          <w:p>
            <w:pPr>
              <w:pStyle w:val="Normal"/>
              <w:widowControl w:val="false"/>
              <w:rPr>
                <w:lang w:val="ru-RU"/>
              </w:rPr>
            </w:pPr>
            <w:r>
              <w:rPr>
                <w:lang w:val="ru-RU"/>
              </w:rPr>
              <w:t>Почтовый адрес: 683032, Камчатский край, г. Петропавловск-Камчатский, ул. Пограничная, д. 14а</w:t>
            </w:r>
          </w:p>
          <w:p>
            <w:pPr>
              <w:pStyle w:val="Normal"/>
              <w:widowControl w:val="false"/>
              <w:rPr>
                <w:lang w:val="ru-RU"/>
              </w:rPr>
            </w:pPr>
            <w:r>
              <w:rPr>
                <w:lang w:val="ru-RU"/>
              </w:rPr>
              <w:t>ИНН: 1902018248; КПП: 410143001.</w:t>
            </w:r>
          </w:p>
        </w:tc>
        <w:tc>
          <w:tcPr>
            <w:tcW w:w="4487" w:type="dxa"/>
            <w:tcBorders/>
            <w:shd w:color="auto" w:fill="auto" w:val="clear"/>
          </w:tcPr>
          <w:p>
            <w:pPr>
              <w:pStyle w:val="Normal"/>
              <w:widowControl w:val="false"/>
              <w:rPr>
                <w:b/>
                <w:lang w:val="ru-RU"/>
              </w:rPr>
            </w:pPr>
            <w:r>
              <w:rPr>
                <w:b/>
                <w:lang w:val="ru-RU"/>
              </w:rPr>
              <w:t>Муниципальное автотранспортное предприятие Билибинского муниципального района</w:t>
            </w:r>
          </w:p>
          <w:p>
            <w:pPr>
              <w:pStyle w:val="Normal"/>
              <w:widowControl w:val="false"/>
              <w:rPr>
                <w:lang w:val="ru-RU"/>
              </w:rPr>
            </w:pPr>
            <w:r>
              <w:rPr>
                <w:lang w:val="ru-RU"/>
              </w:rPr>
            </w:r>
          </w:p>
          <w:p>
            <w:pPr>
              <w:pStyle w:val="Normal"/>
              <w:widowControl w:val="false"/>
              <w:rPr>
                <w:lang w:val="ru-RU"/>
              </w:rPr>
            </w:pPr>
            <w:r>
              <w:rPr>
                <w:lang w:val="ru-RU"/>
              </w:rPr>
              <w:t>Юридический адрес: 689450, Россия, Чукотский автономный округ, г. Билибино, ул. Берзина, 6</w:t>
            </w:r>
          </w:p>
          <w:p>
            <w:pPr>
              <w:pStyle w:val="Normal"/>
              <w:widowControl w:val="false"/>
              <w:rPr>
                <w:lang w:val="ru-RU"/>
              </w:rPr>
            </w:pPr>
            <w:r>
              <w:rPr>
                <w:rFonts w:eastAsia="" w:eastAsiaTheme="minorEastAsia"/>
                <w:lang w:val="ru-RU"/>
              </w:rPr>
              <w:t xml:space="preserve">Почтовый адрес: </w:t>
            </w:r>
            <w:r>
              <w:rPr>
                <w:lang w:val="ru-RU"/>
              </w:rPr>
              <w:t>689450, Россия, Чукотский автономный округ, г. Билибино, ул. Берзина, 6</w:t>
            </w:r>
            <w:r>
              <w:rPr>
                <w:rFonts w:eastAsia="" w:eastAsiaTheme="minorEastAsia"/>
                <w:lang w:val="ru-RU"/>
              </w:rPr>
              <w:br/>
            </w:r>
          </w:p>
          <w:p>
            <w:pPr>
              <w:pStyle w:val="Normal"/>
              <w:widowControl w:val="false"/>
              <w:rPr>
                <w:lang w:val="ru-RU"/>
              </w:rPr>
            </w:pPr>
            <w:r>
              <w:rPr>
                <w:lang w:val="ru-RU"/>
              </w:rPr>
              <w:t xml:space="preserve">ИНН: </w:t>
            </w:r>
            <w:r>
              <w:rPr>
                <w:rFonts w:eastAsia="" w:eastAsiaTheme="minorEastAsia"/>
                <w:lang w:val="ru-RU"/>
              </w:rPr>
              <w:t>8703009080</w:t>
            </w:r>
            <w:r>
              <w:rPr>
                <w:lang w:val="ru-RU"/>
              </w:rPr>
              <w:t>/ КПП 870301001</w:t>
            </w:r>
          </w:p>
          <w:p>
            <w:pPr>
              <w:pStyle w:val="Normal"/>
              <w:widowControl w:val="false"/>
              <w:rPr>
                <w:lang w:val="ru-RU"/>
              </w:rPr>
            </w:pPr>
            <w:r>
              <w:rPr>
                <w:rFonts w:eastAsia="" w:eastAsiaTheme="minorEastAsia"/>
                <w:lang w:val="ru-RU"/>
              </w:rPr>
              <w:t>40702810836000001676</w:t>
            </w:r>
          </w:p>
          <w:p>
            <w:pPr>
              <w:pStyle w:val="Normal"/>
              <w:widowControl w:val="false"/>
              <w:rPr>
                <w:lang w:val="ru-RU"/>
              </w:rPr>
            </w:pPr>
            <w:r>
              <w:rPr>
                <w:lang w:val="ru-RU"/>
              </w:rPr>
              <w:t>(номер расчетного счета)</w:t>
            </w:r>
          </w:p>
          <w:p>
            <w:pPr>
              <w:pStyle w:val="Normal"/>
              <w:widowControl w:val="false"/>
              <w:rPr>
                <w:lang w:val="ru-RU"/>
              </w:rPr>
            </w:pPr>
            <w:r>
              <w:rPr>
                <w:rFonts w:eastAsia="" w:eastAsiaTheme="minorEastAsia"/>
                <w:lang w:val="ru-RU"/>
              </w:rPr>
              <w:t>Северо-Восточное отделение №8645 ПАО Сбербанк</w:t>
            </w:r>
            <w:r>
              <w:rPr>
                <w:lang w:val="ru-RU"/>
              </w:rPr>
              <w:t xml:space="preserve"> </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rFonts w:eastAsia="" w:eastAsiaTheme="minorEastAsia"/>
                <w:lang w:val="ru-RU"/>
              </w:rPr>
              <w:t>30101810300000000607</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rFonts w:eastAsia="" w:eastAsiaTheme="minorEastAsia"/>
                <w:lang w:val="ru-RU"/>
              </w:rPr>
              <w:t>044442607</w:t>
            </w:r>
            <w:r>
              <w:rPr>
                <w:lang w:val="ru-RU"/>
              </w:rPr>
              <w:t xml:space="preserve"> </w:t>
            </w:r>
          </w:p>
          <w:p>
            <w:pPr>
              <w:pStyle w:val="Normal"/>
              <w:widowControl w:val="false"/>
              <w:rPr>
                <w:lang w:val="ru-RU"/>
              </w:rPr>
            </w:pPr>
            <w:r>
              <w:rPr>
                <w:lang w:val="ru-RU"/>
              </w:rPr>
              <w:t>(БИК банка)</w:t>
            </w:r>
          </w:p>
          <w:p>
            <w:pPr>
              <w:pStyle w:val="Normal"/>
              <w:widowControl w:val="false"/>
              <w:rPr>
                <w:lang w:val="ru-RU"/>
              </w:rPr>
            </w:pPr>
            <w:r>
              <w:rPr>
                <w:lang w:val="ru-RU"/>
              </w:rPr>
              <w:t>+7 (42738) 2-58-36, 2-46-84</w:t>
            </w:r>
          </w:p>
          <w:p>
            <w:pPr>
              <w:pStyle w:val="Normal"/>
              <w:widowControl w:val="false"/>
              <w:rPr>
                <w:lang w:val="ru-RU"/>
              </w:rPr>
            </w:pPr>
            <w:r>
              <w:rPr>
                <w:lang w:val="ru-RU"/>
              </w:rPr>
              <w:t>(номер телефона/факс)</w:t>
            </w:r>
          </w:p>
          <w:p>
            <w:pPr>
              <w:pStyle w:val="Normal"/>
              <w:widowControl w:val="false"/>
              <w:rPr>
                <w:lang w:val="ru-RU"/>
              </w:rPr>
            </w:pPr>
            <w:r>
              <w:rPr>
                <w:lang w:val="ru-RU"/>
              </w:rPr>
            </w:r>
          </w:p>
        </w:tc>
      </w:tr>
      <w:tr>
        <w:trPr/>
        <w:tc>
          <w:tcPr>
            <w:tcW w:w="4441" w:type="dxa"/>
            <w:tcBorders/>
            <w:shd w:color="auto" w:fill="auto" w:val="clear"/>
          </w:tcPr>
          <w:p>
            <w:pPr>
              <w:pStyle w:val="Normal"/>
              <w:widowControl w:val="false"/>
              <w:rPr>
                <w:lang w:val="ru-RU"/>
              </w:rPr>
            </w:pPr>
            <w:r>
              <w:rPr>
                <w:lang w:val="ru-RU"/>
              </w:rPr>
              <w:t xml:space="preserve">Директор Камчатского филиала </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t>М.П.</w:t>
            </w:r>
          </w:p>
        </w:tc>
        <w:tc>
          <w:tcPr>
            <w:tcW w:w="4487" w:type="dxa"/>
            <w:tcBorders/>
            <w:shd w:color="auto" w:fill="auto" w:val="clear"/>
          </w:tcPr>
          <w:p>
            <w:pPr>
              <w:pStyle w:val="Normal"/>
              <w:widowControl w:val="false"/>
              <w:rPr>
                <w:lang w:val="ru-RU"/>
              </w:rPr>
            </w:pPr>
            <w:r>
              <w:rPr>
                <w:lang w:val="ru-RU"/>
              </w:rPr>
              <w:t>Директор МАП БМР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t>М.П.</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bookmarkStart w:id="13" w:name="_GoBack"/>
      <w:bookmarkStart w:id="14" w:name="_GoBack"/>
      <w:bookmarkEnd w:id="14"/>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center"/>
        <w:rPr>
          <w:b/>
          <w:sz w:val="28"/>
          <w:szCs w:val="28"/>
          <w:lang w:val="ru-RU"/>
        </w:rPr>
      </w:pPr>
      <w:r>
        <w:rPr>
          <w:b/>
          <w:sz w:val="28"/>
          <w:szCs w:val="28"/>
          <w:lang w:val="ru-RU"/>
        </w:rPr>
        <w:t>Техническое задание</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t>М.П.</w:t>
            </w:r>
          </w:p>
        </w:tc>
        <w:tc>
          <w:tcPr>
            <w:tcW w:w="4785" w:type="dxa"/>
            <w:tcBorders/>
          </w:tcPr>
          <w:p>
            <w:pPr>
              <w:pStyle w:val="Normal"/>
              <w:widowControl w:val="false"/>
              <w:rPr>
                <w:lang w:val="ru-RU"/>
              </w:rPr>
            </w:pPr>
            <w:r>
              <w:rPr>
                <w:lang w:val="ru-RU"/>
              </w:rPr>
              <w:t>Директор МАП БМР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t>М.П.</w:t>
            </w:r>
          </w:p>
        </w:tc>
      </w:tr>
    </w:tbl>
    <w:p>
      <w:pPr>
        <w:sectPr>
          <w:headerReference w:type="default" r:id="rId5"/>
          <w:footerReference w:type="default" r:id="rId6"/>
          <w:type w:val="nextPage"/>
          <w:pgSz w:w="11906" w:h="16838"/>
          <w:pgMar w:left="992" w:right="1985" w:gutter="0" w:header="567" w:top="851" w:footer="709" w:bottom="766"/>
          <w:pgNumType w:fmt="decimal"/>
          <w:formProt w:val="false"/>
          <w:textDirection w:val="lrTb"/>
          <w:docGrid w:type="default" w:linePitch="360" w:charSpace="0"/>
        </w:sectPr>
      </w:pPr>
    </w:p>
    <w:p>
      <w:pPr>
        <w:pStyle w:val="Normal"/>
        <w:ind w:firstLine="709"/>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sz w:val="28"/>
          <w:szCs w:val="28"/>
          <w:lang w:val="ru-RU"/>
        </w:rPr>
      </w:pPr>
      <w:r>
        <w:rPr>
          <w:b/>
          <w:sz w:val="28"/>
          <w:szCs w:val="28"/>
          <w:lang w:val="ru-RU"/>
        </w:rPr>
        <w:t>Расчет стоимости Услуг</w:t>
      </w:r>
    </w:p>
    <w:p>
      <w:pPr>
        <w:pStyle w:val="Normal"/>
        <w:jc w:val="center"/>
        <w:rPr>
          <w:lang w:val="ru-RU" w:eastAsia="en-US"/>
        </w:rPr>
      </w:pPr>
      <w:r>
        <w:rPr>
          <w:lang w:val="ru-RU" w:eastAsia="en-US"/>
        </w:rPr>
      </w:r>
    </w:p>
    <w:p>
      <w:pPr>
        <w:pStyle w:val="Normal"/>
        <w:jc w:val="center"/>
        <w:rPr>
          <w:lang w:val="ru-RU" w:eastAsia="en-US"/>
        </w:rPr>
      </w:pPr>
      <w:r>
        <w:rPr>
          <w:lang w:val="ru-RU" w:eastAsia="en-US"/>
        </w:rPr>
      </w:r>
    </w:p>
    <w:tbl>
      <w:tblPr>
        <w:tblW w:w="970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61"/>
        <w:gridCol w:w="4403"/>
        <w:gridCol w:w="930"/>
        <w:gridCol w:w="807"/>
        <w:gridCol w:w="1212"/>
        <w:gridCol w:w="1792"/>
      </w:tblGrid>
      <w:tr>
        <w:trPr>
          <w:trHeight w:val="525" w:hRule="atLeast"/>
        </w:trPr>
        <w:tc>
          <w:tcPr>
            <w:tcW w:w="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 xml:space="preserve">№ </w:t>
            </w:r>
            <w:r>
              <w:rPr>
                <w:color w:val="000000"/>
              </w:rPr>
              <w:t>п/п</w:t>
            </w:r>
          </w:p>
        </w:tc>
        <w:tc>
          <w:tcPr>
            <w:tcW w:w="4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Наименование работ (услуг)</w:t>
            </w:r>
          </w:p>
        </w:tc>
        <w:tc>
          <w:tcPr>
            <w:tcW w:w="93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Ед. изм.</w:t>
            </w:r>
          </w:p>
        </w:tc>
        <w:tc>
          <w:tcPr>
            <w:tcW w:w="80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Кол-во</w:t>
            </w:r>
          </w:p>
        </w:tc>
        <w:tc>
          <w:tcPr>
            <w:tcW w:w="1212"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Цена, руб. без НДС</w:t>
            </w:r>
          </w:p>
        </w:tc>
        <w:tc>
          <w:tcPr>
            <w:tcW w:w="1792"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Стоимость, руб. без НДС</w:t>
            </w:r>
          </w:p>
        </w:tc>
      </w:tr>
      <w:tr>
        <w:trPr>
          <w:trHeight w:val="510" w:hRule="atLeast"/>
        </w:trPr>
        <w:tc>
          <w:tcPr>
            <w:tcW w:w="561"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rPr>
            </w:pPr>
            <w:r>
              <w:rPr>
                <w:color w:val="000000"/>
              </w:rPr>
              <w:t>1</w:t>
            </w:r>
          </w:p>
        </w:tc>
        <w:tc>
          <w:tcPr>
            <w:tcW w:w="4403" w:type="dxa"/>
            <w:tcBorders>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r>
          </w:p>
        </w:tc>
        <w:tc>
          <w:tcPr>
            <w:tcW w:w="930" w:type="dxa"/>
            <w:tcBorders>
              <w:bottom w:val="single" w:sz="4" w:space="0" w:color="000000"/>
              <w:right w:val="single" w:sz="4" w:space="0" w:color="000000"/>
            </w:tcBorders>
            <w:shd w:color="auto" w:fill="auto" w:val="clear"/>
            <w:vAlign w:val="center"/>
          </w:tcPr>
          <w:p>
            <w:pPr>
              <w:pStyle w:val="Normal"/>
              <w:widowControl w:val="false"/>
              <w:jc w:val="center"/>
              <w:rPr>
                <w:color w:val="000000"/>
              </w:rPr>
            </w:pPr>
            <w:r>
              <w:rPr>
                <w:color w:val="000000"/>
              </w:rPr>
              <w:t>Нормо-час</w:t>
            </w:r>
          </w:p>
        </w:tc>
        <w:tc>
          <w:tcPr>
            <w:tcW w:w="807" w:type="dxa"/>
            <w:tcBorders>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r>
          </w:p>
        </w:tc>
        <w:tc>
          <w:tcPr>
            <w:tcW w:w="1212" w:type="dxa"/>
            <w:tcBorders>
              <w:bottom w:val="single" w:sz="4" w:space="0" w:color="000000"/>
              <w:right w:val="single" w:sz="4" w:space="0" w:color="000000"/>
            </w:tcBorders>
            <w:shd w:color="auto" w:fill="auto" w:val="clear"/>
            <w:vAlign w:val="bottom"/>
          </w:tcPr>
          <w:p>
            <w:pPr>
              <w:pStyle w:val="Normal"/>
              <w:widowControl w:val="false"/>
              <w:rPr>
                <w:color w:val="000000"/>
                <w:lang w:val="ru-RU"/>
              </w:rPr>
            </w:pPr>
            <w:r>
              <w:rPr>
                <w:color w:val="000000"/>
                <w:lang w:val="ru-RU"/>
              </w:rPr>
            </w:r>
          </w:p>
        </w:tc>
        <w:tc>
          <w:tcPr>
            <w:tcW w:w="1792" w:type="dxa"/>
            <w:tcBorders>
              <w:bottom w:val="single" w:sz="4" w:space="0" w:color="000000"/>
              <w:right w:val="single" w:sz="4" w:space="0" w:color="000000"/>
            </w:tcBorders>
            <w:shd w:color="auto" w:fill="auto" w:val="clear"/>
            <w:vAlign w:val="bottom"/>
          </w:tcPr>
          <w:p>
            <w:pPr>
              <w:pStyle w:val="Normal"/>
              <w:widowControl w:val="false"/>
              <w:rPr>
                <w:color w:val="000000"/>
                <w:lang w:val="ru-RU"/>
              </w:rPr>
            </w:pPr>
            <w:r>
              <w:rPr>
                <w:color w:val="000000"/>
                <w:lang w:val="ru-RU"/>
              </w:rPr>
            </w:r>
          </w:p>
        </w:tc>
      </w:tr>
      <w:tr>
        <w:trPr>
          <w:trHeight w:val="255" w:hRule="atLeast"/>
        </w:trPr>
        <w:tc>
          <w:tcPr>
            <w:tcW w:w="561" w:type="dxa"/>
            <w:tcBorders/>
            <w:shd w:color="auto" w:fill="auto" w:val="clear"/>
          </w:tcPr>
          <w:p>
            <w:pPr>
              <w:pStyle w:val="Normal"/>
              <w:widowControl w:val="false"/>
              <w:rPr>
                <w:color w:val="000000"/>
              </w:rPr>
            </w:pPr>
            <w:r>
              <w:rPr>
                <w:color w:val="000000"/>
              </w:rPr>
            </w:r>
          </w:p>
        </w:tc>
        <w:tc>
          <w:tcPr>
            <w:tcW w:w="4403" w:type="dxa"/>
            <w:tcBorders/>
            <w:shd w:color="auto" w:fill="auto" w:val="clear"/>
          </w:tcPr>
          <w:p>
            <w:pPr>
              <w:pStyle w:val="Normal"/>
              <w:widowControl w:val="false"/>
              <w:rPr/>
            </w:pPr>
            <w:r>
              <w:rPr/>
            </w:r>
          </w:p>
        </w:tc>
        <w:tc>
          <w:tcPr>
            <w:tcW w:w="2949" w:type="dxa"/>
            <w:gridSpan w:val="3"/>
            <w:tcBorders>
              <w:left w:val="single" w:sz="4" w:space="0" w:color="000000"/>
              <w:bottom w:val="single" w:sz="4" w:space="0" w:color="000000"/>
              <w:right w:val="single" w:sz="4" w:space="0" w:color="000000"/>
            </w:tcBorders>
            <w:shd w:color="auto" w:fill="auto" w:val="clear"/>
          </w:tcPr>
          <w:p>
            <w:pPr>
              <w:pStyle w:val="Normal"/>
              <w:widowControl w:val="false"/>
              <w:jc w:val="right"/>
              <w:rPr>
                <w:b/>
                <w:color w:val="000000"/>
              </w:rPr>
            </w:pPr>
            <w:r>
              <w:rPr>
                <w:b/>
                <w:color w:val="000000"/>
              </w:rPr>
              <w:t>Итого, руб. без НДС</w:t>
            </w:r>
          </w:p>
        </w:tc>
        <w:tc>
          <w:tcPr>
            <w:tcW w:w="1792" w:type="dxa"/>
            <w:tcBorders>
              <w:bottom w:val="single" w:sz="4" w:space="0" w:color="000000"/>
              <w:right w:val="single" w:sz="4" w:space="0" w:color="000000"/>
            </w:tcBorders>
            <w:shd w:color="auto" w:fill="auto" w:val="clear"/>
          </w:tcPr>
          <w:p>
            <w:pPr>
              <w:pStyle w:val="Normal"/>
              <w:widowControl w:val="false"/>
              <w:rPr>
                <w:color w:val="000000"/>
                <w:lang w:val="ru-RU"/>
              </w:rPr>
            </w:pPr>
            <w:r>
              <w:rPr>
                <w:color w:val="000000"/>
                <w:lang w:val="ru-RU"/>
              </w:rPr>
            </w:r>
          </w:p>
        </w:tc>
      </w:tr>
      <w:tr>
        <w:trPr>
          <w:trHeight w:val="255" w:hRule="atLeast"/>
        </w:trPr>
        <w:tc>
          <w:tcPr>
            <w:tcW w:w="561" w:type="dxa"/>
            <w:tcBorders/>
            <w:shd w:color="auto" w:fill="auto" w:val="clear"/>
          </w:tcPr>
          <w:p>
            <w:pPr>
              <w:pStyle w:val="Normal"/>
              <w:widowControl w:val="false"/>
              <w:rPr>
                <w:color w:val="000000"/>
              </w:rPr>
            </w:pPr>
            <w:r>
              <w:rPr>
                <w:color w:val="000000"/>
              </w:rPr>
            </w:r>
          </w:p>
        </w:tc>
        <w:tc>
          <w:tcPr>
            <w:tcW w:w="4403" w:type="dxa"/>
            <w:tcBorders/>
            <w:shd w:color="auto" w:fill="auto" w:val="clear"/>
          </w:tcPr>
          <w:p>
            <w:pPr>
              <w:pStyle w:val="Normal"/>
              <w:widowControl w:val="false"/>
              <w:rPr/>
            </w:pPr>
            <w:r>
              <w:rPr/>
            </w:r>
          </w:p>
        </w:tc>
        <w:tc>
          <w:tcPr>
            <w:tcW w:w="294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color w:val="000000"/>
              </w:rPr>
            </w:pPr>
            <w:r>
              <w:rPr>
                <w:b/>
                <w:color w:val="000000"/>
              </w:rPr>
              <w:t>НДС</w:t>
            </w:r>
          </w:p>
        </w:tc>
        <w:tc>
          <w:tcPr>
            <w:tcW w:w="1792" w:type="dxa"/>
            <w:tcBorders>
              <w:bottom w:val="single" w:sz="4" w:space="0" w:color="000000"/>
              <w:right w:val="single" w:sz="4" w:space="0" w:color="000000"/>
            </w:tcBorders>
            <w:shd w:color="auto" w:fill="auto" w:val="clear"/>
          </w:tcPr>
          <w:p>
            <w:pPr>
              <w:pStyle w:val="Normal"/>
              <w:widowControl w:val="false"/>
              <w:rPr>
                <w:color w:val="000000"/>
              </w:rPr>
            </w:pPr>
            <w:r>
              <w:rPr>
                <w:color w:val="000000"/>
              </w:rPr>
            </w:r>
          </w:p>
        </w:tc>
      </w:tr>
      <w:tr>
        <w:trPr>
          <w:trHeight w:val="255" w:hRule="atLeast"/>
        </w:trPr>
        <w:tc>
          <w:tcPr>
            <w:tcW w:w="561" w:type="dxa"/>
            <w:tcBorders/>
            <w:shd w:color="auto" w:fill="auto" w:val="clear"/>
          </w:tcPr>
          <w:p>
            <w:pPr>
              <w:pStyle w:val="Normal"/>
              <w:widowControl w:val="false"/>
              <w:rPr>
                <w:color w:val="000000"/>
              </w:rPr>
            </w:pPr>
            <w:r>
              <w:rPr>
                <w:color w:val="000000"/>
              </w:rPr>
            </w:r>
          </w:p>
        </w:tc>
        <w:tc>
          <w:tcPr>
            <w:tcW w:w="4403" w:type="dxa"/>
            <w:tcBorders/>
            <w:shd w:color="auto" w:fill="auto" w:val="clear"/>
          </w:tcPr>
          <w:p>
            <w:pPr>
              <w:pStyle w:val="Normal"/>
              <w:widowControl w:val="false"/>
              <w:rPr/>
            </w:pPr>
            <w:r>
              <w:rPr/>
            </w:r>
          </w:p>
        </w:tc>
        <w:tc>
          <w:tcPr>
            <w:tcW w:w="294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color w:val="000000"/>
              </w:rPr>
            </w:pPr>
            <w:r>
              <w:rPr>
                <w:b/>
                <w:color w:val="000000"/>
              </w:rPr>
              <w:t>Итого, руб. с НДС</w:t>
            </w:r>
          </w:p>
        </w:tc>
        <w:tc>
          <w:tcPr>
            <w:tcW w:w="1792" w:type="dxa"/>
            <w:tcBorders>
              <w:bottom w:val="single" w:sz="4" w:space="0" w:color="000000"/>
              <w:right w:val="single" w:sz="4" w:space="0" w:color="000000"/>
            </w:tcBorders>
            <w:shd w:color="auto" w:fill="auto" w:val="clear"/>
          </w:tcPr>
          <w:p>
            <w:pPr>
              <w:pStyle w:val="Normal"/>
              <w:widowControl w:val="false"/>
              <w:rPr>
                <w:b/>
                <w:color w:val="000000"/>
                <w:lang w:val="ru-RU"/>
              </w:rPr>
            </w:pPr>
            <w:r>
              <w:rPr>
                <w:b/>
                <w:color w:val="000000"/>
                <w:lang w:val="ru-RU"/>
              </w:rPr>
            </w:r>
          </w:p>
        </w:tc>
      </w:tr>
    </w:tbl>
    <w:p>
      <w:pPr>
        <w:pStyle w:val="Normal"/>
        <w:jc w:val="center"/>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p>
      <w:pPr>
        <w:pStyle w:val="Normal"/>
        <w:jc w:val="right"/>
        <w:rPr>
          <w:lang w:val="ru-RU"/>
        </w:rPr>
      </w:pPr>
      <w:r>
        <w:rPr>
          <w:lang w:val="ru-RU"/>
        </w:rPr>
      </w:r>
    </w:p>
    <w:p>
      <w:pPr>
        <w:pStyle w:val="Normal"/>
        <w:jc w:val="right"/>
        <w:rPr>
          <w:lang w:val="ru-RU"/>
        </w:rPr>
      </w:pPr>
      <w:r>
        <w:rPr>
          <w:lang w:val="ru-RU"/>
        </w:rPr>
      </w:r>
    </w:p>
    <w:tbl>
      <w:tblPr>
        <w:tblW w:w="8929" w:type="dxa"/>
        <w:jc w:val="left"/>
        <w:tblInd w:w="506" w:type="dxa"/>
        <w:tblLayout w:type="fixed"/>
        <w:tblCellMar>
          <w:top w:w="0" w:type="dxa"/>
          <w:left w:w="108" w:type="dxa"/>
          <w:bottom w:w="0" w:type="dxa"/>
          <w:right w:w="108" w:type="dxa"/>
        </w:tblCellMar>
        <w:tblLook w:val="0000" w:noVBand="0" w:noHBand="0" w:lastColumn="0" w:firstColumn="0" w:lastRow="0" w:firstRow="0"/>
      </w:tblPr>
      <w:tblGrid>
        <w:gridCol w:w="4464"/>
        <w:gridCol w:w="4464"/>
      </w:tblGrid>
      <w:tr>
        <w:trPr/>
        <w:tc>
          <w:tcPr>
            <w:tcW w:w="4464" w:type="dxa"/>
            <w:tcBorders/>
          </w:tcPr>
          <w:p>
            <w:pPr>
              <w:pStyle w:val="Normal"/>
              <w:widowControl w:val="false"/>
              <w:rPr>
                <w:b/>
              </w:rPr>
            </w:pPr>
            <w:r>
              <w:rPr>
                <w:b/>
              </w:rPr>
              <w:t>Заказчик:</w:t>
            </w:r>
          </w:p>
        </w:tc>
        <w:tc>
          <w:tcPr>
            <w:tcW w:w="4464" w:type="dxa"/>
            <w:tcBorders/>
          </w:tcPr>
          <w:p>
            <w:pPr>
              <w:pStyle w:val="Normal"/>
              <w:widowControl w:val="false"/>
              <w:rPr>
                <w:b/>
              </w:rPr>
            </w:pPr>
            <w:r>
              <w:rPr>
                <w:b/>
                <w:lang w:val="ru-RU"/>
              </w:rPr>
              <w:t>Исполнитель</w:t>
            </w:r>
            <w:r>
              <w:rPr>
                <w:b/>
              </w:rPr>
              <w:t>:</w:t>
            </w:r>
          </w:p>
        </w:tc>
      </w:tr>
      <w:tr>
        <w:trPr/>
        <w:tc>
          <w:tcPr>
            <w:tcW w:w="4464"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t>М.П.</w:t>
            </w:r>
          </w:p>
        </w:tc>
        <w:tc>
          <w:tcPr>
            <w:tcW w:w="4464" w:type="dxa"/>
            <w:tcBorders/>
          </w:tcPr>
          <w:p>
            <w:pPr>
              <w:pStyle w:val="Normal"/>
              <w:widowControl w:val="false"/>
              <w:rPr>
                <w:lang w:val="ru-RU"/>
              </w:rPr>
            </w:pPr>
            <w:r>
              <w:rPr>
                <w:lang w:val="ru-RU"/>
              </w:rPr>
              <w:t>Директор МАП БМР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 / </w:t>
            </w:r>
          </w:p>
          <w:p>
            <w:pPr>
              <w:pStyle w:val="Normal"/>
              <w:widowControl w:val="false"/>
              <w:rPr>
                <w:lang w:val="ru-RU"/>
              </w:rPr>
            </w:pPr>
            <w:r>
              <w:rPr>
                <w:lang w:val="ru-RU"/>
              </w:rPr>
              <w:t>М.П.</w:t>
            </w:r>
          </w:p>
        </w:tc>
      </w:tr>
    </w:tbl>
    <w:p>
      <w:pPr>
        <w:pStyle w:val="Normal"/>
        <w:jc w:val="center"/>
        <w:rPr>
          <w:lang w:val="ru-RU"/>
        </w:rPr>
      </w:pPr>
      <w:r>
        <w:rPr>
          <w:lang w:val="ru-RU"/>
        </w:rPr>
      </w:r>
    </w:p>
    <w:p>
      <w:pPr>
        <w:pStyle w:val="Normal"/>
        <w:rPr>
          <w:i/>
          <w:i/>
          <w:color w:val="FF0000"/>
          <w:lang w:val="ru-RU"/>
        </w:rPr>
      </w:pPr>
      <w:r>
        <w:rPr/>
      </w:r>
    </w:p>
    <w:sectPr>
      <w:headerReference w:type="default" r:id="rId7"/>
      <w:headerReference w:type="first" r:id="rId8"/>
      <w:footerReference w:type="default" r:id="rId9"/>
      <w:footerReference w:type="first" r:id="rId10"/>
      <w:type w:val="nextPage"/>
      <w:pgSz w:w="11906" w:h="16838"/>
      <w:pgMar w:left="992" w:right="1274" w:gutter="0" w:header="567" w:top="624"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22</w:t>
    </w:r>
    <w:r>
      <w:rPr>
        <w:sz w:val="22"/>
        <w:szCs w:val="22"/>
      </w:rPr>
      <w:fldChar w:fldCharType="end"/>
    </w:r>
  </w:p>
  <w:p>
    <w:pPr>
      <w:pStyle w:val="Normal"/>
      <w:rPr/>
    </w:pPr>
    <w:r>
      <w:rPr/>
    </w:r>
  </w:p>
  <w:p>
    <w:pPr>
      <w:pStyle w:val="Normal"/>
      <w:rPr/>
    </w:pPr>
    <w:r>
      <w:rPr/>
    </w:r>
  </w:p>
  <w:p>
    <w:pPr>
      <w:pStyle w:val="Normal"/>
      <w:rPr/>
    </w:pPr>
    <w:r>
      <w:rPr/>
    </w:r>
  </w:p>
  <w:p>
    <w:pPr>
      <w:pStyle w:val="Normal"/>
      <w:rPr/>
    </w:pPr>
    <w:r>
      <w:rPr/>
    </w:r>
  </w:p>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p>
    <w:pPr>
      <w:pStyle w:val="Normal"/>
      <w:rPr/>
    </w:pPr>
    <w:r>
      <w:rPr/>
    </w:r>
  </w:p>
  <w:p>
    <w:pPr>
      <w:pStyle w:val="Normal"/>
      <w:rPr/>
    </w:pPr>
    <w:r>
      <w:rPr/>
    </w:r>
  </w:p>
  <w:p>
    <w:pPr>
      <w:pStyle w:val="Normal"/>
      <w:rPr/>
    </w:pPr>
    <w:r>
      <w:rPr/>
    </w:r>
  </w:p>
  <w:p>
    <w:pPr>
      <w:pStyle w:val="Normal"/>
      <w:rPr/>
    </w:pPr>
    <w:r>
      <w:rPr/>
    </w:r>
  </w:p>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p>
    <w:pPr>
      <w:pStyle w:val="Normal"/>
      <w:rPr/>
    </w:pPr>
    <w:r>
      <w:rPr/>
    </w:r>
  </w:p>
  <w:p>
    <w:pPr>
      <w:pStyle w:val="Normal"/>
      <w:rPr/>
    </w:pPr>
    <w:r>
      <w:rPr/>
    </w:r>
  </w:p>
  <w:p>
    <w:pPr>
      <w:pStyle w:val="Normal"/>
      <w:rPr/>
    </w:pPr>
    <w:r>
      <w:rPr/>
    </w:r>
  </w:p>
  <w:p>
    <w:pPr>
      <w:pStyle w:val="Normal"/>
      <w:rPr/>
    </w:pPr>
    <w:r>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p>
    <w:pPr>
      <w:pStyle w:val="Normal"/>
      <w:rPr/>
    </w:pPr>
    <w:r>
      <w:rPr/>
    </w:r>
  </w:p>
  <w:p>
    <w:pPr>
      <w:pStyle w:val="Normal"/>
      <w:rPr/>
    </w:pPr>
    <w:r>
      <w:rPr/>
    </w:r>
  </w:p>
  <w:p>
    <w:pPr>
      <w:pStyle w:val="Normal"/>
      <w:rPr/>
    </w:pPr>
    <w:r>
      <w:rPr/>
    </w:r>
  </w:p>
  <w:p>
    <w:pPr>
      <w:pStyle w:val="Normal"/>
      <w:rPr/>
    </w:pPr>
    <w:r>
      <w:rPr/>
    </w:r>
  </w:p>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7">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3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unhideWhenUsed/>
    <w:qFormat/>
    <w:rsid w:val="00b94d47"/>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2"/>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4" w:customStyle="1">
    <w:name w:val="Заголовок 4 Знак"/>
    <w:basedOn w:val="DefaultParagraphFont"/>
    <w:semiHidden/>
    <w:qFormat/>
    <w:rsid w:val="00b94d47"/>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b94d47"/>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7"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18" w:customStyle="1">
    <w:name w:val="Пункт"/>
    <w:basedOn w:val="Normal"/>
    <w:qFormat/>
    <w:rsid w:val="005f1e81"/>
    <w:pPr>
      <w:numPr>
        <w:ilvl w:val="2"/>
        <w:numId w:val="1"/>
      </w:numPr>
      <w:jc w:val="both"/>
    </w:pPr>
    <w:rPr>
      <w:sz w:val="28"/>
      <w:lang w:val="ru-RU"/>
    </w:rPr>
  </w:style>
  <w:style w:type="paragraph" w:styleId="Style19" w:customStyle="1">
    <w:name w:val="Подпункт"/>
    <w:basedOn w:val="Style18"/>
    <w:qFormat/>
    <w:rsid w:val="005f1e81"/>
    <w:pPr>
      <w:numPr>
        <w:ilvl w:val="3"/>
      </w:numPr>
    </w:pPr>
    <w:rPr/>
  </w:style>
  <w:style w:type="paragraph" w:styleId="Style20" w:customStyle="1">
    <w:name w:val="Подподпункт"/>
    <w:basedOn w:val="Style19"/>
    <w:qFormat/>
    <w:rsid w:val="005f1e81"/>
    <w:pPr>
      <w:numPr>
        <w:ilvl w:val="4"/>
      </w:numPr>
    </w:pPr>
    <w:rPr/>
  </w:style>
  <w:style w:type="paragraph" w:styleId="Style21" w:customStyle="1">
    <w:name w:val="Пункт договора"/>
    <w:basedOn w:val="Normal"/>
    <w:qFormat/>
    <w:rsid w:val="005f1e81"/>
    <w:pPr>
      <w:widowControl w:val="false"/>
      <w:jc w:val="both"/>
    </w:pPr>
    <w:rPr>
      <w:rFonts w:ascii="Arial" w:hAnsi="Arial"/>
      <w:sz w:val="20"/>
      <w:szCs w:val="20"/>
      <w:lang w:val="ru-RU"/>
    </w:rPr>
  </w:style>
  <w:style w:type="paragraph" w:styleId="Style22"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3" w:customStyle="1">
    <w:name w:val="Раздел договора"/>
    <w:basedOn w:val="Normal"/>
    <w:next w:val="Style21"/>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4"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2" w:customStyle="1">
    <w:name w:val="Заголовок1"/>
    <w:basedOn w:val="Normal"/>
    <w:link w:val="Style9"/>
    <w:qFormat/>
    <w:rsid w:val="006375b6"/>
    <w:pPr>
      <w:widowControl w:val="false"/>
      <w:spacing w:before="0" w:after="120"/>
      <w:jc w:val="center"/>
      <w:textAlignment w:val="baseline"/>
    </w:pPr>
    <w:rPr>
      <w:b/>
      <w:bCs/>
      <w:sz w:val="32"/>
      <w:szCs w:val="20"/>
      <w:lang w:val="ru-RU"/>
    </w:rPr>
  </w:style>
  <w:style w:type="paragraph" w:styleId="Style25" w:customStyle="1">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b">
    <w:name w:val="Table Grid"/>
    <w:basedOn w:val="a4"/>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Relationship Id="rId19" Type="http://schemas.openxmlformats.org/officeDocument/2006/relationships/customXml" Target="../customXml/item5.xml"/><Relationship Id="rId20" Type="http://schemas.openxmlformats.org/officeDocument/2006/relationships/customXml" Target="../customXml/item6.xml"/><Relationship Id="rId21"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B9814E1-382A-4C66-9DCE-C5C3E5AA72DC}">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purl.org/dc/dcmitype/"/>
    <ds:schemaRef ds:uri="http://purl.org/dc/term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E9E5CA78-80FF-4808-83E2-237D6D904D95}">
  <ds:schemaRefs>
    <ds:schemaRef ds:uri="http://schemas.openxmlformats.org/officeDocument/2006/bibliography"/>
  </ds:schemaRefs>
</ds:datastoreItem>
</file>

<file path=customXml/itemProps6.xml><?xml version="1.0" encoding="utf-8"?>
<ds:datastoreItem xmlns:ds="http://schemas.openxmlformats.org/officeDocument/2006/customXml" ds:itemID="{E986781D-FC87-410F-92D4-43C13863600B}">
  <ds:schemaRefs>
    <ds:schemaRef ds:uri="http://schemas.openxmlformats.org/officeDocument/2006/bibliography"/>
  </ds:schemaRefs>
</ds:datastoreItem>
</file>

<file path=customXml/itemProps7.xml><?xml version="1.0" encoding="utf-8"?>
<ds:datastoreItem xmlns:ds="http://schemas.openxmlformats.org/officeDocument/2006/customXml" ds:itemID="{0F3894F0-2E2F-4DB9-BB2D-DE8715B44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Application>AlterOffice/3.4.0.9$Linux_X86_64 LibreOffice_project/b8daf9e823b1a5463a2f48435ddc2e8696e7d4fc</Application>
  <AppVersion>15.0000</AppVersion>
  <Pages>23</Pages>
  <Words>6920</Words>
  <Characters>48739</Characters>
  <CharactersWithSpaces>55340</CharactersWithSpaces>
  <Paragraphs>318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2023-09-06T05:39:00Z</dcterms:created>
  <dc:creator>UK VoHEC</dc:creator>
  <dc:description/>
  <dc:language>ru-RU</dc:language>
  <cp:lastModifiedBy>fedorovsa@corp.gidroogk.com</cp:lastModifiedBy>
  <cp:lastPrinted>2016-12-15T13:00:00Z</cp:lastPrinted>
  <dcterms:modified xsi:type="dcterms:W3CDTF">2025-06-29T15:39:27Z</dcterms:modified>
  <cp:revision>18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