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header5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1985" w:leader="none"/>
        </w:tabs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Технические требования на оказание услуг </w:t>
      </w:r>
    </w:p>
    <w:p>
      <w:pPr>
        <w:pStyle w:val="Normal"/>
        <w:keepNext w:val="true"/>
        <w:keepLines/>
        <w:ind w:firstLine="708"/>
        <w:jc w:val="center"/>
        <w:rPr/>
      </w:pPr>
      <w:r>
        <w:rPr/>
        <w:t>ОКПД 2: 45.20.11.500 Услуги по техническому обслуживанию и текущему ремонту транспортных средств Билибинского транспортного участка для нужд Камчатского филиала АО «ТК РусГидро»</w:t>
      </w:r>
    </w:p>
    <w:p>
      <w:pPr>
        <w:pStyle w:val="Normal"/>
        <w:keepNext w:val="true"/>
        <w:keepLines/>
        <w:ind w:firstLine="708"/>
        <w:jc w:val="center"/>
        <w:rPr>
          <w:sz w:val="26"/>
          <w:szCs w:val="26"/>
        </w:rPr>
      </w:pPr>
      <w:r>
        <w:rPr/>
        <w:t>ЛОТ: 20</w:t>
      </w:r>
      <w:r>
        <w:rPr/>
        <w:t>5</w:t>
      </w:r>
      <w:r>
        <w:rPr/>
        <w:t>8-ТО ПРОД-202</w:t>
      </w:r>
      <w:r>
        <w:rPr/>
        <w:t>7</w:t>
      </w:r>
      <w:r>
        <w:rPr/>
        <w:t>-ТК-КФ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numPr>
              <w:ilvl w:val="0"/>
              <w:numId w:val="0"/>
            </w:numPr>
            <w:spacing w:before="0" w:after="0"/>
            <w:ind w:left="0" w:hanging="0"/>
            <w:jc w:val="center"/>
            <w:rPr>
              <w:color w:val="auto"/>
            </w:rPr>
          </w:pPr>
          <w:r>
            <w:br w:type="page"/>
          </w:r>
          <w:r>
            <w:rPr>
              <w:color w:val="auto"/>
            </w:rPr>
            <w:t>СОДЕРЖАНИЕ</w:t>
          </w:r>
        </w:p>
        <w:p>
          <w:pPr>
            <w:pStyle w:val="Normal"/>
            <w:rPr>
              <w:lang w:eastAsia="x-none"/>
            </w:rPr>
          </w:pPr>
          <w:r>
            <w:rPr>
              <w:lang w:eastAsia="x-none"/>
            </w:rPr>
          </w:r>
        </w:p>
        <w:p>
          <w:pPr>
            <w:pStyle w:val="Normal"/>
            <w:rPr>
              <w:lang w:eastAsia="x-none"/>
            </w:rPr>
          </w:pPr>
          <w:r>
            <w:rPr>
              <w:lang w:eastAsia="x-none"/>
            </w:rPr>
          </w:r>
        </w:p>
        <w:p>
          <w:pPr>
            <w:pStyle w:val="Normal"/>
            <w:rPr>
              <w:lang w:eastAsia="x-none"/>
            </w:rPr>
          </w:pPr>
          <w:r>
            <w:rPr>
              <w:lang w:eastAsia="x-none"/>
            </w:rPr>
          </w:r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color w:val="auto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9"/>
              <w:caps/>
              <w:vanish w:val="false"/>
              <w:color w:val="auto"/>
            </w:rPr>
            <w:instrText xml:space="preserve"> TOC \z \o "1-3" \u \h</w:instrText>
          </w:r>
          <w:r>
            <w:rPr>
              <w:webHidden/>
              <w:rStyle w:val="Style19"/>
              <w:caps/>
              <w:vanish w:val="false"/>
              <w:color w:val="auto"/>
            </w:rPr>
            <w:fldChar w:fldCharType="separate"/>
          </w:r>
          <w:hyperlink w:anchor="_Toc149316490">
            <w:r>
              <w:rPr>
                <w:webHidden/>
                <w:rStyle w:val="Style19"/>
                <w:caps/>
                <w:vanish w:val="false"/>
                <w:color w:val="auto"/>
              </w:rPr>
              <w:t>1.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_Toc149316490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9"/>
                <w:color w:val="auto"/>
              </w:rPr>
              <w:t xml:space="preserve"> Общие сведения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color w:val="auto"/>
              <w:sz w:val="22"/>
              <w:szCs w:val="22"/>
            </w:rPr>
          </w:pPr>
          <w:hyperlink w:anchor="_Toc149316491">
            <w:r>
              <w:rPr>
                <w:webHidden/>
                <w:rStyle w:val="Style19"/>
                <w:vanish w:val="false"/>
                <w:color w:val="auto"/>
              </w:rPr>
              <w:t>Таблица 1. Перечень объектов заказчика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_Toc149316491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9"/>
                <w:color w:val="auto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color w:val="auto"/>
              <w:sz w:val="22"/>
              <w:szCs w:val="22"/>
            </w:rPr>
          </w:pPr>
          <w:hyperlink w:anchor="_Toc149316492">
            <w:r>
              <w:rPr>
                <w:webHidden/>
                <w:rStyle w:val="Style19"/>
                <w:vanish w:val="false"/>
                <w:color w:val="auto"/>
              </w:rPr>
              <w:t>2. 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_Toc149316492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9"/>
                <w:color w:val="auto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color w:val="auto"/>
              <w:sz w:val="22"/>
              <w:szCs w:val="22"/>
            </w:rPr>
          </w:pPr>
          <w:hyperlink w:anchor="_Toc149316494">
            <w:r>
              <w:rPr>
                <w:webHidden/>
                <w:rStyle w:val="Style19"/>
                <w:vanish w:val="false"/>
                <w:color w:val="auto"/>
              </w:rPr>
              <w:t>Таблица 2. Требования к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_Toc149316494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9"/>
                <w:color w:val="auto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color w:val="auto"/>
              <w:sz w:val="22"/>
              <w:szCs w:val="22"/>
            </w:rPr>
          </w:pPr>
          <w:hyperlink w:anchor="_Toc149316496">
            <w:r>
              <w:rPr>
                <w:webHidden/>
                <w:rStyle w:val="Style19"/>
                <w:vanish w:val="false"/>
                <w:color w:val="auto"/>
              </w:rPr>
              <w:t>Таблица 3. Перечень и объем оказываемых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_Toc149316496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9"/>
                <w:color w:val="auto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color w:val="auto"/>
              <w:sz w:val="22"/>
              <w:szCs w:val="22"/>
            </w:rPr>
          </w:pPr>
          <w:hyperlink w:anchor="_Toc149316497">
            <w:r>
              <w:rPr>
                <w:webHidden/>
                <w:rStyle w:val="Style19"/>
                <w:vanish w:val="false"/>
                <w:color w:val="auto"/>
                <w:kern w:val="2"/>
                <w:lang w:val="x-none" w:eastAsia="x-none"/>
              </w:rPr>
              <w:t>Таблица </w:t>
            </w:r>
            <w:r>
              <w:rPr>
                <w:rStyle w:val="Style19"/>
                <w:color w:val="auto"/>
                <w:kern w:val="2"/>
                <w:lang w:eastAsia="x-none"/>
              </w:rPr>
              <w:t>4</w:t>
            </w:r>
            <w:r>
              <w:rPr>
                <w:rStyle w:val="Style19"/>
                <w:color w:val="auto"/>
                <w:kern w:val="2"/>
                <w:lang w:val="x-none" w:eastAsia="x-none"/>
              </w:rPr>
              <w:t xml:space="preserve">. Требования к </w:t>
            </w:r>
            <w:r>
              <w:rPr>
                <w:rStyle w:val="Style19"/>
                <w:color w:val="auto"/>
                <w:kern w:val="2"/>
                <w:lang w:eastAsia="x-none"/>
              </w:rPr>
              <w:t>качеству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_Toc149316497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9"/>
                <w:color w:val="auto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color w:val="auto"/>
              <w:sz w:val="22"/>
              <w:szCs w:val="22"/>
            </w:rPr>
          </w:pPr>
          <w:hyperlink w:anchor="_Toc149316498">
            <w:r>
              <w:rPr>
                <w:webHidden/>
                <w:rStyle w:val="Style19"/>
                <w:vanish w:val="false"/>
                <w:color w:val="auto"/>
              </w:rPr>
              <w:t>3. Требования к документации по ценообразованию на этапе закупки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_Toc149316498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9"/>
                <w:color w:val="auto"/>
              </w:rPr>
              <w:tab/>
              <w:t>9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Normal"/>
            <w:rPr/>
          </w:pPr>
          <w:r>
            <w:rPr/>
          </w:r>
          <w:r>
            <w:rPr/>
            <w:fldChar w:fldCharType="end"/>
          </w:r>
        </w:p>
      </w:sdtContent>
    </w:sdt>
    <w:p>
      <w:pPr>
        <w:pStyle w:val="Normal"/>
        <w:rPr>
          <w:rFonts w:eastAsia="Calibri"/>
          <w:b/>
          <w:lang w:eastAsia="x-none"/>
        </w:rPr>
      </w:pPr>
      <w:r>
        <w:rPr>
          <w:rFonts w:eastAsia="Calibri"/>
          <w:b/>
          <w:lang w:eastAsia="x-none"/>
        </w:rPr>
      </w:r>
      <w:r>
        <w:br w:type="page"/>
      </w:r>
    </w:p>
    <w:p>
      <w:pPr>
        <w:pStyle w:val="Heading1"/>
        <w:numPr>
          <w:ilvl w:val="0"/>
          <w:numId w:val="8"/>
        </w:numPr>
        <w:rPr>
          <w:caps/>
        </w:rPr>
      </w:pPr>
      <w:bookmarkStart w:id="0" w:name="_Toc149316490"/>
      <w:bookmarkStart w:id="1" w:name="_Toc143518119"/>
      <w:r>
        <w:rPr/>
        <w:t>Общие сведения</w:t>
      </w:r>
      <w:bookmarkEnd w:id="0"/>
      <w:bookmarkEnd w:id="1"/>
    </w:p>
    <w:p>
      <w:pPr>
        <w:pStyle w:val="Heading4"/>
        <w:numPr>
          <w:ilvl w:val="1"/>
          <w:numId w:val="3"/>
        </w:numPr>
        <w:rPr>
          <w:rStyle w:val="Style8"/>
          <w:b/>
          <w:i w:val="false"/>
          <w:i w:val="false"/>
          <w:shd w:fill="auto" w:val="clear"/>
        </w:rPr>
      </w:pPr>
      <w:bookmarkStart w:id="2" w:name="_Toc46743505"/>
      <w:bookmarkStart w:id="3" w:name="_Toc143518120"/>
      <w:r>
        <w:rPr/>
        <w:t>Обозначения и сокращения</w:t>
      </w:r>
      <w:bookmarkEnd w:id="2"/>
      <w:bookmarkEnd w:id="3"/>
    </w:p>
    <w:tbl>
      <w:tblPr>
        <w:tblW w:w="1006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3"/>
        <w:gridCol w:w="8276"/>
      </w:tblGrid>
      <w:tr>
        <w:trPr>
          <w:cantSplit w:val="true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ТТ</w:t>
            </w:r>
          </w:p>
        </w:tc>
        <w:tc>
          <w:tcPr>
            <w:tcW w:w="8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</w:t>
            </w:r>
          </w:p>
        </w:tc>
        <w:tc>
          <w:tcPr>
            <w:tcW w:w="8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 ремонт</w:t>
            </w:r>
          </w:p>
        </w:tc>
      </w:tr>
      <w:tr>
        <w:trPr>
          <w:cantSplit w:val="true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</w:t>
            </w:r>
          </w:p>
        </w:tc>
        <w:tc>
          <w:tcPr>
            <w:tcW w:w="8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Самоходная машина</w:t>
            </w:r>
          </w:p>
        </w:tc>
      </w:tr>
      <w:tr>
        <w:trPr>
          <w:cantSplit w:val="true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</w:t>
            </w:r>
          </w:p>
        </w:tc>
        <w:tc>
          <w:tcPr>
            <w:tcW w:w="8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Акционерное общество</w:t>
            </w:r>
          </w:p>
        </w:tc>
      </w:tr>
      <w:tr>
        <w:trPr>
          <w:cantSplit w:val="true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ТК</w:t>
            </w:r>
          </w:p>
        </w:tc>
        <w:tc>
          <w:tcPr>
            <w:tcW w:w="8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компания</w:t>
            </w:r>
          </w:p>
        </w:tc>
      </w:tr>
      <w:tr>
        <w:trPr>
          <w:cantSplit w:val="true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НМЦ</w:t>
            </w:r>
          </w:p>
        </w:tc>
        <w:tc>
          <w:tcPr>
            <w:tcW w:w="8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Начальная максимальная цена</w:t>
            </w:r>
          </w:p>
        </w:tc>
      </w:tr>
    </w:tbl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3"/>
        </w:numPr>
        <w:rPr/>
      </w:pPr>
      <w:bookmarkStart w:id="4" w:name="_Toc143518121"/>
      <w:r>
        <w:rPr/>
        <w:t>Наименование закупаемой продукции</w:t>
      </w:r>
      <w:bookmarkEnd w:id="4"/>
    </w:p>
    <w:p>
      <w:pPr>
        <w:pStyle w:val="Normal"/>
        <w:jc w:val="both"/>
        <w:rPr>
          <w:sz w:val="24"/>
          <w:szCs w:val="24"/>
        </w:rPr>
      </w:pPr>
      <w:bookmarkStart w:id="5" w:name="_Toc143518123"/>
      <w:r>
        <w:rPr>
          <w:sz w:val="24"/>
          <w:szCs w:val="24"/>
        </w:rPr>
        <w:t>ОКПД 2: 45.20.11.500 Услуги по техническому обслуживанию и текущему ремонту транспортных средств Билибинского транспортного участка для нужд Камчатского филиала АО «ТК РусГидро».</w:t>
      </w:r>
    </w:p>
    <w:p>
      <w:pPr>
        <w:pStyle w:val="Heading4"/>
        <w:numPr>
          <w:ilvl w:val="1"/>
          <w:numId w:val="3"/>
        </w:numPr>
        <w:rPr/>
      </w:pPr>
      <w:bookmarkStart w:id="6" w:name="_Toc46743507"/>
      <w:r>
        <w:rPr/>
        <w:t xml:space="preserve">Цель </w:t>
      </w:r>
      <w:bookmarkEnd w:id="6"/>
      <w:r>
        <w:rPr/>
        <w:t>оказания услуг</w:t>
      </w:r>
      <w:bookmarkEnd w:id="5"/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Проведение технического обслуживания и текущего ремонта транспортных средств Билибинского транспортного участка, расположенного на территории г. Билибино Чукотского АО, с целью обеспечения технической надежности, безопасной эксплуатации и снижения времени</w:t>
      </w:r>
      <w:bookmarkStart w:id="7" w:name="_GoBack"/>
      <w:bookmarkEnd w:id="7"/>
      <w:r>
        <w:rPr>
          <w:sz w:val="24"/>
          <w:szCs w:val="24"/>
        </w:rPr>
        <w:t xml:space="preserve"> простоя транспортных средств. </w:t>
      </w:r>
    </w:p>
    <w:p>
      <w:pPr>
        <w:pStyle w:val="Heading1"/>
        <w:numPr>
          <w:ilvl w:val="0"/>
          <w:numId w:val="0"/>
        </w:numPr>
        <w:ind w:left="0" w:hanging="0"/>
        <w:rPr/>
      </w:pPr>
      <w:bookmarkStart w:id="8" w:name="_Toc143518124"/>
      <w:bookmarkStart w:id="9" w:name="_Toc149316491"/>
      <w:r>
        <w:rPr/>
        <w:t>Таблица 1. Перечень объектов заказчика</w:t>
      </w:r>
      <w:bookmarkEnd w:id="8"/>
      <w:bookmarkEnd w:id="9"/>
    </w:p>
    <w:tbl>
      <w:tblPr>
        <w:tblW w:w="1020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73"/>
        <w:gridCol w:w="3106"/>
        <w:gridCol w:w="1843"/>
        <w:gridCol w:w="4679"/>
      </w:tblGrid>
      <w:tr>
        <w:trPr>
          <w:trHeight w:val="542" w:hRule="atLeast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b/>
                <w:i/>
                <w:iCs/>
                <w:sz w:val="24"/>
                <w:szCs w:val="24"/>
              </w:rPr>
              <w:t>(место оказания услуг)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</w:tr>
      <w:tr>
        <w:trPr>
          <w:trHeight w:val="106" w:hRule="atLeast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106" w:hRule="atLeast"/>
        </w:trPr>
        <w:tc>
          <w:tcPr>
            <w:tcW w:w="5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bookmarkStart w:id="10" w:name="_Toc143518125"/>
            <w:r>
              <w:rPr>
                <w:sz w:val="24"/>
                <w:szCs w:val="24"/>
              </w:rPr>
              <w:t>1.</w:t>
            </w:r>
          </w:p>
        </w:tc>
        <w:tc>
          <w:tcPr>
            <w:tcW w:w="3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 2: 45.20.11.500 Услуги по техническому обслуживанию и текущему ремонту транспортных средств Билибинского транспортного участка для нужд Камчатского филиала АО «ТК РусГидро»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Чукотский АО, г. Билибино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/>
              <w:t>Чайка-Сервис 2784SE (КАМАЗ)</w:t>
            </w:r>
          </w:p>
        </w:tc>
      </w:tr>
      <w:tr>
        <w:trPr>
          <w:trHeight w:val="106" w:hRule="atLeast"/>
        </w:trPr>
        <w:tc>
          <w:tcPr>
            <w:tcW w:w="5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/>
              <w:t>СЕВЕР-ТРАК Профи-Макс</w:t>
            </w:r>
          </w:p>
        </w:tc>
      </w:tr>
      <w:tr>
        <w:trPr>
          <w:trHeight w:val="106" w:hRule="atLeast"/>
        </w:trPr>
        <w:tc>
          <w:tcPr>
            <w:tcW w:w="5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/>
              <w:t>ГИРД 5849DА-0001032 (УРАЛ NEXT)</w:t>
            </w:r>
          </w:p>
        </w:tc>
      </w:tr>
      <w:tr>
        <w:trPr>
          <w:trHeight w:val="106" w:hRule="atLeast"/>
        </w:trPr>
        <w:tc>
          <w:tcPr>
            <w:tcW w:w="5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/>
              <w:t>ГАЗ-27527 Соболь</w:t>
            </w:r>
          </w:p>
        </w:tc>
      </w:tr>
    </w:tbl>
    <w:p>
      <w:pPr>
        <w:pStyle w:val="Heading4"/>
        <w:numPr>
          <w:ilvl w:val="1"/>
          <w:numId w:val="3"/>
        </w:numPr>
        <w:ind w:left="0" w:hanging="0"/>
        <w:jc w:val="both"/>
        <w:rPr/>
      </w:pPr>
      <w:r>
        <w:rPr/>
        <w:t xml:space="preserve">Информация в отношении исполнения договора, </w:t>
      </w:r>
      <w:bookmarkStart w:id="11" w:name="_Hlk46492347"/>
      <w:r>
        <w:rPr/>
        <w:t xml:space="preserve">которая должна быть учтена при подготовке заявки </w:t>
      </w:r>
      <w:bookmarkEnd w:id="11"/>
      <w:r>
        <w:rPr/>
        <w:t>(в том числе перечень ресурсов, услуг и документов, предоставляемых заказчиком на этапе исполнения договора)</w:t>
      </w:r>
      <w:bookmarkEnd w:id="10"/>
    </w:p>
    <w:p>
      <w:pPr>
        <w:pStyle w:val="ListParagraph"/>
        <w:numPr>
          <w:ilvl w:val="0"/>
          <w:numId w:val="9"/>
        </w:numPr>
        <w:ind w:left="0" w:hanging="0"/>
        <w:jc w:val="both"/>
        <w:rPr/>
      </w:pPr>
      <w:r>
        <w:rPr/>
        <w:t>Текущий ремонт транспортных средств заключается в устранении возникших в процессе эксплуатации неисправностей путем замены или ремонта отдельных деталей агрегата, кроме базовых.</w:t>
      </w:r>
    </w:p>
    <w:p>
      <w:pPr>
        <w:pStyle w:val="ListParagraph"/>
        <w:numPr>
          <w:ilvl w:val="0"/>
          <w:numId w:val="9"/>
        </w:numPr>
        <w:jc w:val="both"/>
        <w:rPr/>
      </w:pPr>
      <w:r>
        <w:rPr/>
        <w:t>По заявке Заказчика Исполнитель составляет предварительный заказ-наряд (дефектную ведомость) на техническое обслуживание или текущий ремонт, с указанием стоимости работ (услуг) и материалов, копия которого направляется для рассмотрения представителю Заказчика. После рассмотрения заказ - наряда (дефектной ведомости) и утверждения Заказчиком, в адрес Исполнителя направляется информация о согласии или отказе от оказания услуг.</w:t>
      </w:r>
    </w:p>
    <w:p>
      <w:pPr>
        <w:pStyle w:val="ListParagraph"/>
        <w:numPr>
          <w:ilvl w:val="0"/>
          <w:numId w:val="9"/>
        </w:numPr>
        <w:ind w:left="0" w:hanging="0"/>
        <w:jc w:val="both"/>
        <w:rPr/>
      </w:pPr>
      <w:r>
        <w:rPr/>
        <w:t>ТР включает:</w:t>
      </w:r>
    </w:p>
    <w:p>
      <w:pPr>
        <w:pStyle w:val="ListParagraph"/>
        <w:ind w:left="900" w:hanging="0"/>
        <w:jc w:val="both"/>
        <w:rPr/>
      </w:pPr>
      <w:r>
        <w:rPr/>
        <w:t>- разборочно-сборочные, слесарные, сварочные и другие работы;</w:t>
      </w:r>
    </w:p>
    <w:p>
      <w:pPr>
        <w:pStyle w:val="ListParagraph"/>
        <w:ind w:left="900" w:hanging="0"/>
        <w:jc w:val="both"/>
        <w:rPr/>
      </w:pPr>
      <w:r>
        <w:rPr/>
        <w:t>- ремонт ходовой части (при необходимости);</w:t>
      </w:r>
    </w:p>
    <w:p>
      <w:pPr>
        <w:pStyle w:val="ListParagraph"/>
        <w:ind w:left="900" w:hanging="0"/>
        <w:jc w:val="both"/>
        <w:rPr/>
      </w:pPr>
      <w:r>
        <w:rPr/>
        <w:t>- ремонт агрегатов и/или их замена (при необходимости);</w:t>
      </w:r>
    </w:p>
    <w:p>
      <w:pPr>
        <w:pStyle w:val="ListParagraph"/>
        <w:ind w:left="900" w:hanging="0"/>
        <w:jc w:val="both"/>
        <w:rPr/>
      </w:pPr>
      <w:r>
        <w:rPr/>
        <w:t>- электромонтажные работы (при необходимости);</w:t>
      </w:r>
    </w:p>
    <w:p>
      <w:pPr>
        <w:pStyle w:val="ListParagraph"/>
        <w:ind w:left="900" w:hanging="0"/>
        <w:jc w:val="both"/>
        <w:rPr/>
      </w:pPr>
      <w:r>
        <w:rPr/>
        <w:t>- ремонт топливной аппаратуры (при необходимости);</w:t>
      </w:r>
    </w:p>
    <w:p>
      <w:pPr>
        <w:pStyle w:val="ListParagraph"/>
        <w:ind w:left="900" w:hanging="0"/>
        <w:jc w:val="both"/>
        <w:rPr/>
      </w:pPr>
      <w:r>
        <w:rPr/>
        <w:t>- диагностические работы (при необходимости);</w:t>
      </w:r>
    </w:p>
    <w:p>
      <w:pPr>
        <w:pStyle w:val="ListParagraph"/>
        <w:ind w:left="900" w:hanging="0"/>
        <w:jc w:val="both"/>
        <w:rPr/>
      </w:pPr>
      <w:r>
        <w:rPr/>
        <w:t>- иные работы связанные с процессом восстановления технической готовности транспортного средства.</w:t>
      </w:r>
    </w:p>
    <w:p>
      <w:pPr>
        <w:pStyle w:val="ListParagraph"/>
        <w:numPr>
          <w:ilvl w:val="0"/>
          <w:numId w:val="9"/>
        </w:numPr>
        <w:ind w:left="0" w:hanging="0"/>
        <w:jc w:val="both"/>
        <w:rPr/>
      </w:pPr>
      <w:r>
        <w:rPr/>
        <w:t>В ходе проведения работ по техническому обслуживанию и текущему ремонту транспортных средств Заказчика Исполнитель применяет запасные части и расходные материалы Заказчика, а также собственные запасные части необходимые для проведения технических воздействий с учетом того, что стоимость предоставляемых для ремонта запасных частей и расходных материалов не превышает стоимость розничной реализации запасных частей у поставщиков в данном регионе и заранее согласовывается с Заказчиком при составлении заказ-наряда.</w:t>
      </w:r>
    </w:p>
    <w:p>
      <w:pPr>
        <w:pStyle w:val="ListParagraph"/>
        <w:numPr>
          <w:ilvl w:val="0"/>
          <w:numId w:val="9"/>
        </w:numPr>
        <w:ind w:left="0" w:hanging="0"/>
        <w:jc w:val="both"/>
        <w:rPr/>
      </w:pPr>
      <w:r>
        <w:rPr/>
        <w:t>Фактический объем услуг по договору определяется Заказчиком, исходя из его потребностей. Услуги выполняются на основании поданной Заказчиком заявки. В случае если в процессе выполнения работ будут выявлены дополнительные дефекты, требующие устранения, такие работы могут выполняться только с согласия Заказчика.</w:t>
      </w:r>
    </w:p>
    <w:p>
      <w:pPr>
        <w:pStyle w:val="ListParagraph"/>
        <w:numPr>
          <w:ilvl w:val="0"/>
          <w:numId w:val="9"/>
        </w:numPr>
        <w:ind w:left="0" w:hanging="0"/>
        <w:jc w:val="both"/>
        <w:rPr/>
      </w:pPr>
      <w:r>
        <w:rPr/>
        <w:t>Все расходные материалы, замененные в процессе проведения технического обслуживания или текущего ремонта транспортных средств Заказчика, переходят в собственность Исполнителя и утилизируются его силами.</w:t>
      </w:r>
    </w:p>
    <w:p>
      <w:pPr>
        <w:pStyle w:val="Heading1"/>
        <w:numPr>
          <w:ilvl w:val="0"/>
          <w:numId w:val="8"/>
        </w:numPr>
        <w:rPr/>
      </w:pPr>
      <w:bookmarkStart w:id="12" w:name="_Toc143518126"/>
      <w:bookmarkStart w:id="13" w:name="_Toc149316492"/>
      <w:r>
        <w:rPr/>
        <w:t>Требования к продукции</w:t>
      </w:r>
      <w:bookmarkEnd w:id="12"/>
      <w:bookmarkEnd w:id="13"/>
    </w:p>
    <w:p>
      <w:pPr>
        <w:pStyle w:val="Heading4"/>
        <w:numPr>
          <w:ilvl w:val="1"/>
          <w:numId w:val="11"/>
        </w:numPr>
        <w:rPr/>
      </w:pPr>
      <w:bookmarkStart w:id="14" w:name="_Toc143518127"/>
      <w:r>
        <w:rPr/>
        <w:t>Требования к объемам и срокам оказания услуг</w:t>
      </w:r>
      <w:bookmarkEnd w:id="14"/>
    </w:p>
    <w:p>
      <w:pPr>
        <w:pStyle w:val="Heading3"/>
        <w:numPr>
          <w:ilvl w:val="0"/>
          <w:numId w:val="10"/>
        </w:numPr>
        <w:rPr/>
      </w:pPr>
      <w:bookmarkStart w:id="15" w:name="_Toc143518128"/>
      <w:bookmarkStart w:id="16" w:name="_Toc149316493"/>
      <w:r>
        <w:rPr/>
        <w:t>Требования к срокам оказания услуг</w:t>
      </w:r>
      <w:bookmarkEnd w:id="15"/>
      <w:bookmarkEnd w:id="16"/>
    </w:p>
    <w:p>
      <w:pPr>
        <w:pStyle w:val="Heading1"/>
        <w:numPr>
          <w:ilvl w:val="0"/>
          <w:numId w:val="0"/>
        </w:numPr>
        <w:ind w:left="0" w:hanging="0"/>
        <w:rPr/>
      </w:pPr>
      <w:bookmarkStart w:id="17" w:name="_Toc143518129"/>
      <w:bookmarkStart w:id="18" w:name="_Toc149316494"/>
      <w:r>
        <w:rPr/>
        <w:t>Таблица 2. Требования к срокам оказания услуг</w:t>
      </w:r>
      <w:bookmarkEnd w:id="17"/>
      <w:bookmarkEnd w:id="18"/>
    </w:p>
    <w:tbl>
      <w:tblPr>
        <w:tblW w:w="991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28"/>
        <w:gridCol w:w="2837"/>
        <w:gridCol w:w="2975"/>
        <w:gridCol w:w="2977"/>
      </w:tblGrid>
      <w:tr>
        <w:trPr/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center"/>
              <w:rPr/>
            </w:pPr>
            <w:r>
              <w:rPr/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Heading4"/>
              <w:widowControl w:val="false"/>
              <w:tabs>
                <w:tab w:val="clear" w:pos="0"/>
              </w:tabs>
              <w:spacing w:before="120" w:after="60"/>
              <w:ind w:left="32" w:hanging="0"/>
              <w:jc w:val="center"/>
              <w:rPr>
                <w:b w:val="false"/>
              </w:rPr>
            </w:pPr>
            <w:r>
              <w:rPr>
                <w:b w:val="false"/>
                <w:bCs w:val="false"/>
              </w:rPr>
              <w:t>ОКПД 2: 45.20.11.500 Услуги по техническому обслуживанию и текущему ремонту транспортных средств Билибинского транспортного участка для нужд Камчатского филиала АО «ТК РусГидро»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01.01.202</w:t>
            </w:r>
            <w:r>
              <w:rPr>
                <w:rFonts w:eastAsia="Calibri"/>
                <w:sz w:val="24"/>
                <w:szCs w:val="24"/>
                <w:lang w:eastAsia="x-none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31.12.202</w:t>
            </w:r>
            <w:r>
              <w:rPr>
                <w:rFonts w:eastAsia="MS Mincho"/>
                <w:sz w:val="24"/>
                <w:szCs w:val="24"/>
                <w:lang w:eastAsia="ja-JP"/>
              </w:rPr>
              <w:t>7</w:t>
            </w:r>
          </w:p>
        </w:tc>
      </w:tr>
    </w:tbl>
    <w:p>
      <w:pPr>
        <w:pStyle w:val="Heading3"/>
        <w:numPr>
          <w:ilvl w:val="0"/>
          <w:numId w:val="10"/>
        </w:numPr>
        <w:rPr/>
      </w:pPr>
      <w:bookmarkStart w:id="19" w:name="_Toc149316495"/>
      <w:bookmarkStart w:id="20" w:name="_Toc143518130"/>
      <w:r>
        <w:rPr/>
        <w:t>Требования к перечню и объему услуг</w:t>
      </w:r>
      <w:bookmarkEnd w:id="19"/>
      <w:bookmarkEnd w:id="20"/>
    </w:p>
    <w:p>
      <w:pPr>
        <w:pStyle w:val="Heading1"/>
        <w:numPr>
          <w:ilvl w:val="0"/>
          <w:numId w:val="0"/>
        </w:numPr>
        <w:ind w:left="0" w:hanging="0"/>
        <w:rPr/>
      </w:pPr>
      <w:bookmarkStart w:id="21" w:name="_Toc143518131"/>
      <w:bookmarkStart w:id="22" w:name="_Toc149316496"/>
      <w:bookmarkStart w:id="23" w:name="_Toc51339695"/>
      <w:r>
        <w:rPr/>
        <w:t xml:space="preserve">Таблица 3. Перечень </w:t>
      </w:r>
      <w:bookmarkEnd w:id="23"/>
      <w:r>
        <w:rPr/>
        <w:t>и объем оказываемых услуг</w:t>
      </w:r>
      <w:bookmarkStart w:id="24" w:name="_Toc50125131"/>
      <w:bookmarkStart w:id="25" w:name="_Toc51339698"/>
      <w:bookmarkStart w:id="26" w:name="_Toc143518132"/>
      <w:bookmarkStart w:id="27" w:name="_Toc46743511"/>
      <w:bookmarkEnd w:id="21"/>
      <w:bookmarkEnd w:id="22"/>
    </w:p>
    <w:tbl>
      <w:tblPr>
        <w:tblW w:w="991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60"/>
        <w:gridCol w:w="5568"/>
        <w:gridCol w:w="1134"/>
        <w:gridCol w:w="2550"/>
      </w:tblGrid>
      <w:tr>
        <w:trPr>
          <w:trHeight w:val="284" w:hRule="atLeast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№ </w:t>
            </w:r>
            <w:r>
              <w:rPr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Наименование продукции (товары / работы / услуги), являющейся предметом закупки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Ед. </w:t>
              <w:br/>
              <w:t>изм.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Кол-во</w:t>
            </w:r>
          </w:p>
        </w:tc>
      </w:tr>
      <w:tr>
        <w:trPr>
          <w:trHeight w:val="284" w:hRule="atLeast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ОКПД 2: 45.20.11.500 Услуги по техническому обслуживанию и текущему ремонту транспортных средств Билибинского транспортного участка для нужд Камчатского филиала АО «ТК РусГидро»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Нормо-час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250</w:t>
            </w:r>
          </w:p>
        </w:tc>
      </w:tr>
    </w:tbl>
    <w:p>
      <w:pPr>
        <w:pStyle w:val="Normal"/>
        <w:ind w:left="-142" w:hanging="0"/>
        <w:jc w:val="both"/>
        <w:rPr>
          <w:lang w:eastAsia="x-none"/>
        </w:rPr>
      </w:pPr>
      <w:r>
        <w:rPr>
          <w:lang w:eastAsia="x-none"/>
        </w:rPr>
        <w:tab/>
      </w:r>
    </w:p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707" w:gutter="0" w:header="680" w:top="737" w:footer="0" w:bottom="568"/>
          <w:pgNumType w:fmt="decimal"/>
          <w:formProt w:val="false"/>
          <w:titlePg/>
          <w:textDirection w:val="lrTb"/>
          <w:docGrid w:type="default" w:linePitch="381" w:charSpace="0"/>
        </w:sectPr>
        <w:pStyle w:val="Normal"/>
        <w:tabs>
          <w:tab w:val="clear" w:pos="708"/>
          <w:tab w:val="left" w:pos="7160" w:leader="none"/>
        </w:tabs>
        <w:rPr>
          <w:lang w:eastAsia="x-none"/>
        </w:rPr>
      </w:pPr>
      <w:r>
        <w:rPr>
          <w:lang w:eastAsia="x-none"/>
        </w:rPr>
        <w:tab/>
      </w:r>
    </w:p>
    <w:p>
      <w:pPr>
        <w:pStyle w:val="Heading4"/>
        <w:numPr>
          <w:ilvl w:val="1"/>
          <w:numId w:val="3"/>
        </w:numPr>
        <w:rPr/>
      </w:pPr>
      <w:r>
        <w:rPr/>
        <w:t xml:space="preserve">Требования к </w:t>
      </w:r>
      <w:bookmarkEnd w:id="27"/>
      <w:r>
        <w:rPr/>
        <w:t>качеству услуг</w:t>
      </w:r>
      <w:bookmarkEnd w:id="26"/>
    </w:p>
    <w:p>
      <w:pPr>
        <w:pStyle w:val="Normal"/>
        <w:keepNext w:val="true"/>
        <w:numPr>
          <w:ilvl w:val="0"/>
          <w:numId w:val="0"/>
        </w:numPr>
        <w:spacing w:before="240" w:after="60"/>
        <w:outlineLvl w:val="0"/>
        <w:rPr>
          <w:b/>
          <w:bCs/>
          <w:kern w:val="2"/>
          <w:sz w:val="24"/>
          <w:szCs w:val="24"/>
          <w:lang w:val="x-none" w:eastAsia="x-none"/>
        </w:rPr>
      </w:pPr>
      <w:bookmarkStart w:id="28" w:name="_Toc143518133"/>
      <w:bookmarkStart w:id="29" w:name="_Toc149316497"/>
      <w:r>
        <w:rPr>
          <w:b/>
          <w:bCs/>
          <w:kern w:val="2"/>
          <w:sz w:val="24"/>
          <w:szCs w:val="24"/>
          <w:lang w:val="x-none" w:eastAsia="x-none"/>
        </w:rPr>
        <w:t>Таблица </w:t>
      </w:r>
      <w:r>
        <w:rPr>
          <w:b/>
          <w:bCs/>
          <w:kern w:val="2"/>
          <w:sz w:val="24"/>
          <w:szCs w:val="24"/>
          <w:lang w:eastAsia="x-none"/>
        </w:rPr>
        <w:t>4</w:t>
      </w:r>
      <w:r>
        <w:rPr>
          <w:b/>
          <w:bCs/>
          <w:kern w:val="2"/>
          <w:sz w:val="24"/>
          <w:szCs w:val="24"/>
          <w:lang w:val="x-none" w:eastAsia="x-none"/>
        </w:rPr>
        <w:t xml:space="preserve">. Требования к </w:t>
      </w:r>
      <w:r>
        <w:rPr>
          <w:b/>
          <w:bCs/>
          <w:kern w:val="2"/>
          <w:sz w:val="24"/>
          <w:szCs w:val="24"/>
          <w:lang w:eastAsia="x-none"/>
        </w:rPr>
        <w:t>качеству услуг</w:t>
      </w:r>
      <w:bookmarkEnd w:id="28"/>
      <w:bookmarkEnd w:id="29"/>
      <w:r>
        <w:rPr>
          <w:b/>
          <w:bCs/>
          <w:kern w:val="2"/>
          <w:sz w:val="24"/>
          <w:szCs w:val="24"/>
          <w:lang w:eastAsia="x-none"/>
        </w:rPr>
        <w:t xml:space="preserve"> </w:t>
      </w:r>
    </w:p>
    <w:p>
      <w:pPr>
        <w:pStyle w:val="Normal"/>
        <w:jc w:val="both"/>
        <w:rPr>
          <w:iCs/>
          <w:sz w:val="22"/>
          <w:szCs w:val="22"/>
          <w:shd w:fill="FFFF99" w:val="clear"/>
        </w:rPr>
      </w:pPr>
      <w:bookmarkStart w:id="30" w:name="_Toc46743519"/>
      <w:bookmarkStart w:id="31" w:name="_Toc51339699"/>
      <w:bookmarkEnd w:id="24"/>
      <w:bookmarkEnd w:id="25"/>
      <w:r>
        <w:rPr>
          <w:b/>
          <w:bCs/>
          <w:sz w:val="24"/>
          <w:szCs w:val="24"/>
        </w:rPr>
        <w:t xml:space="preserve">Наименование услуг: </w:t>
      </w:r>
      <w:r>
        <w:rPr>
          <w:sz w:val="24"/>
          <w:szCs w:val="24"/>
        </w:rPr>
        <w:t>ОКПД 2: 45.20.11.500 Услуги по техническому обслуживанию и текущему ремонту транспортных средств Билибинского транспортного участка для нужд Камчатского филиала АО «ТК РусГидро»</w:t>
      </w:r>
    </w:p>
    <w:tbl>
      <w:tblPr>
        <w:tblStyle w:val="afffff0"/>
        <w:tblW w:w="15699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69"/>
        <w:gridCol w:w="1821"/>
        <w:gridCol w:w="5813"/>
        <w:gridCol w:w="2270"/>
        <w:gridCol w:w="3803"/>
      </w:tblGrid>
      <w:tr>
        <w:trPr>
          <w:trHeight w:val="542" w:hRule="atLeast"/>
        </w:trPr>
        <w:tc>
          <w:tcPr>
            <w:tcW w:w="769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182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5813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6073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>
          <w:trHeight w:val="542" w:hRule="atLeast"/>
        </w:trPr>
        <w:tc>
          <w:tcPr>
            <w:tcW w:w="769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2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813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7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380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>
          <w:trHeight w:val="271" w:hRule="atLeast"/>
        </w:trPr>
        <w:tc>
          <w:tcPr>
            <w:tcW w:w="76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32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32"/>
          </w:p>
        </w:tc>
        <w:tc>
          <w:tcPr>
            <w:tcW w:w="182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81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27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380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</w:tr>
      <w:tr>
        <w:trPr>
          <w:trHeight w:val="271" w:hRule="atLeast"/>
        </w:trPr>
        <w:tc>
          <w:tcPr>
            <w:tcW w:w="769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634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оказанию услуг </w:t>
            </w:r>
          </w:p>
        </w:tc>
        <w:tc>
          <w:tcPr>
            <w:tcW w:w="2270" w:type="dxa"/>
            <w:tcBorders/>
            <w:vAlign w:val="center"/>
          </w:tcPr>
          <w:p>
            <w:pPr>
              <w:pStyle w:val="Normal"/>
              <w:keepNext w:val="true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803" w:type="dxa"/>
            <w:tcBorders/>
            <w:vAlign w:val="center"/>
          </w:tcPr>
          <w:p>
            <w:pPr>
              <w:pStyle w:val="Normal"/>
              <w:keepNext w:val="true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71" w:hRule="atLeast"/>
        </w:trPr>
        <w:tc>
          <w:tcPr>
            <w:tcW w:w="769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7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b/>
                <w:bCs/>
              </w:rPr>
            </w:pPr>
            <w:r>
              <w:rPr>
                <w:rFonts w:cs="Times New Roman"/>
                <w:b/>
                <w:bCs/>
                <w:kern w:val="0"/>
                <w:lang w:val="ru-RU" w:eastAsia="ru-RU" w:bidi="ar-SA"/>
              </w:rPr>
            </w:r>
          </w:p>
        </w:tc>
        <w:tc>
          <w:tcPr>
            <w:tcW w:w="7634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Общие требования к оказанию услуг </w:t>
            </w:r>
          </w:p>
        </w:tc>
        <w:tc>
          <w:tcPr>
            <w:tcW w:w="2270" w:type="dxa"/>
            <w:tcBorders/>
            <w:vAlign w:val="center"/>
          </w:tcPr>
          <w:p>
            <w:pPr>
              <w:pStyle w:val="Normal"/>
              <w:keepNext w:val="true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803" w:type="dxa"/>
            <w:tcBorders/>
            <w:vAlign w:val="center"/>
          </w:tcPr>
          <w:p>
            <w:pPr>
              <w:pStyle w:val="Normal"/>
              <w:keepNext w:val="true"/>
              <w:widowControl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3313" w:hRule="atLeast"/>
        </w:trPr>
        <w:tc>
          <w:tcPr>
            <w:tcW w:w="769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7"/>
              </w:numPr>
              <w:suppressAutoHyphens w:val="true"/>
              <w:spacing w:before="0" w:after="0"/>
              <w:ind w:left="1072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82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Соблюдение при выполнении работ норм и правил нормативно-технических документов</w:t>
            </w:r>
          </w:p>
        </w:tc>
        <w:tc>
          <w:tcPr>
            <w:tcW w:w="581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Участник, оказывающий услуги по ремонту транспортных средств, обязан обеспечивать их проведение в соответствии с установленными нормами и правилами процедур ремонта транспортных средств, установленными заводом-изготовителем и правилами оказания услуг (выполнения работ) по техническому обслуживанию и ремонту АМТС Российской Федерации Утвержденными Постановлением Правительства Российской Федерации от 11 апреля 2001 г. № 290 (в ред. Постановлений Правительства РФ от  31.01.2017 N 109)</w:t>
            </w:r>
          </w:p>
        </w:tc>
        <w:tc>
          <w:tcPr>
            <w:tcW w:w="2270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803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557" w:hRule="atLeast"/>
        </w:trPr>
        <w:tc>
          <w:tcPr>
            <w:tcW w:w="769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7"/>
              </w:numPr>
              <w:suppressAutoHyphens w:val="true"/>
              <w:spacing w:before="0" w:after="0"/>
              <w:ind w:left="1072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82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81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Участник обязан обеспечить сохранность и комплектность транспортных средств Заказчика на период оказания Услуг.</w:t>
            </w:r>
          </w:p>
        </w:tc>
        <w:tc>
          <w:tcPr>
            <w:tcW w:w="2270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380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1370" w:hRule="atLeast"/>
        </w:trPr>
        <w:tc>
          <w:tcPr>
            <w:tcW w:w="769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7"/>
              </w:numPr>
              <w:suppressAutoHyphens w:val="true"/>
              <w:spacing w:before="0" w:after="0"/>
              <w:ind w:left="1072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82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ограничениям оказания услуг</w:t>
            </w:r>
          </w:p>
        </w:tc>
        <w:tc>
          <w:tcPr>
            <w:tcW w:w="581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Участник обязан извещать Заказчика о возникновении в ходе оказания Услуг новых обстоятельств технического состояния ремонтируемого транспортного средства, которые могут привести к снижению безопасности его эксплуатации</w:t>
            </w:r>
          </w:p>
        </w:tc>
        <w:tc>
          <w:tcPr>
            <w:tcW w:w="2270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380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214" w:hRule="atLeast"/>
        </w:trPr>
        <w:tc>
          <w:tcPr>
            <w:tcW w:w="76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1.1.4.</w:t>
            </w:r>
          </w:p>
        </w:tc>
        <w:tc>
          <w:tcPr>
            <w:tcW w:w="182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81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Транспортные средства после ремонта должны удовлетворять требованиям Федерального закона от 02.07.2021 N 297-ФЗ "О самоходных машинах и других видах техники", Технического Регламента Таможенного Союза ТР ТС 010/2011 «О безопасности машин и оборудования»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Утверждённого Решением Комиссии Таможенного союза от 18 октября 2011 года N 823</w:t>
            </w:r>
          </w:p>
        </w:tc>
        <w:tc>
          <w:tcPr>
            <w:tcW w:w="2270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380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733" w:hRule="atLeast"/>
        </w:trPr>
        <w:tc>
          <w:tcPr>
            <w:tcW w:w="76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1.1.5.</w:t>
            </w:r>
          </w:p>
        </w:tc>
        <w:tc>
          <w:tcPr>
            <w:tcW w:w="182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81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 требованию заказчика Исполнитель должен предоставить попозиционный расчет трудозатрат в нормо-часах на оказанные услуги по текущему ремонту транспортных средств с подтверждением норм трудозатрат в нормо-часах</w:t>
            </w:r>
          </w:p>
        </w:tc>
        <w:tc>
          <w:tcPr>
            <w:tcW w:w="2270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380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733" w:hRule="atLeast"/>
        </w:trPr>
        <w:tc>
          <w:tcPr>
            <w:tcW w:w="76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1.1.6.</w:t>
            </w:r>
          </w:p>
        </w:tc>
        <w:tc>
          <w:tcPr>
            <w:tcW w:w="182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81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После окончания работ оплата за парковку транспортного средства на территории Исполнителя не начисляется.</w:t>
            </w:r>
          </w:p>
        </w:tc>
        <w:tc>
          <w:tcPr>
            <w:tcW w:w="2270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380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733" w:hRule="atLeast"/>
        </w:trPr>
        <w:tc>
          <w:tcPr>
            <w:tcW w:w="76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1.1.7</w:t>
            </w:r>
          </w:p>
        </w:tc>
        <w:tc>
          <w:tcPr>
            <w:tcW w:w="182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81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Отходы, образовавшиеся в результате оказания Услуг являются собственностью Исполнителя. Исполнитель обязан собственными силами и за свой счет осуществлять деятельность по обращению с образовавшимися отходами в соответствии с действующим законодательством РФ.</w:t>
            </w:r>
          </w:p>
        </w:tc>
        <w:tc>
          <w:tcPr>
            <w:tcW w:w="2270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380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71" w:hRule="atLeast"/>
        </w:trPr>
        <w:tc>
          <w:tcPr>
            <w:tcW w:w="769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7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82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81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процедурам оказания услуг</w:t>
            </w:r>
          </w:p>
        </w:tc>
        <w:tc>
          <w:tcPr>
            <w:tcW w:w="2270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keepNext w:val="true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80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557" w:hRule="atLeast"/>
        </w:trPr>
        <w:tc>
          <w:tcPr>
            <w:tcW w:w="76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1.2.1</w:t>
            </w:r>
          </w:p>
        </w:tc>
        <w:tc>
          <w:tcPr>
            <w:tcW w:w="182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81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Услуги оказываются по заявкам в период с момента подписания договора.</w:t>
            </w:r>
          </w:p>
        </w:tc>
        <w:tc>
          <w:tcPr>
            <w:tcW w:w="2270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380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813" w:hRule="atLeast"/>
        </w:trPr>
        <w:tc>
          <w:tcPr>
            <w:tcW w:w="76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1.2.2.</w:t>
            </w:r>
          </w:p>
        </w:tc>
        <w:tc>
          <w:tcPr>
            <w:tcW w:w="182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81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Срок исполнения по конкретной заявке согласовываются сторонами в заказ-наряде, но не должен превышать 5 (пять) рабочих дней.</w:t>
            </w:r>
          </w:p>
        </w:tc>
        <w:tc>
          <w:tcPr>
            <w:tcW w:w="2270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380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557" w:hRule="atLeast"/>
        </w:trPr>
        <w:tc>
          <w:tcPr>
            <w:tcW w:w="76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1.2.3</w:t>
            </w:r>
          </w:p>
        </w:tc>
        <w:tc>
          <w:tcPr>
            <w:tcW w:w="182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81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Качество оказанных Услуг должно соответствовать нормативно-технической и технологической документации по ремонту транспортных средств Заказчика</w:t>
            </w:r>
          </w:p>
        </w:tc>
        <w:tc>
          <w:tcPr>
            <w:tcW w:w="2270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380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557" w:hRule="atLeast"/>
        </w:trPr>
        <w:tc>
          <w:tcPr>
            <w:tcW w:w="769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7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82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81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270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keepNext w:val="true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80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keepNext w:val="true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1656" w:hRule="atLeast"/>
        </w:trPr>
        <w:tc>
          <w:tcPr>
            <w:tcW w:w="76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1.3.1</w:t>
            </w:r>
          </w:p>
        </w:tc>
        <w:tc>
          <w:tcPr>
            <w:tcW w:w="182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81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Участник обязан оказать услуги в специально оборудованном (для выполнения данного вида работ) помещении, с надлежащей эффективностью и на высоком профессиональном уровне, с использованием современного, безопасного, эффективного оборудования, техники, инструментов, материалов и методов.</w:t>
            </w:r>
          </w:p>
        </w:tc>
        <w:tc>
          <w:tcPr>
            <w:tcW w:w="2270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380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1583" w:hRule="atLeast"/>
        </w:trPr>
        <w:tc>
          <w:tcPr>
            <w:tcW w:w="76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1.3.2</w:t>
            </w:r>
          </w:p>
        </w:tc>
        <w:tc>
          <w:tcPr>
            <w:tcW w:w="182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81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Участник обязан устанавливать на транспортные средства Заказчика только новые запасные части, в соответствии с каталожными номерами завода изготовителя. Запасные части, используемые Исполнителем, должны быть сертифицированы. Исполнитель по требованию Заказчика обязан предъявить сертификаты соответствия</w:t>
            </w:r>
          </w:p>
        </w:tc>
        <w:tc>
          <w:tcPr>
            <w:tcW w:w="2270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380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557" w:hRule="atLeast"/>
        </w:trPr>
        <w:tc>
          <w:tcPr>
            <w:tcW w:w="76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1.4.</w:t>
            </w:r>
          </w:p>
        </w:tc>
        <w:tc>
          <w:tcPr>
            <w:tcW w:w="182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81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гарантийным обязательствам оказываемых услуг</w:t>
            </w:r>
          </w:p>
        </w:tc>
        <w:tc>
          <w:tcPr>
            <w:tcW w:w="2270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80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1656" w:hRule="atLeast"/>
        </w:trPr>
        <w:tc>
          <w:tcPr>
            <w:tcW w:w="76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1.4.1.</w:t>
            </w:r>
          </w:p>
        </w:tc>
        <w:tc>
          <w:tcPr>
            <w:tcW w:w="182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81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Гарантийные обязательства на оказанные Услуги должны составлять не менее 6 (Шести) месяцев или 5000 км пробега (в зависимости, что наступит раньше). Гарантийный срок на замененные в процессе обслуживания или ремонта детали и механизмы должен составлять не менее установленного заводом изготовителем.</w:t>
            </w:r>
          </w:p>
        </w:tc>
        <w:tc>
          <w:tcPr>
            <w:tcW w:w="2270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380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660" w:hRule="atLeast"/>
        </w:trPr>
        <w:tc>
          <w:tcPr>
            <w:tcW w:w="76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182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81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Квалификационные требования </w:t>
            </w:r>
          </w:p>
        </w:tc>
        <w:tc>
          <w:tcPr>
            <w:tcW w:w="2270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80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982" w:hRule="atLeast"/>
        </w:trPr>
        <w:tc>
          <w:tcPr>
            <w:tcW w:w="76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2.1.</w:t>
            </w:r>
          </w:p>
        </w:tc>
        <w:tc>
          <w:tcPr>
            <w:tcW w:w="182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81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Участник обязан иметь наличие опыта на оказание услуг по текущему ремонту колёсных транспортных средств не менее двух лет.</w:t>
            </w:r>
          </w:p>
        </w:tc>
        <w:tc>
          <w:tcPr>
            <w:tcW w:w="2270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380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567" w:right="567" w:gutter="0" w:header="680" w:top="1276" w:footer="0" w:bottom="709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numPr>
          <w:ilvl w:val="0"/>
          <w:numId w:val="8"/>
        </w:numPr>
        <w:rPr/>
      </w:pPr>
      <w:bookmarkStart w:id="33" w:name="_Toc143518134"/>
      <w:bookmarkStart w:id="34" w:name="_Toc149316498"/>
      <w:bookmarkStart w:id="35" w:name="_Toc53393312"/>
      <w:bookmarkStart w:id="36" w:name="_Toc53395937"/>
      <w:r>
        <w:rPr/>
        <w:t>Требования к документации по ценообразованию</w:t>
      </w:r>
      <w:bookmarkEnd w:id="35"/>
      <w:bookmarkEnd w:id="36"/>
      <w:r>
        <w:rPr/>
        <w:t xml:space="preserve"> на этапе закупки</w:t>
      </w:r>
      <w:bookmarkEnd w:id="30"/>
      <w:bookmarkEnd w:id="31"/>
      <w:bookmarkEnd w:id="33"/>
      <w:bookmarkEnd w:id="34"/>
    </w:p>
    <w:p>
      <w:pPr>
        <w:pStyle w:val="ListParagraph"/>
        <w:ind w:left="0" w:hanging="0"/>
        <w:jc w:val="both"/>
        <w:rPr/>
      </w:pPr>
      <w:r>
        <w:rPr/>
        <w:t>3.1. Стоимость услуг должна включать в себя стоимость работ по техническому обслуживанию и текущему ремонту, стоимость запасных частей и расходных материалов, в том числе расходы по доставке, погрузочно-разгрузочные работы, страхование, уплату таможенных пошлин, сборов, других обязательных платежей и быть выражена в рублях Российской Федерации.</w:t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  <w:t>Руководитель ГКЭО и РТС</w:t>
      </w:r>
    </w:p>
    <w:p>
      <w:pPr>
        <w:pStyle w:val="ListParagraph"/>
        <w:ind w:left="0" w:hanging="0"/>
        <w:jc w:val="both"/>
        <w:rPr/>
      </w:pPr>
      <w:r>
        <w:rPr/>
        <w:t>Камчатского филиала АО «ТК РусГидро»</w:t>
        <w:tab/>
        <w:tab/>
        <w:tab/>
        <w:tab/>
        <w:tab/>
      </w:r>
    </w:p>
    <w:sectPr>
      <w:headerReference w:type="default" r:id="rId7"/>
      <w:headerReference w:type="first" r:id="rId8"/>
      <w:type w:val="nextPage"/>
      <w:pgSz w:w="11906" w:h="16838"/>
      <w:pgMar w:left="1276" w:right="709" w:gutter="0" w:header="680" w:top="737" w:footer="0" w:bottom="567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Consolas">
    <w:charset w:val="01"/>
    <w:family w:val="roman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fillcolor="white" stroked="f" o:allowincell="f" style="position:absolute;margin-left:0pt;margin-top:0.05pt;width:1.1pt;height:1.1pt;mso-wrap-style:square;v-text-anchor:top;mso-position-horizontal:center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50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071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0"/>
      </w:pPr>
      <w:rPr/>
    </w:lvl>
  </w:abstractNum>
  <w:abstractNum w:abstractNumId="9">
    <w:lvl w:ilvl="0">
      <w:start w:val="1"/>
      <w:numFmt w:val="decimal"/>
      <w:suff w:val="space"/>
      <w:lvlText w:val="1.4.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decimal"/>
      <w:suff w:val="space"/>
      <w:lvlText w:val="2.1.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1"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1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85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uiPriority="99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d767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  <w:numId w:val="3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9b23dd"/>
    <w:pPr>
      <w:keepNext w:val="true"/>
      <w:numPr>
        <w:ilvl w:val="0"/>
        <w:numId w:val="10"/>
      </w:numPr>
      <w:spacing w:before="120" w:after="60"/>
      <w:outlineLvl w:val="2"/>
    </w:pPr>
    <w:rPr>
      <w:rFonts w:eastAsia="Calibri"/>
      <w:b/>
      <w:sz w:val="24"/>
      <w:szCs w:val="24"/>
      <w:lang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0"/>
        <w:numId w:val="0"/>
      </w:numPr>
      <w:tabs>
        <w:tab w:val="clear" w:pos="708"/>
        <w:tab w:val="left" w:pos="0" w:leader="none"/>
      </w:tabs>
      <w:ind w:left="432" w:hanging="432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uiPriority w:val="99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eastAsia="x-none"/>
    </w:rPr>
  </w:style>
  <w:style w:type="character" w:styleId="3" w:customStyle="1">
    <w:name w:val="Заголовок 3 Знак"/>
    <w:qFormat/>
    <w:rsid w:val="009b23dd"/>
    <w:rPr>
      <w:rFonts w:eastAsia="Calibri"/>
      <w:b/>
      <w:sz w:val="24"/>
      <w:szCs w:val="24"/>
      <w:lang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6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4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7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bc45fd"/>
    <w:rPr>
      <w:rFonts w:ascii="Tahoma" w:hAnsi="Tahoma" w:cs="Tahoma"/>
      <w:sz w:val="16"/>
      <w:szCs w:val="16"/>
    </w:rPr>
  </w:style>
  <w:style w:type="character" w:styleId="Style15" w:customStyle="1">
    <w:name w:val="Текст Знак"/>
    <w:basedOn w:val="DefaultParagraphFont"/>
    <w:link w:val="PlainText"/>
    <w:qFormat/>
    <w:rsid w:val="00bc45fd"/>
    <w:rPr>
      <w:rFonts w:ascii="Consolas" w:hAnsi="Consolas" w:eastAsia="Calibri"/>
      <w:sz w:val="21"/>
      <w:szCs w:val="21"/>
      <w:lang w:val="en-GB" w:eastAsia="en-US"/>
    </w:rPr>
  </w:style>
  <w:style w:type="character" w:styleId="32" w:customStyle="1">
    <w:name w:val="Основной текст 3 Знак"/>
    <w:basedOn w:val="DefaultParagraphFont"/>
    <w:link w:val="BodyText3"/>
    <w:qFormat/>
    <w:rsid w:val="00bc45fd"/>
    <w:rPr>
      <w:sz w:val="16"/>
      <w:szCs w:val="16"/>
    </w:rPr>
  </w:style>
  <w:style w:type="character" w:styleId="Style16" w:customStyle="1">
    <w:name w:val="Тема примечания Знак"/>
    <w:basedOn w:val="Style11"/>
    <w:link w:val="Annotationsubject"/>
    <w:qFormat/>
    <w:rsid w:val="00bc45fd"/>
    <w:rPr>
      <w:b/>
      <w:bCs/>
    </w:rPr>
  </w:style>
  <w:style w:type="character" w:styleId="33" w:customStyle="1">
    <w:name w:val="Основной текст с отступом 3 Знак"/>
    <w:basedOn w:val="DefaultParagraphFont"/>
    <w:link w:val="BodyTextIndent3"/>
    <w:qFormat/>
    <w:rsid w:val="00bc45fd"/>
    <w:rPr>
      <w:sz w:val="16"/>
      <w:szCs w:val="16"/>
    </w:rPr>
  </w:style>
  <w:style w:type="character" w:styleId="Style17" w:customStyle="1">
    <w:name w:val="Нижний колонтитул Знак"/>
    <w:basedOn w:val="DefaultParagraphFont"/>
    <w:qFormat/>
    <w:rsid w:val="00bc45fd"/>
    <w:rPr>
      <w:sz w:val="28"/>
      <w:szCs w:val="28"/>
    </w:rPr>
  </w:style>
  <w:style w:type="character" w:styleId="Apple-style-span" w:customStyle="1">
    <w:name w:val="apple-style-span"/>
    <w:qFormat/>
    <w:rsid w:val="00bc45fd"/>
    <w:rPr/>
  </w:style>
  <w:style w:type="character" w:styleId="Style18" w:customStyle="1">
    <w:name w:val="Заголовок Знак"/>
    <w:basedOn w:val="DefaultParagraphFont"/>
    <w:link w:val="113"/>
    <w:uiPriority w:val="10"/>
    <w:qFormat/>
    <w:rsid w:val="00bc45fd"/>
    <w:rPr>
      <w:rFonts w:ascii="Calibri Light" w:hAnsi="Calibri Light"/>
      <w:spacing w:val="-10"/>
      <w:kern w:val="2"/>
      <w:sz w:val="56"/>
      <w:szCs w:val="56"/>
      <w:lang w:val="en-GB" w:eastAsia="en-US"/>
    </w:rPr>
  </w:style>
  <w:style w:type="character" w:styleId="13" w:customStyle="1">
    <w:name w:val="Заголовок Знак1"/>
    <w:basedOn w:val="DefaultParagraphFont"/>
    <w:uiPriority w:val="10"/>
    <w:qFormat/>
    <w:rsid w:val="00bc45fd"/>
    <w:rPr>
      <w:rFonts w:ascii="Calibri Light" w:hAnsi="Calibri Light" w:eastAsia="新細明體" w:cs="Times New Roman" w:asciiTheme="majorHAnsi" w:cstheme="majorBidi" w:eastAsiaTheme="majorEastAsia" w:hAnsiTheme="majorHAnsi"/>
      <w:spacing w:val="-10"/>
      <w:kern w:val="2"/>
      <w:sz w:val="56"/>
      <w:szCs w:val="56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bc45fd"/>
    <w:rPr>
      <w:color w:val="954F72" w:themeColor="followedHyperlink"/>
      <w:u w:val="single"/>
    </w:rPr>
  </w:style>
  <w:style w:type="character" w:styleId="Style19" w:customStyle="1">
    <w:name w:val="Ссылка указателя"/>
    <w:qFormat/>
    <w:rPr/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link w:val="13"/>
    <w:uiPriority w:val="10"/>
    <w:qFormat/>
    <w:rsid w:val="00bc45fd"/>
    <w:pPr>
      <w:spacing w:before="0" w:after="0"/>
      <w:contextualSpacing/>
    </w:pPr>
    <w:rPr>
      <w:rFonts w:ascii="Calibri Light" w:hAnsi="Calibri Light" w:eastAsia="新細明體" w:cs="Times New Roman" w:asciiTheme="majorHAnsi" w:cstheme="majorBidi" w:eastAsiaTheme="majorEastAsia" w:hAnsiTheme="majorHAnsi"/>
      <w:spacing w:val="-10"/>
      <w:kern w:val="2"/>
      <w:sz w:val="56"/>
      <w:szCs w:val="56"/>
      <w:lang w:val="en-GB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Style22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3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4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4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5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7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link w:val="32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3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6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eb3eb1"/>
    <w:pPr>
      <w:tabs>
        <w:tab w:val="clear" w:pos="708"/>
        <w:tab w:val="right" w:pos="9911" w:leader="dot"/>
      </w:tabs>
      <w:spacing w:before="120" w:after="0"/>
    </w:pPr>
    <w:rPr>
      <w:rFonts w:cs="Calibri Light (Заголовки)"/>
      <w:b/>
      <w:bCs/>
      <w:color w:val="FF0000"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eb3eb1"/>
    <w:pPr>
      <w:tabs>
        <w:tab w:val="clear" w:pos="708"/>
        <w:tab w:val="left" w:pos="1120" w:leader="none"/>
        <w:tab w:val="right" w:pos="9911" w:leader="dot"/>
      </w:tabs>
      <w:ind w:left="280" w:hanging="0"/>
    </w:pPr>
    <w:rPr>
      <w:rFonts w:cs="Calibri" w:cstheme="minorHAnsi"/>
      <w:color w:val="FF0000"/>
      <w:sz w:val="24"/>
      <w:szCs w:val="24"/>
    </w:rPr>
  </w:style>
  <w:style w:type="paragraph" w:styleId="Style27" w:customStyle="1">
    <w:name w:val="Раздел регламента"/>
    <w:basedOn w:val="Normal"/>
    <w:qFormat/>
    <w:rsid w:val="00e228fa"/>
    <w:pPr/>
    <w:rPr/>
  </w:style>
  <w:style w:type="paragraph" w:styleId="Style28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link w:val="Style14"/>
    <w:uiPriority w:val="99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6"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eb3eb1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iCs/>
      <w:color w:val="FF0000"/>
      <w:sz w:val="24"/>
      <w:szCs w:val="24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9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" w:customStyle="1">
    <w:name w:val="caption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20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30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5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311" w:customStyle="1">
    <w:name w:val="Список 3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eastAsia="Calibri" w:ascii="Times New Roman" w:hAnsi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36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31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2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3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4" w:customStyle="1">
    <w:name w:val="Подподпункт"/>
    <w:basedOn w:val="Style26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5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7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6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7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Default" w:customStyle="1">
    <w:name w:val="Default"/>
    <w:qFormat/>
    <w:rsid w:val="00bc45fd"/>
    <w:pPr>
      <w:widowControl/>
      <w:suppressAutoHyphens w:val="true"/>
      <w:bidi w:val="0"/>
      <w:spacing w:before="0" w:after="0"/>
      <w:jc w:val="left"/>
    </w:pPr>
    <w:rPr>
      <w:rFonts w:eastAsia="Calibri" w:eastAsiaTheme="minorHAnsi" w:ascii="Times New Roman" w:hAnsi="Times New Roman" w:cs="Times New Roman"/>
      <w:color w:val="000000"/>
      <w:kern w:val="0"/>
      <w:sz w:val="24"/>
      <w:szCs w:val="24"/>
      <w:lang w:eastAsia="en-US" w:val="ru-RU" w:bidi="ar-SA"/>
    </w:rPr>
  </w:style>
  <w:style w:type="paragraph" w:styleId="110" w:customStyle="1">
    <w:name w:val="Обычный1"/>
    <w:qFormat/>
    <w:rsid w:val="00bc45f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PlainText">
    <w:name w:val="Plain Text"/>
    <w:basedOn w:val="Normal"/>
    <w:link w:val="Style15"/>
    <w:unhideWhenUsed/>
    <w:qFormat/>
    <w:rsid w:val="00bc45fd"/>
    <w:pPr/>
    <w:rPr>
      <w:rFonts w:ascii="Consolas" w:hAnsi="Consolas" w:eastAsia="Calibri"/>
      <w:sz w:val="21"/>
      <w:szCs w:val="21"/>
      <w:lang w:val="en-GB" w:eastAsia="en-US"/>
    </w:rPr>
  </w:style>
  <w:style w:type="paragraph" w:styleId="Style38" w:customStyle="1">
    <w:name w:val="Подпункт договора"/>
    <w:basedOn w:val="Normal"/>
    <w:qFormat/>
    <w:rsid w:val="00bc45fd"/>
    <w:pPr>
      <w:tabs>
        <w:tab w:val="clear" w:pos="708"/>
        <w:tab w:val="left" w:pos="360" w:leader="none"/>
      </w:tabs>
      <w:jc w:val="both"/>
    </w:pPr>
    <w:rPr>
      <w:rFonts w:ascii="Arial" w:hAnsi="Arial"/>
      <w:sz w:val="20"/>
      <w:szCs w:val="20"/>
    </w:rPr>
  </w:style>
  <w:style w:type="paragraph" w:styleId="Style39" w:customStyle="1">
    <w:name w:val="Пункт договора"/>
    <w:basedOn w:val="Normal"/>
    <w:qFormat/>
    <w:rsid w:val="00bc45fd"/>
    <w:pPr>
      <w:widowControl w:val="false"/>
      <w:jc w:val="both"/>
    </w:pPr>
    <w:rPr>
      <w:rFonts w:ascii="Arial" w:hAnsi="Arial"/>
      <w:sz w:val="20"/>
      <w:szCs w:val="20"/>
    </w:rPr>
  </w:style>
  <w:style w:type="paragraph" w:styleId="Style40" w:customStyle="1">
    <w:name w:val="Раздел договора"/>
    <w:basedOn w:val="Normal"/>
    <w:next w:val="Style39"/>
    <w:qFormat/>
    <w:rsid w:val="00bc45fd"/>
    <w:pPr>
      <w:keepNext w:val="true"/>
      <w:keepLines/>
      <w:widowControl w:val="false"/>
      <w:spacing w:before="240" w:after="200"/>
    </w:pPr>
    <w:rPr>
      <w:rFonts w:ascii="Arial" w:hAnsi="Arial"/>
      <w:b/>
      <w:caps/>
      <w:sz w:val="20"/>
      <w:szCs w:val="20"/>
    </w:rPr>
  </w:style>
  <w:style w:type="paragraph" w:styleId="ConsNormal" w:customStyle="1">
    <w:name w:val="ConsNormal"/>
    <w:qFormat/>
    <w:rsid w:val="00bc45fd"/>
    <w:pPr>
      <w:widowControl/>
      <w:suppressAutoHyphens w:val="true"/>
      <w:bidi w:val="0"/>
      <w:spacing w:before="0" w:after="0"/>
      <w:ind w:right="19772" w:firstLine="720"/>
      <w:jc w:val="left"/>
    </w:pPr>
    <w:rPr>
      <w:rFonts w:ascii="Arial" w:hAnsi="Arial" w:eastAsia="Times New Roman" w:cs="Times New Roman"/>
      <w:color w:val="auto"/>
      <w:kern w:val="0"/>
      <w:sz w:val="32"/>
      <w:szCs w:val="20"/>
      <w:lang w:eastAsia="en-US" w:val="ru-RU" w:bidi="ar-SA"/>
    </w:rPr>
  </w:style>
  <w:style w:type="paragraph" w:styleId="111" w:customStyle="1">
    <w:name w:val="Знак Знак Знак Знак Знак Знак Знак Знак Знак1"/>
    <w:basedOn w:val="Normal"/>
    <w:qFormat/>
    <w:rsid w:val="00bc45fd"/>
    <w:pPr>
      <w:spacing w:lineRule="exact" w:line="240" w:before="0" w:after="160"/>
      <w:jc w:val="both"/>
    </w:pPr>
    <w:rPr>
      <w:rFonts w:ascii="Verdana" w:hAnsi="Verdana"/>
      <w:sz w:val="22"/>
      <w:szCs w:val="20"/>
      <w:lang w:val="en-US" w:eastAsia="en-US"/>
    </w:rPr>
  </w:style>
  <w:style w:type="paragraph" w:styleId="112" w:customStyle="1">
    <w:name w:val="Текст1"/>
    <w:basedOn w:val="Normal"/>
    <w:qFormat/>
    <w:rsid w:val="00bc45fd"/>
    <w:pPr>
      <w:spacing w:before="0" w:after="120"/>
      <w:jc w:val="both"/>
    </w:pPr>
    <w:rPr>
      <w:rFonts w:ascii="Courier New" w:hAnsi="Courier New"/>
      <w:sz w:val="22"/>
      <w:szCs w:val="20"/>
      <w:lang w:eastAsia="en-US"/>
    </w:rPr>
  </w:style>
  <w:style w:type="paragraph" w:styleId="29" w:customStyle="1">
    <w:name w:val="Обычный2"/>
    <w:qFormat/>
    <w:rsid w:val="00bc45f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13" w:customStyle="1">
    <w:name w:val="Заголовок1"/>
    <w:basedOn w:val="Normal"/>
    <w:next w:val="Normal"/>
    <w:link w:val="Style18"/>
    <w:uiPriority w:val="10"/>
    <w:qFormat/>
    <w:rsid w:val="00bc45fd"/>
    <w:pPr>
      <w:spacing w:before="0" w:after="0"/>
      <w:contextualSpacing/>
    </w:pPr>
    <w:rPr>
      <w:rFonts w:ascii="Calibri Light" w:hAnsi="Calibri Light"/>
      <w:spacing w:val="-10"/>
      <w:kern w:val="2"/>
      <w:sz w:val="56"/>
      <w:szCs w:val="56"/>
      <w:lang w:val="en-GB" w:eastAsia="en-US"/>
    </w:rPr>
  </w:style>
  <w:style w:type="paragraph" w:styleId="Msonormal" w:customStyle="1">
    <w:name w:val="msonormal"/>
    <w:basedOn w:val="Normal"/>
    <w:qFormat/>
    <w:rsid w:val="00bc45fd"/>
    <w:pPr>
      <w:spacing w:beforeAutospacing="1" w:afterAutospacing="1"/>
    </w:pPr>
    <w:rPr>
      <w:rFonts w:ascii="Arial" w:hAnsi="Arial" w:eastAsia="Arial Unicode MS" w:cs="Arial"/>
      <w:color w:val="000000"/>
      <w:sz w:val="16"/>
      <w:szCs w:val="16"/>
    </w:rPr>
  </w:style>
  <w:style w:type="paragraph" w:styleId="Style41" w:customStyle="1">
    <w:name w:val="[РГ] Текст"/>
    <w:basedOn w:val="Normal"/>
    <w:qFormat/>
    <w:rsid w:val="00515014"/>
    <w:pPr>
      <w:spacing w:before="120" w:after="0"/>
      <w:jc w:val="both"/>
    </w:pPr>
    <w:rPr>
      <w:rFonts w:eastAsia="Calibri" w:eastAsiaTheme="minorHAnsi"/>
      <w:color w:val="000000"/>
      <w:sz w:val="26"/>
      <w:szCs w:val="26"/>
      <w:lang w:eastAsia="en-US"/>
    </w:rPr>
  </w:style>
  <w:style w:type="paragraph" w:styleId="Style42" w:customStyle="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14" w:customStyle="1">
    <w:name w:val="Стиль1"/>
    <w:uiPriority w:val="99"/>
    <w:qFormat/>
    <w:rsid w:val="00f001e4"/>
  </w:style>
  <w:style w:type="numbering" w:styleId="210" w:customStyle="1">
    <w:name w:val="Стиль2"/>
    <w:uiPriority w:val="99"/>
    <w:qFormat/>
    <w:rsid w:val="006629c9"/>
  </w:style>
  <w:style w:type="numbering" w:styleId="115" w:customStyle="1">
    <w:name w:val="Нет списка1"/>
    <w:uiPriority w:val="99"/>
    <w:semiHidden/>
    <w:unhideWhenUsed/>
    <w:qFormat/>
    <w:rsid w:val="00bc45fd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f0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f1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63BBD-629B-445A-A4ED-D44A249D6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Application>AlterOffice/3.4.0.9$Linux_X86_64 LibreOffice_project/b8daf9e823b1a5463a2f48435ddc2e8696e7d4fc</Application>
  <AppVersion>15.0000</AppVersion>
  <Pages>8</Pages>
  <Words>1213</Words>
  <Characters>8363</Characters>
  <CharactersWithSpaces>9425</CharactersWithSpaces>
  <Paragraphs>154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2023-10-26T20:51:00Z</dcterms:created>
  <dc:creator>Быстров Олег Геннадьевич</dc:creator>
  <dc:description/>
  <dc:language>ru-RU</dc:language>
  <cp:lastModifiedBy>fedorovsa@corp.gidroogk.com</cp:lastModifiedBy>
  <cp:lastPrinted>2025-04-03T02:22:00Z</cp:lastPrinted>
  <dcterms:modified xsi:type="dcterms:W3CDTF">2026-08-20T11:51:51Z</dcterms:modified>
  <cp:revision>51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