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header9.xml" ContentType="application/vnd.openxmlformats-officedocument.wordprocessingml.head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header6.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header8.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bCs/>
          <w:sz w:val="24"/>
          <w:szCs w:val="24"/>
        </w:rPr>
      </w:pPr>
      <w:r>
        <w:rPr>
          <w:b/>
          <w:bCs/>
          <w:sz w:val="24"/>
          <w:szCs w:val="24"/>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 xml:space="preserve">Технические требования </w:t>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sz w:val="26"/>
          <w:szCs w:val="26"/>
        </w:rPr>
      </w:pPr>
      <w:r>
        <w:rPr>
          <w:rFonts w:eastAsia="Calibri"/>
          <w:b/>
          <w:sz w:val="24"/>
          <w:szCs w:val="24"/>
        </w:rPr>
        <w:t>ОКПД 2: 33.20.50.000  Оказание услуг по райберовке соединительных муфт РТ-РК РК-РГ турбоагрегата ГТЭ-45-3 ст.№3</w:t>
      </w:r>
    </w:p>
    <w:p>
      <w:pPr>
        <w:pStyle w:val="Heading1"/>
        <w:tabs>
          <w:tab w:val="clear" w:pos="0"/>
        </w:tabs>
        <w:ind w:left="5038" w:hanging="0"/>
        <w:rPr>
          <w:rFonts w:cs="Calibri Light (Заголовки)"/>
          <w:i/>
          <w:i/>
        </w:rPr>
      </w:pPr>
      <w:r>
        <w:rPr>
          <w:rFonts w:cs="Calibri Light (Заголовки)"/>
          <w:i/>
        </w:rPr>
      </w:r>
    </w:p>
    <w:p>
      <w:pPr>
        <w:pStyle w:val="Normal"/>
        <w:rPr>
          <w:rFonts w:eastAsia="Calibri" w:cs="Calibri Light (Заголовки)"/>
          <w:b/>
          <w:i/>
          <w:i/>
          <w:lang w:val="x-none" w:eastAsia="x-none"/>
        </w:rPr>
      </w:pPr>
      <w:r>
        <w:rPr>
          <w:rFonts w:eastAsia="Calibri" w:cs="Calibri Light (Заголовки)"/>
          <w:b/>
          <w:i/>
          <w:lang w:val="x-none" w:eastAsia="x-none"/>
        </w:rPr>
      </w:r>
      <w:r>
        <w:br w:type="page"/>
      </w:r>
    </w:p>
    <w:p>
      <w:pPr>
        <w:pStyle w:val="Heading1"/>
        <w:numPr>
          <w:ilvl w:val="0"/>
          <w:numId w:val="3"/>
        </w:numPr>
        <w:spacing w:before="0" w:after="60"/>
        <w:ind w:left="5038" w:hanging="360"/>
        <w:rPr>
          <w:lang w:val="ru-RU"/>
        </w:rPr>
      </w:pPr>
      <w:bookmarkStart w:id="0" w:name="_Toc226653390"/>
      <w:r>
        <w:rPr/>
        <w:t>Общие сведения</w:t>
      </w:r>
      <w:bookmarkEnd w:id="0"/>
    </w:p>
    <w:p>
      <w:pPr>
        <w:pStyle w:val="Heading4"/>
        <w:numPr>
          <w:ilvl w:val="1"/>
          <w:numId w:val="3"/>
        </w:numPr>
        <w:rPr/>
      </w:pPr>
      <w:bookmarkStart w:id="1" w:name="_Toc226653391"/>
      <w:bookmarkStart w:id="2" w:name="_Toc46743505"/>
      <w:r>
        <w:rPr/>
        <w:t>Обозначения и сокращения</w:t>
      </w:r>
      <w:bookmarkEnd w:id="1"/>
      <w:bookmarkEnd w:id="2"/>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785"/>
        <w:gridCol w:w="7997"/>
      </w:tblGrid>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ПТЭ</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Правила технической эксплуатации</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РФ</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Российская Федерация.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ОТ и ПБ</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Охрана труда и промышленная безопасность.</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rPr>
                <w:bCs/>
                <w:i/>
                <w:i/>
                <w:iCs/>
                <w:sz w:val="24"/>
                <w:szCs w:val="24"/>
              </w:rPr>
            </w:pPr>
            <w:r>
              <w:rPr>
                <w:bCs/>
                <w:i/>
                <w:iCs/>
                <w:sz w:val="24"/>
                <w:szCs w:val="24"/>
              </w:rPr>
              <w:t>СИЗ</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Средства индивидуальной защиты</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rPr>
                <w:bCs/>
                <w:i/>
                <w:i/>
                <w:iCs/>
                <w:sz w:val="24"/>
                <w:szCs w:val="24"/>
              </w:rPr>
            </w:pPr>
            <w:r>
              <w:rPr>
                <w:bCs/>
                <w:i/>
                <w:iCs/>
                <w:sz w:val="24"/>
                <w:szCs w:val="24"/>
              </w:rPr>
              <w:t>ТТ</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Технические требования</w:t>
            </w:r>
          </w:p>
        </w:tc>
      </w:tr>
    </w:tbl>
    <w:p>
      <w:pPr>
        <w:pStyle w:val="Normal"/>
        <w:rPr>
          <w:lang w:eastAsia="x-none"/>
        </w:rPr>
      </w:pPr>
      <w:r>
        <w:rPr>
          <w:lang w:eastAsia="x-none"/>
        </w:rPr>
      </w:r>
    </w:p>
    <w:p>
      <w:pPr>
        <w:pStyle w:val="Heading4"/>
        <w:numPr>
          <w:ilvl w:val="1"/>
          <w:numId w:val="3"/>
        </w:numPr>
        <w:rPr>
          <w:lang w:val="ru-RU"/>
        </w:rPr>
      </w:pPr>
      <w:bookmarkStart w:id="3" w:name="_Toc226653392"/>
      <w:bookmarkStart w:id="4" w:name="_Toc46743506"/>
      <w:r>
        <w:rPr/>
        <w:t xml:space="preserve">Наименование </w:t>
      </w:r>
      <w:bookmarkEnd w:id="4"/>
      <w:r>
        <w:rPr/>
        <w:t>оказываемой услуги</w:t>
      </w:r>
      <w:bookmarkEnd w:id="3"/>
    </w:p>
    <w:p>
      <w:pPr>
        <w:pStyle w:val="Normal"/>
        <w:jc w:val="both"/>
        <w:rPr>
          <w:i/>
          <w:i/>
          <w:iCs/>
          <w:sz w:val="24"/>
          <w:szCs w:val="24"/>
          <w:lang w:eastAsia="x-none"/>
        </w:rPr>
      </w:pPr>
      <w:r>
        <w:rPr>
          <w:i/>
          <w:iCs/>
          <w:sz w:val="24"/>
          <w:szCs w:val="24"/>
          <w:lang w:eastAsia="x-none"/>
        </w:rPr>
        <w:t>ОКПД 2: 33.20.50.000  Оказание услуг по райберовке соединительных муфт РТ-РК РК-РГ турбоагрегата ГТЭ-45-3 ст.№3.</w:t>
      </w:r>
    </w:p>
    <w:p>
      <w:pPr>
        <w:pStyle w:val="Heading4"/>
        <w:numPr>
          <w:ilvl w:val="1"/>
          <w:numId w:val="3"/>
        </w:numPr>
        <w:rPr/>
      </w:pPr>
      <w:bookmarkStart w:id="5" w:name="_Toc226653393"/>
      <w:bookmarkStart w:id="6" w:name="_Toc46743507"/>
      <w:r>
        <w:rPr/>
        <w:t xml:space="preserve">Цель </w:t>
      </w:r>
      <w:bookmarkEnd w:id="6"/>
      <w:r>
        <w:rPr/>
        <w:t>оказания услуг</w:t>
      </w:r>
      <w:bookmarkEnd w:id="5"/>
      <w:r>
        <w:rPr/>
        <w:t xml:space="preserve"> </w:t>
      </w:r>
    </w:p>
    <w:p>
      <w:pPr>
        <w:pStyle w:val="Normal"/>
        <w:widowControl w:val="false"/>
        <w:tabs>
          <w:tab w:val="clear" w:pos="708"/>
          <w:tab w:val="left" w:pos="426" w:leader="none"/>
        </w:tabs>
        <w:spacing w:before="120" w:after="240"/>
        <w:jc w:val="both"/>
        <w:rPr>
          <w:bCs/>
          <w:i/>
          <w:i/>
          <w:iCs/>
          <w:sz w:val="24"/>
          <w:szCs w:val="24"/>
        </w:rPr>
      </w:pPr>
      <w:bookmarkStart w:id="7" w:name="_Hlk158824815"/>
      <w:r>
        <w:rPr>
          <w:bCs/>
          <w:i/>
          <w:iCs/>
          <w:sz w:val="24"/>
          <w:szCs w:val="24"/>
        </w:rPr>
        <w:t xml:space="preserve"> </w:t>
      </w:r>
      <w:bookmarkEnd w:id="7"/>
      <w:r>
        <w:rPr>
          <w:bCs/>
          <w:i/>
          <w:iCs/>
          <w:sz w:val="24"/>
          <w:szCs w:val="24"/>
        </w:rPr>
        <w:t>Р</w:t>
      </w:r>
      <w:r>
        <w:rPr>
          <w:bCs/>
          <w:i/>
          <w:iCs/>
          <w:sz w:val="24"/>
          <w:szCs w:val="24"/>
        </w:rPr>
        <w:t>айберовк</w:t>
      </w:r>
      <w:r>
        <w:rPr>
          <w:bCs/>
          <w:i/>
          <w:iCs/>
          <w:sz w:val="24"/>
          <w:szCs w:val="24"/>
        </w:rPr>
        <w:t>а</w:t>
      </w:r>
      <w:r>
        <w:rPr>
          <w:bCs/>
          <w:i/>
          <w:iCs/>
          <w:sz w:val="24"/>
          <w:szCs w:val="24"/>
        </w:rPr>
        <w:t xml:space="preserve"> соединительных муфт РТ-РК РК-РГ турбоагрегата ГТЭ-45-3 ст.№3.</w:t>
      </w:r>
    </w:p>
    <w:p>
      <w:pPr>
        <w:pStyle w:val="Normal"/>
        <w:widowControl w:val="false"/>
        <w:tabs>
          <w:tab w:val="clear" w:pos="708"/>
          <w:tab w:val="left" w:pos="426" w:leader="none"/>
        </w:tabs>
        <w:spacing w:before="120" w:after="240"/>
        <w:jc w:val="both"/>
        <w:rPr>
          <w:bCs/>
          <w:i/>
          <w:i/>
          <w:iCs/>
          <w:sz w:val="24"/>
          <w:szCs w:val="24"/>
        </w:rPr>
      </w:pPr>
      <w:r>
        <w:rPr>
          <w:bCs/>
          <w:i/>
          <w:iCs/>
          <w:sz w:val="24"/>
          <w:szCs w:val="24"/>
        </w:rPr>
        <w:t xml:space="preserve">- Сопряжение роторов: Проведение чистовой обработки (райберовки) отверстий соединительных муфт валопровода для обеспечения идеальной соосности и надежной посадки призонных болтов. </w:t>
      </w:r>
    </w:p>
    <w:p>
      <w:pPr>
        <w:pStyle w:val="Normal"/>
        <w:widowControl w:val="false"/>
        <w:tabs>
          <w:tab w:val="clear" w:pos="708"/>
          <w:tab w:val="left" w:pos="426" w:leader="none"/>
        </w:tabs>
        <w:spacing w:before="120" w:after="240"/>
        <w:jc w:val="both"/>
        <w:rPr>
          <w:rStyle w:val="Style8"/>
          <w:b w:val="false"/>
          <w:bCs/>
          <w:sz w:val="24"/>
          <w:szCs w:val="24"/>
        </w:rPr>
      </w:pPr>
      <w:r>
        <w:rPr>
          <w:bCs/>
          <w:i/>
          <w:iCs/>
          <w:sz w:val="24"/>
          <w:szCs w:val="24"/>
        </w:rPr>
        <w:t>- Обеспечение надежности: Исключение возможности возникновения сверхнормативной вибрации, задеваний в уплотнениях и преждевременного износа вкладышей подшипников при последующей эксплуатации турбоагрегата.</w:t>
      </w:r>
    </w:p>
    <w:p>
      <w:pPr>
        <w:pStyle w:val="Heading4"/>
        <w:numPr>
          <w:ilvl w:val="1"/>
          <w:numId w:val="3"/>
        </w:numPr>
        <w:rPr/>
      </w:pPr>
      <w:bookmarkStart w:id="8" w:name="_Toc226653394"/>
      <w:bookmarkStart w:id="9" w:name="_Toc46743508"/>
      <w:r>
        <w:rPr/>
        <w:t>Существующее положение</w:t>
      </w:r>
      <w:bookmarkEnd w:id="8"/>
      <w:bookmarkEnd w:id="9"/>
      <w:r>
        <w:rPr>
          <w:lang w:val="ru-RU"/>
        </w:rPr>
        <w:t xml:space="preserve"> </w:t>
      </w:r>
    </w:p>
    <w:p>
      <w:pPr>
        <w:pStyle w:val="Normal"/>
        <w:jc w:val="both"/>
        <w:rPr>
          <w:rStyle w:val="Style8"/>
          <w:b w:val="false"/>
          <w:iCs/>
          <w:shd w:fill="auto" w:val="clear"/>
          <w:lang w:val="x-none" w:eastAsia="x-none"/>
        </w:rPr>
      </w:pPr>
      <w:bookmarkStart w:id="10" w:name="_Hlk204242039"/>
      <w:bookmarkEnd w:id="10"/>
      <w:r>
        <w:rPr>
          <w:i/>
          <w:iCs/>
          <w:sz w:val="24"/>
          <w:szCs w:val="24"/>
        </w:rPr>
        <w:t xml:space="preserve">Закупка осуществляется для нужд </w:t>
      </w:r>
      <w:r>
        <w:rPr>
          <w:rStyle w:val="Style8"/>
          <w:b w:val="false"/>
          <w:iCs/>
          <w:sz w:val="24"/>
          <w:szCs w:val="24"/>
          <w:shd w:fill="auto" w:val="clear"/>
          <w:lang w:val="x-none" w:eastAsia="x-none"/>
        </w:rPr>
        <w:t>филиал</w:t>
      </w:r>
      <w:r>
        <w:rPr>
          <w:rStyle w:val="Style8"/>
          <w:b w:val="false"/>
          <w:iCs/>
          <w:sz w:val="24"/>
          <w:szCs w:val="24"/>
          <w:shd w:fill="auto" w:val="clear"/>
          <w:lang w:val="x-none" w:eastAsia="x-none"/>
        </w:rPr>
        <w:t>а</w:t>
      </w:r>
      <w:r>
        <w:rPr>
          <w:rStyle w:val="Style8"/>
          <w:b w:val="false"/>
          <w:iCs/>
          <w:sz w:val="24"/>
          <w:szCs w:val="24"/>
          <w:shd w:fill="auto" w:val="clear"/>
          <w:lang w:val="x-none" w:eastAsia="x-none"/>
        </w:rPr>
        <w:t xml:space="preserve"> ПАО «Якутскэнерго» Якутская ГРЭС  677004, Республика Саха (Якутия), г.Якутск, Кржижановского, 2</w:t>
      </w:r>
    </w:p>
    <w:p>
      <w:pPr>
        <w:pStyle w:val="Heading1"/>
        <w:keepLines/>
        <w:tabs>
          <w:tab w:val="clear" w:pos="0"/>
        </w:tabs>
        <w:spacing w:before="240" w:after="60"/>
        <w:ind w:left="0" w:hanging="0"/>
        <w:rPr>
          <w:rStyle w:val="Style8"/>
          <w:b/>
          <w:i w:val="false"/>
          <w:i w:val="false"/>
          <w:sz w:val="24"/>
          <w:szCs w:val="24"/>
          <w:shd w:fill="auto" w:val="clear"/>
          <w:lang w:val="ru-RU"/>
        </w:rPr>
      </w:pPr>
      <w:bookmarkStart w:id="11" w:name="_Hlk204242039"/>
      <w:bookmarkStart w:id="12" w:name="_Toc226653395"/>
      <w:bookmarkEnd w:id="11"/>
      <w:r>
        <w:rPr>
          <w:sz w:val="24"/>
          <w:szCs w:val="24"/>
        </w:rPr>
        <w:t>Таблица 1</w:t>
      </w:r>
      <w:r>
        <w:rPr>
          <w:sz w:val="24"/>
          <w:szCs w:val="24"/>
          <w:lang w:val="ru-RU"/>
        </w:rPr>
        <w:t>.</w:t>
      </w:r>
      <w:r>
        <w:rPr>
          <w:sz w:val="24"/>
          <w:szCs w:val="24"/>
        </w:rPr>
        <w:t xml:space="preserve"> </w:t>
      </w:r>
      <w:r>
        <w:rPr>
          <w:sz w:val="24"/>
          <w:szCs w:val="24"/>
          <w:lang w:val="ru-RU"/>
        </w:rPr>
        <w:t>Перечень объектов заказчика</w:t>
      </w:r>
      <w:bookmarkEnd w:id="12"/>
    </w:p>
    <w:tbl>
      <w:tblPr>
        <w:tblW w:w="1020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703"/>
        <w:gridCol w:w="2973"/>
        <w:gridCol w:w="2130"/>
        <w:gridCol w:w="2694"/>
        <w:gridCol w:w="1702"/>
      </w:tblGrid>
      <w:tr>
        <w:trPr/>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w:t>
            </w:r>
          </w:p>
          <w:p>
            <w:pPr>
              <w:pStyle w:val="Normal"/>
              <w:widowControl w:val="false"/>
              <w:jc w:val="center"/>
              <w:rPr>
                <w:sz w:val="24"/>
                <w:szCs w:val="24"/>
              </w:rPr>
            </w:pPr>
            <w:r>
              <w:rPr>
                <w:sz w:val="24"/>
                <w:szCs w:val="24"/>
              </w:rPr>
              <w:t>п/п</w:t>
            </w:r>
          </w:p>
        </w:tc>
        <w:tc>
          <w:tcPr>
            <w:tcW w:w="2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объекта</w:t>
            </w:r>
          </w:p>
        </w:tc>
        <w:tc>
          <w:tcPr>
            <w:tcW w:w="2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Расположение объекта </w:t>
              <w:br/>
            </w:r>
            <w:r>
              <w:rPr>
                <w:i/>
                <w:iCs/>
                <w:sz w:val="24"/>
                <w:szCs w:val="24"/>
              </w:rPr>
              <w:t>(место оказания услуг)</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Наименование основного средства </w:t>
              <w:br/>
              <w:t>(в отношении которого оказываются услуги)</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Примечания</w:t>
            </w:r>
          </w:p>
        </w:tc>
      </w:tr>
      <w:tr>
        <w:trPr/>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b/>
                <w:sz w:val="24"/>
                <w:szCs w:val="24"/>
              </w:rPr>
              <w:t>1</w:t>
            </w:r>
          </w:p>
        </w:tc>
        <w:tc>
          <w:tcPr>
            <w:tcW w:w="2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b/>
                <w:sz w:val="24"/>
                <w:szCs w:val="24"/>
              </w:rPr>
              <w:t>2</w:t>
            </w:r>
          </w:p>
        </w:tc>
        <w:tc>
          <w:tcPr>
            <w:tcW w:w="2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b/>
                <w:sz w:val="24"/>
                <w:szCs w:val="24"/>
              </w:rPr>
              <w:t>3</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b/>
                <w:sz w:val="24"/>
                <w:szCs w:val="24"/>
              </w:rPr>
              <w:t>4</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b/>
                <w:sz w:val="24"/>
                <w:szCs w:val="24"/>
              </w:rPr>
              <w:t>5</w:t>
            </w:r>
          </w:p>
        </w:tc>
      </w:tr>
      <w:tr>
        <w:trPr>
          <w:trHeight w:val="881" w:hRule="atLeast"/>
        </w:trPr>
        <w:tc>
          <w:tcPr>
            <w:tcW w:w="703"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6"/>
              </w:numPr>
              <w:ind w:left="0" w:right="-279" w:hanging="0"/>
              <w:jc w:val="center"/>
              <w:rPr/>
            </w:pPr>
            <w:r>
              <w:rPr/>
            </w:r>
          </w:p>
        </w:tc>
        <w:tc>
          <w:tcPr>
            <w:tcW w:w="2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iCs/>
                <w:sz w:val="24"/>
                <w:szCs w:val="24"/>
              </w:rPr>
            </w:pPr>
            <w:r>
              <w:rPr>
                <w:rFonts w:eastAsia="Calibri"/>
                <w:i/>
                <w:sz w:val="24"/>
                <w:szCs w:val="24"/>
                <w:lang w:eastAsia="x-none"/>
              </w:rPr>
              <w:t xml:space="preserve">филиал ПАО «Якутскэнерго» Якутская ГРЭС </w:t>
            </w:r>
          </w:p>
        </w:tc>
        <w:tc>
          <w:tcPr>
            <w:tcW w:w="2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iCs/>
                <w:sz w:val="24"/>
                <w:szCs w:val="24"/>
              </w:rPr>
            </w:pPr>
            <w:r>
              <w:rPr>
                <w:i/>
                <w:iCs/>
                <w:sz w:val="24"/>
                <w:szCs w:val="24"/>
              </w:rPr>
              <w:t>677004, Республика Саха (Якутия), г.Якутск, Кржижановского, 2</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iCs/>
                <w:sz w:val="24"/>
                <w:szCs w:val="24"/>
              </w:rPr>
            </w:pPr>
            <w:r>
              <w:rPr>
                <w:i/>
                <w:iCs/>
                <w:sz w:val="24"/>
                <w:szCs w:val="24"/>
              </w:rPr>
              <w:t>ГТЭ-45-3 ст.№3</w:t>
            </w:r>
          </w:p>
        </w:tc>
        <w:tc>
          <w:tcPr>
            <w:tcW w:w="1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Cs/>
                <w:sz w:val="24"/>
                <w:szCs w:val="24"/>
              </w:rPr>
            </w:pPr>
            <w:r>
              <w:rPr>
                <w:iCs/>
                <w:sz w:val="24"/>
                <w:szCs w:val="24"/>
              </w:rPr>
            </w:r>
          </w:p>
        </w:tc>
      </w:tr>
    </w:tbl>
    <w:p>
      <w:pPr>
        <w:pStyle w:val="Heading4"/>
        <w:numPr>
          <w:ilvl w:val="1"/>
          <w:numId w:val="3"/>
        </w:numPr>
        <w:jc w:val="both"/>
        <w:rPr/>
      </w:pPr>
      <w:bookmarkStart w:id="13" w:name="_Toc226653396"/>
      <w:bookmarkStart w:id="14" w:name="_Toc48062863"/>
      <w:r>
        <w:rPr/>
        <w:t xml:space="preserve">Информация в отношении исполнения договора, </w:t>
      </w:r>
      <w:bookmarkStart w:id="15" w:name="_Hlk46492347"/>
      <w:r>
        <w:rPr/>
        <w:t xml:space="preserve">которая должна быть учтена при подготовке заявки </w:t>
      </w:r>
      <w:bookmarkEnd w:id="15"/>
      <w:r>
        <w:rPr/>
        <w:t>(в том числе перечень ресурсов, услуг и документов, предоставляемых заказчиком на этапе исполнения договора)</w:t>
      </w:r>
      <w:bookmarkEnd w:id="13"/>
      <w:bookmarkEnd w:id="14"/>
    </w:p>
    <w:p>
      <w:pPr>
        <w:pStyle w:val="Normal"/>
        <w:widowControl w:val="false"/>
        <w:tabs>
          <w:tab w:val="clear" w:pos="708"/>
          <w:tab w:val="left" w:pos="426" w:leader="none"/>
        </w:tabs>
        <w:spacing w:before="120" w:after="120"/>
        <w:jc w:val="both"/>
        <w:rPr>
          <w:rFonts w:eastAsia="Calibri"/>
          <w:i/>
          <w:i/>
          <w:iCs/>
          <w:sz w:val="24"/>
          <w:szCs w:val="24"/>
          <w:lang w:eastAsia="x-none"/>
        </w:rPr>
      </w:pPr>
      <w:r>
        <w:rPr>
          <w:rFonts w:eastAsia="Calibri"/>
          <w:i/>
          <w:iCs/>
          <w:sz w:val="24"/>
          <w:szCs w:val="24"/>
          <w:lang w:eastAsia="x-none"/>
        </w:rPr>
        <w:t>1.5.1. При подготовке заявки Участник должен учитывать, что оказание услуг осуществляется в условиях действующего энергообъекта (</w:t>
      </w:r>
      <w:r>
        <w:rPr>
          <w:rFonts w:eastAsia="Calibri"/>
          <w:i/>
          <w:iCs/>
          <w:sz w:val="24"/>
          <w:szCs w:val="24"/>
          <w:lang w:eastAsia="x-none"/>
        </w:rPr>
        <w:t>ЯГРЭС</w:t>
      </w:r>
      <w:r>
        <w:rPr>
          <w:rFonts w:eastAsia="Calibri"/>
          <w:i/>
          <w:iCs/>
          <w:sz w:val="24"/>
          <w:szCs w:val="24"/>
          <w:lang w:eastAsia="x-none"/>
        </w:rPr>
        <w:t>-</w:t>
      </w:r>
      <w:r>
        <w:rPr>
          <w:rFonts w:eastAsia="Calibri"/>
          <w:i/>
          <w:iCs/>
          <w:sz w:val="24"/>
          <w:szCs w:val="24"/>
          <w:lang w:eastAsia="x-none"/>
        </w:rPr>
        <w:t>1</w:t>
      </w:r>
      <w:r>
        <w:rPr>
          <w:rFonts w:eastAsia="Calibri"/>
          <w:i/>
          <w:iCs/>
          <w:sz w:val="24"/>
          <w:szCs w:val="24"/>
          <w:lang w:eastAsia="x-none"/>
        </w:rPr>
        <w:t>), характеризующегося наличием опасных производственных факторов, стесненностью условий и жестким регламентом проведения работ.</w:t>
      </w:r>
    </w:p>
    <w:p>
      <w:pPr>
        <w:pStyle w:val="Normal"/>
        <w:widowControl w:val="false"/>
        <w:tabs>
          <w:tab w:val="clear" w:pos="708"/>
          <w:tab w:val="left" w:pos="426" w:leader="none"/>
        </w:tabs>
        <w:spacing w:before="120" w:after="120"/>
        <w:jc w:val="both"/>
        <w:rPr>
          <w:rFonts w:eastAsia="Calibri"/>
          <w:i/>
          <w:i/>
          <w:iCs/>
          <w:sz w:val="24"/>
          <w:szCs w:val="24"/>
          <w:lang w:eastAsia="x-none"/>
        </w:rPr>
      </w:pPr>
      <w:r>
        <w:rPr>
          <w:rFonts w:eastAsia="Calibri"/>
          <w:i/>
          <w:iCs/>
          <w:sz w:val="24"/>
          <w:szCs w:val="24"/>
          <w:lang w:eastAsia="x-none"/>
        </w:rPr>
        <w:t>1.5.2. Заказчик на этапе исполнения договора предоставляет исключительно следующие ресурсы и сведения:</w:t>
      </w:r>
    </w:p>
    <w:p>
      <w:pPr>
        <w:pStyle w:val="Normal"/>
        <w:widowControl w:val="false"/>
        <w:tabs>
          <w:tab w:val="clear" w:pos="708"/>
          <w:tab w:val="left" w:pos="426" w:leader="none"/>
        </w:tabs>
        <w:spacing w:before="120" w:after="120"/>
        <w:jc w:val="both"/>
        <w:rPr>
          <w:rFonts w:eastAsia="Calibri"/>
          <w:i/>
          <w:i/>
          <w:iCs/>
          <w:sz w:val="24"/>
          <w:szCs w:val="24"/>
          <w:lang w:eastAsia="x-none"/>
        </w:rPr>
      </w:pPr>
      <w:r>
        <w:rPr>
          <w:rFonts w:eastAsia="Calibri"/>
          <w:i/>
          <w:iCs/>
          <w:sz w:val="24"/>
          <w:szCs w:val="24"/>
          <w:lang w:eastAsia="x-none"/>
        </w:rPr>
        <w:t>- Доступ на объект: Организация пропускного и внутриобъектового режима для персонала и спецтехники Исполнителя на основании предоставленных списков и допусков.</w:t>
      </w:r>
    </w:p>
    <w:p>
      <w:pPr>
        <w:pStyle w:val="Normal"/>
        <w:widowControl w:val="false"/>
        <w:tabs>
          <w:tab w:val="clear" w:pos="708"/>
          <w:tab w:val="left" w:pos="426" w:leader="none"/>
        </w:tabs>
        <w:spacing w:before="120" w:after="120"/>
        <w:jc w:val="both"/>
        <w:rPr>
          <w:rFonts w:eastAsia="Calibri"/>
          <w:i/>
          <w:i/>
          <w:iCs/>
          <w:sz w:val="24"/>
          <w:szCs w:val="24"/>
          <w:lang w:eastAsia="x-none"/>
        </w:rPr>
      </w:pPr>
      <w:r>
        <w:rPr>
          <w:rFonts w:eastAsia="Calibri"/>
          <w:i/>
          <w:iCs/>
          <w:sz w:val="24"/>
          <w:szCs w:val="24"/>
          <w:lang w:eastAsia="x-none"/>
        </w:rPr>
        <w:t xml:space="preserve"> </w:t>
      </w:r>
      <w:r>
        <w:rPr>
          <w:rFonts w:eastAsia="Calibri"/>
          <w:i/>
          <w:iCs/>
          <w:sz w:val="24"/>
          <w:szCs w:val="24"/>
          <w:lang w:eastAsia="x-none"/>
        </w:rPr>
        <w:t>- Координацию: Назначение ответственного лица со стороны Заказчика для осуществления общего контроля за соблюдением регламентов станции и взаимодействия с шефперсоналом завода-изготовителя</w:t>
      </w:r>
    </w:p>
    <w:p>
      <w:pPr>
        <w:pStyle w:val="Normal"/>
        <w:widowControl w:val="false"/>
        <w:tabs>
          <w:tab w:val="clear" w:pos="708"/>
          <w:tab w:val="left" w:pos="426" w:leader="none"/>
        </w:tabs>
        <w:spacing w:before="120" w:after="120"/>
        <w:jc w:val="both"/>
        <w:rPr>
          <w:rFonts w:eastAsia="Calibri"/>
          <w:i/>
          <w:i/>
          <w:iCs/>
          <w:sz w:val="24"/>
          <w:szCs w:val="24"/>
          <w:lang w:eastAsia="x-none"/>
        </w:rPr>
      </w:pPr>
      <w:r>
        <w:rPr>
          <w:rFonts w:eastAsia="Calibri"/>
          <w:i/>
          <w:iCs/>
          <w:sz w:val="24"/>
          <w:szCs w:val="24"/>
          <w:lang w:eastAsia="x-none"/>
        </w:rPr>
        <w:t>1.5.3. Предоставление всех прочих ресурсов (включая специализированное оборудование, лазерные системы, станочные комплексы, расходные материалы и программное обеспечение), необходимых для достижения результата услуг, осуществляется Исполнителем самостоятельно и за его счет</w:t>
      </w:r>
    </w:p>
    <w:p>
      <w:pPr>
        <w:pStyle w:val="Normal"/>
        <w:widowControl w:val="false"/>
        <w:tabs>
          <w:tab w:val="clear" w:pos="708"/>
          <w:tab w:val="left" w:pos="426" w:leader="none"/>
        </w:tabs>
        <w:spacing w:before="120" w:after="120"/>
        <w:jc w:val="both"/>
        <w:rPr>
          <w:rFonts w:eastAsia="Calibri"/>
          <w:sz w:val="24"/>
          <w:szCs w:val="24"/>
          <w:lang w:eastAsia="x-none"/>
        </w:rPr>
      </w:pPr>
      <w:r>
        <w:rPr>
          <w:iCs/>
          <w:caps/>
          <w:lang w:val="ru-RU"/>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Heading1"/>
        <w:keepLines/>
        <w:numPr>
          <w:ilvl w:val="0"/>
          <w:numId w:val="3"/>
        </w:numPr>
        <w:ind w:left="357" w:hanging="357"/>
        <w:jc w:val="center"/>
        <w:rPr>
          <w:iCs/>
          <w:caps/>
          <w:lang w:val="ru-RU"/>
        </w:rPr>
      </w:pPr>
      <w:bookmarkStart w:id="16" w:name="_Toc226653397"/>
      <w:r>
        <w:rPr>
          <w:iCs/>
          <w:lang w:val="ru-RU"/>
        </w:rPr>
        <w:t>Требования</w:t>
      </w:r>
      <w:r>
        <w:rPr>
          <w:iCs/>
        </w:rPr>
        <w:t xml:space="preserve"> к </w:t>
      </w:r>
      <w:r>
        <w:rPr>
          <w:iCs/>
          <w:lang w:val="ru-RU"/>
        </w:rPr>
        <w:t>услуге</w:t>
      </w:r>
      <w:bookmarkEnd w:id="16"/>
    </w:p>
    <w:p>
      <w:pPr>
        <w:pStyle w:val="Heading4"/>
        <w:numPr>
          <w:ilvl w:val="1"/>
          <w:numId w:val="3"/>
        </w:numPr>
        <w:rPr/>
      </w:pPr>
      <w:bookmarkStart w:id="17" w:name="_Toc226653398"/>
      <w:r>
        <w:rPr/>
        <w:t xml:space="preserve">Требования к объемам и срокам </w:t>
      </w:r>
      <w:r>
        <w:rPr>
          <w:lang w:val="ru-RU"/>
        </w:rPr>
        <w:t>оказания услуг</w:t>
      </w:r>
      <w:bookmarkEnd w:id="17"/>
    </w:p>
    <w:p>
      <w:pPr>
        <w:pStyle w:val="Heading3"/>
        <w:numPr>
          <w:ilvl w:val="2"/>
          <w:numId w:val="3"/>
        </w:numPr>
        <w:rPr/>
      </w:pPr>
      <w:bookmarkStart w:id="18" w:name="_Toc226653399"/>
      <w:r>
        <w:rPr>
          <w:lang w:val="ru-RU"/>
        </w:rPr>
        <w:t>Требования к перечню и объему услуг</w:t>
      </w:r>
      <w:bookmarkEnd w:id="18"/>
    </w:p>
    <w:p>
      <w:pPr>
        <w:pStyle w:val="Heading1"/>
        <w:keepLines/>
        <w:tabs>
          <w:tab w:val="clear" w:pos="0"/>
        </w:tabs>
        <w:spacing w:before="240" w:after="60"/>
        <w:ind w:left="0" w:hanging="0"/>
        <w:rPr>
          <w:sz w:val="24"/>
          <w:szCs w:val="24"/>
          <w:lang w:val="ru-RU"/>
        </w:rPr>
      </w:pPr>
      <w:bookmarkStart w:id="19" w:name="_Toc226653400"/>
      <w:bookmarkStart w:id="20" w:name="_Toc51339695"/>
      <w:r>
        <w:rPr>
          <w:sz w:val="24"/>
          <w:szCs w:val="24"/>
        </w:rPr>
        <w:t xml:space="preserve">Таблица </w:t>
      </w:r>
      <w:r>
        <w:rPr>
          <w:sz w:val="24"/>
          <w:szCs w:val="24"/>
          <w:lang w:val="ru-RU"/>
        </w:rPr>
        <w:t>2.</w:t>
      </w:r>
      <w:r>
        <w:rPr>
          <w:sz w:val="24"/>
          <w:szCs w:val="24"/>
        </w:rPr>
        <w:t xml:space="preserve"> </w:t>
      </w:r>
      <w:r>
        <w:rPr>
          <w:sz w:val="24"/>
          <w:szCs w:val="24"/>
          <w:lang w:val="ru-RU"/>
        </w:rPr>
        <w:t xml:space="preserve">Перечень </w:t>
      </w:r>
      <w:bookmarkEnd w:id="20"/>
      <w:r>
        <w:rPr>
          <w:sz w:val="24"/>
          <w:szCs w:val="24"/>
          <w:lang w:val="ru-RU"/>
        </w:rPr>
        <w:t>и объем оказываемых услуг</w:t>
      </w:r>
      <w:bookmarkEnd w:id="19"/>
    </w:p>
    <w:tbl>
      <w:tblPr>
        <w:tblW w:w="10350" w:type="dxa"/>
        <w:jc w:val="left"/>
        <w:tblInd w:w="-34" w:type="dxa"/>
        <w:tblLayout w:type="fixed"/>
        <w:tblCellMar>
          <w:top w:w="0" w:type="dxa"/>
          <w:left w:w="108" w:type="dxa"/>
          <w:bottom w:w="0" w:type="dxa"/>
          <w:right w:w="108" w:type="dxa"/>
        </w:tblCellMar>
        <w:tblLook w:val="0000" w:noHBand="0" w:noVBand="0" w:firstColumn="0" w:lastRow="0" w:lastColumn="0" w:firstRow="0"/>
      </w:tblPr>
      <w:tblGrid>
        <w:gridCol w:w="742"/>
        <w:gridCol w:w="6517"/>
        <w:gridCol w:w="1658"/>
        <w:gridCol w:w="1432"/>
      </w:tblGrid>
      <w:tr>
        <w:trPr>
          <w:trHeight w:val="543" w:hRule="atLeast"/>
        </w:trPr>
        <w:tc>
          <w:tcPr>
            <w:tcW w:w="742"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b/>
                <w:bCs/>
                <w:sz w:val="24"/>
                <w:szCs w:val="24"/>
              </w:rPr>
              <w:t xml:space="preserve">№ </w:t>
            </w:r>
            <w:r>
              <w:rPr>
                <w:b/>
                <w:bCs/>
                <w:sz w:val="24"/>
                <w:szCs w:val="24"/>
              </w:rPr>
              <w:t>п/п</w:t>
            </w:r>
          </w:p>
        </w:tc>
        <w:tc>
          <w:tcPr>
            <w:tcW w:w="651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ind w:left="-77" w:right="-111" w:hanging="0"/>
              <w:jc w:val="center"/>
              <w:rPr>
                <w:b/>
                <w:bCs/>
                <w:sz w:val="24"/>
                <w:szCs w:val="24"/>
              </w:rPr>
            </w:pPr>
            <w:r>
              <w:rPr>
                <w:b/>
                <w:bCs/>
                <w:sz w:val="24"/>
                <w:szCs w:val="24"/>
              </w:rPr>
              <w:t>Наименование услуг/этапа услуг</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b/>
                <w:bCs/>
                <w:sz w:val="24"/>
                <w:szCs w:val="24"/>
              </w:rPr>
            </w:pPr>
            <w:r>
              <w:rPr>
                <w:b/>
                <w:bCs/>
                <w:sz w:val="24"/>
                <w:szCs w:val="24"/>
              </w:rPr>
              <w:t>Единица измерения</w:t>
            </w:r>
          </w:p>
        </w:tc>
        <w:tc>
          <w:tcPr>
            <w:tcW w:w="1432"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ind w:left="-106" w:right="-105" w:hanging="0"/>
              <w:jc w:val="center"/>
              <w:rPr>
                <w:b/>
                <w:bCs/>
                <w:sz w:val="24"/>
                <w:szCs w:val="24"/>
              </w:rPr>
            </w:pPr>
            <w:r>
              <w:rPr>
                <w:b/>
                <w:bCs/>
                <w:sz w:val="24"/>
                <w:szCs w:val="24"/>
              </w:rPr>
              <w:t>Количество</w:t>
            </w:r>
          </w:p>
        </w:tc>
      </w:tr>
      <w:tr>
        <w:trPr>
          <w:trHeight w:val="145" w:hRule="atLeast"/>
        </w:trPr>
        <w:tc>
          <w:tcPr>
            <w:tcW w:w="7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b/>
                <w:sz w:val="24"/>
                <w:szCs w:val="24"/>
              </w:rPr>
              <w:t>1</w:t>
            </w:r>
          </w:p>
        </w:tc>
        <w:tc>
          <w:tcPr>
            <w:tcW w:w="6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b/>
                <w:sz w:val="24"/>
                <w:szCs w:val="24"/>
              </w:rPr>
              <w:t>2</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b/>
                <w:sz w:val="24"/>
                <w:szCs w:val="24"/>
              </w:rPr>
              <w:t>3</w:t>
            </w:r>
          </w:p>
        </w:tc>
        <w:tc>
          <w:tcPr>
            <w:tcW w:w="14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b/>
                <w:sz w:val="24"/>
                <w:szCs w:val="24"/>
              </w:rPr>
              <w:t>4</w:t>
            </w:r>
          </w:p>
        </w:tc>
      </w:tr>
      <w:tr>
        <w:trPr>
          <w:trHeight w:val="437" w:hRule="atLeast"/>
        </w:trPr>
        <w:tc>
          <w:tcPr>
            <w:tcW w:w="742"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ind w:left="644" w:hanging="360"/>
              <w:rPr/>
            </w:pPr>
            <w:r>
              <w:rPr/>
            </w:r>
          </w:p>
        </w:tc>
        <w:tc>
          <w:tcPr>
            <w:tcW w:w="6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i/>
                <w:i/>
                <w:sz w:val="24"/>
                <w:szCs w:val="24"/>
                <w:lang w:eastAsia="x-none"/>
              </w:rPr>
            </w:pPr>
            <w:r>
              <w:rPr>
                <w:rFonts w:eastAsia="Calibri"/>
                <w:i/>
                <w:sz w:val="24"/>
                <w:szCs w:val="24"/>
                <w:lang w:eastAsia="x-none"/>
              </w:rPr>
              <w:t>Оказание услуг по райберовке соединительных муфт РТ-РК РК-РГ турбоагрегата ГТЭ-45-3 ст.№3.</w:t>
            </w:r>
          </w:p>
        </w:tc>
        <w:tc>
          <w:tcPr>
            <w:tcW w:w="16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right="-108" w:hanging="0"/>
              <w:jc w:val="center"/>
              <w:rPr>
                <w:i/>
                <w:i/>
                <w:iCs/>
                <w:color w:val="000000"/>
                <w:sz w:val="24"/>
                <w:szCs w:val="24"/>
              </w:rPr>
            </w:pPr>
            <w:r>
              <w:rPr>
                <w:i/>
                <w:sz w:val="24"/>
                <w:szCs w:val="24"/>
              </w:rPr>
              <w:t>услуга</w:t>
            </w:r>
          </w:p>
        </w:tc>
        <w:tc>
          <w:tcPr>
            <w:tcW w:w="1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iCs/>
                <w:color w:val="000000"/>
                <w:sz w:val="24"/>
                <w:szCs w:val="24"/>
              </w:rPr>
            </w:pPr>
            <w:r>
              <w:rPr>
                <w:i/>
                <w:sz w:val="24"/>
                <w:szCs w:val="24"/>
              </w:rPr>
              <w:t>1</w:t>
            </w:r>
          </w:p>
        </w:tc>
      </w:tr>
    </w:tbl>
    <w:p>
      <w:pPr>
        <w:pStyle w:val="Normal"/>
        <w:widowControl w:val="false"/>
        <w:tabs>
          <w:tab w:val="clear" w:pos="708"/>
          <w:tab w:val="left" w:pos="426" w:leader="none"/>
        </w:tabs>
        <w:spacing w:before="120" w:after="120"/>
        <w:rPr>
          <w:i/>
          <w:i/>
          <w:iCs/>
          <w:sz w:val="24"/>
          <w:szCs w:val="24"/>
        </w:rPr>
      </w:pPr>
      <w:r>
        <w:rPr>
          <w:i/>
          <w:iCs/>
          <w:sz w:val="24"/>
          <w:szCs w:val="24"/>
        </w:rPr>
      </w:r>
    </w:p>
    <w:p>
      <w:pPr>
        <w:pStyle w:val="Heading3"/>
        <w:numPr>
          <w:ilvl w:val="2"/>
          <w:numId w:val="3"/>
        </w:numPr>
        <w:rPr>
          <w:lang w:val="ru-RU"/>
        </w:rPr>
      </w:pPr>
      <w:bookmarkStart w:id="21" w:name="_Toc226653401"/>
      <w:bookmarkStart w:id="22" w:name="_Toc51339696"/>
      <w:r>
        <w:rPr>
          <w:lang w:val="ru-RU"/>
        </w:rPr>
        <w:t xml:space="preserve">Требования </w:t>
      </w:r>
      <w:bookmarkEnd w:id="22"/>
      <w:r>
        <w:rPr>
          <w:lang w:val="ru-RU"/>
        </w:rPr>
        <w:t>к срокам оказания услуг</w:t>
      </w:r>
      <w:bookmarkEnd w:id="21"/>
    </w:p>
    <w:p>
      <w:pPr>
        <w:pStyle w:val="Heading1"/>
        <w:keepLines/>
        <w:tabs>
          <w:tab w:val="clear" w:pos="0"/>
        </w:tabs>
        <w:spacing w:before="240" w:after="60"/>
        <w:ind w:left="0" w:hanging="0"/>
        <w:rPr>
          <w:sz w:val="24"/>
          <w:szCs w:val="24"/>
          <w:lang w:val="ru-RU"/>
        </w:rPr>
      </w:pPr>
      <w:bookmarkStart w:id="23" w:name="_Toc226653402"/>
      <w:bookmarkStart w:id="24" w:name="_Toc51339697"/>
      <w:bookmarkStart w:id="25" w:name="_Toc50125127"/>
      <w:r>
        <w:rPr>
          <w:sz w:val="24"/>
          <w:szCs w:val="24"/>
        </w:rPr>
        <w:t xml:space="preserve">Таблица </w:t>
      </w:r>
      <w:r>
        <w:rPr>
          <w:sz w:val="24"/>
          <w:szCs w:val="24"/>
          <w:lang w:val="ru-RU"/>
        </w:rPr>
        <w:t>3</w:t>
      </w:r>
      <w:r>
        <w:rPr>
          <w:sz w:val="24"/>
          <w:szCs w:val="24"/>
        </w:rPr>
        <w:t xml:space="preserve">. </w:t>
      </w:r>
      <w:bookmarkStart w:id="26" w:name="_Hlk50465284"/>
      <w:r>
        <w:rPr>
          <w:sz w:val="24"/>
          <w:szCs w:val="24"/>
        </w:rPr>
        <w:t xml:space="preserve">Требования </w:t>
      </w:r>
      <w:r>
        <w:rPr>
          <w:sz w:val="24"/>
          <w:szCs w:val="24"/>
          <w:lang w:val="ru-RU"/>
        </w:rPr>
        <w:t>к</w:t>
      </w:r>
      <w:r>
        <w:rPr>
          <w:sz w:val="24"/>
          <w:szCs w:val="24"/>
        </w:rPr>
        <w:t xml:space="preserve"> срокам </w:t>
      </w:r>
      <w:bookmarkEnd w:id="24"/>
      <w:bookmarkEnd w:id="25"/>
      <w:bookmarkEnd w:id="26"/>
      <w:r>
        <w:rPr>
          <w:sz w:val="24"/>
          <w:szCs w:val="24"/>
          <w:lang w:val="ru-RU"/>
        </w:rPr>
        <w:t>оказания услуг</w:t>
      </w:r>
      <w:bookmarkEnd w:id="23"/>
    </w:p>
    <w:tbl>
      <w:tblPr>
        <w:tblW w:w="1028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40"/>
        <w:gridCol w:w="3131"/>
        <w:gridCol w:w="3134"/>
        <w:gridCol w:w="3278"/>
      </w:tblGrid>
      <w:tr>
        <w:trPr>
          <w:trHeight w:val="555" w:hRule="atLeast"/>
        </w:trPr>
        <w:tc>
          <w:tcPr>
            <w:tcW w:w="7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sz w:val="24"/>
                <w:szCs w:val="24"/>
              </w:rPr>
            </w:pPr>
            <w:r>
              <w:rPr>
                <w:b/>
                <w:bCs/>
                <w:sz w:val="24"/>
                <w:szCs w:val="24"/>
              </w:rPr>
              <w:t xml:space="preserve">№ </w:t>
            </w:r>
            <w:r>
              <w:rPr>
                <w:b/>
                <w:bCs/>
                <w:sz w:val="24"/>
                <w:szCs w:val="24"/>
              </w:rPr>
              <w:t>п/п</w:t>
            </w:r>
          </w:p>
        </w:tc>
        <w:tc>
          <w:tcPr>
            <w:tcW w:w="3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sz w:val="24"/>
                <w:szCs w:val="24"/>
              </w:rPr>
            </w:pPr>
            <w:r>
              <w:rPr>
                <w:b/>
                <w:bCs/>
                <w:sz w:val="24"/>
                <w:szCs w:val="24"/>
              </w:rPr>
              <w:t>Наименование услуг/ этапа услуг</w:t>
            </w:r>
          </w:p>
        </w:tc>
        <w:tc>
          <w:tcPr>
            <w:tcW w:w="3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sz w:val="24"/>
                <w:szCs w:val="24"/>
              </w:rPr>
            </w:pPr>
            <w:r>
              <w:rPr>
                <w:b/>
                <w:bCs/>
                <w:sz w:val="24"/>
                <w:szCs w:val="24"/>
              </w:rPr>
              <w:t>Требования к началу срока оказания услуг/ этапа услуг</w:t>
            </w:r>
          </w:p>
        </w:tc>
        <w:tc>
          <w:tcPr>
            <w:tcW w:w="32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sz w:val="24"/>
                <w:szCs w:val="24"/>
              </w:rPr>
            </w:pPr>
            <w:r>
              <w:rPr>
                <w:b/>
                <w:bCs/>
                <w:sz w:val="24"/>
                <w:szCs w:val="24"/>
              </w:rPr>
              <w:t>Требования к окончанию срока оказания услуг / этапа услуг</w:t>
            </w:r>
          </w:p>
        </w:tc>
      </w:tr>
      <w:tr>
        <w:trPr>
          <w:trHeight w:val="233" w:hRule="atLeast"/>
        </w:trPr>
        <w:tc>
          <w:tcPr>
            <w:tcW w:w="7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b/>
                <w:sz w:val="24"/>
                <w:szCs w:val="24"/>
              </w:rPr>
              <w:t>1</w:t>
            </w:r>
          </w:p>
        </w:tc>
        <w:tc>
          <w:tcPr>
            <w:tcW w:w="3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b/>
                <w:sz w:val="24"/>
                <w:szCs w:val="24"/>
              </w:rPr>
              <w:t>2</w:t>
            </w:r>
          </w:p>
        </w:tc>
        <w:tc>
          <w:tcPr>
            <w:tcW w:w="3134" w:type="dxa"/>
            <w:tcBorders>
              <w:top w:val="single" w:sz="4" w:space="0" w:color="000000"/>
              <w:left w:val="single" w:sz="4" w:space="0" w:color="000000"/>
              <w:bottom w:val="single" w:sz="4" w:space="0" w:color="000000"/>
              <w:right w:val="single" w:sz="4" w:space="0" w:color="000000"/>
            </w:tcBorders>
            <w:vAlign w:val="center"/>
          </w:tcPr>
          <w:p>
            <w:pPr>
              <w:pStyle w:val="Style28"/>
              <w:keepNext w:val="false"/>
              <w:widowControl w:val="false"/>
              <w:spacing w:before="40" w:after="40"/>
              <w:jc w:val="center"/>
              <w:rPr>
                <w:sz w:val="24"/>
                <w:szCs w:val="24"/>
              </w:rPr>
            </w:pPr>
            <w:r>
              <w:rPr>
                <w:b/>
                <w:sz w:val="24"/>
                <w:szCs w:val="24"/>
              </w:rPr>
              <w:t>3</w:t>
            </w:r>
          </w:p>
        </w:tc>
        <w:tc>
          <w:tcPr>
            <w:tcW w:w="3278" w:type="dxa"/>
            <w:tcBorders>
              <w:top w:val="single" w:sz="4" w:space="0" w:color="000000"/>
              <w:left w:val="single" w:sz="4" w:space="0" w:color="000000"/>
              <w:bottom w:val="single" w:sz="4" w:space="0" w:color="000000"/>
              <w:right w:val="single" w:sz="4" w:space="0" w:color="000000"/>
            </w:tcBorders>
            <w:vAlign w:val="center"/>
          </w:tcPr>
          <w:p>
            <w:pPr>
              <w:pStyle w:val="Style28"/>
              <w:keepNext w:val="false"/>
              <w:widowControl w:val="false"/>
              <w:spacing w:before="40" w:after="40"/>
              <w:jc w:val="center"/>
              <w:rPr>
                <w:sz w:val="24"/>
                <w:szCs w:val="24"/>
              </w:rPr>
            </w:pPr>
            <w:r>
              <w:rPr>
                <w:b/>
                <w:sz w:val="24"/>
                <w:szCs w:val="24"/>
              </w:rPr>
              <w:t>4</w:t>
            </w:r>
          </w:p>
        </w:tc>
      </w:tr>
      <w:tr>
        <w:trPr>
          <w:trHeight w:val="1655" w:hRule="atLeast"/>
        </w:trPr>
        <w:tc>
          <w:tcPr>
            <w:tcW w:w="7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8"/>
              </w:numPr>
              <w:rPr/>
            </w:pPr>
            <w:r>
              <w:rPr/>
            </w:r>
          </w:p>
        </w:tc>
        <w:tc>
          <w:tcPr>
            <w:tcW w:w="3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iCs/>
                <w:sz w:val="24"/>
                <w:szCs w:val="24"/>
              </w:rPr>
            </w:pPr>
            <w:r>
              <w:rPr>
                <w:i/>
                <w:iCs/>
                <w:sz w:val="24"/>
                <w:szCs w:val="24"/>
              </w:rPr>
              <w:t>Оказание услуг по райберовке соединительных муфт РТ-РК РК-РГ турбоагрегата ГТЭ-45-3 ст.№3.</w:t>
            </w:r>
          </w:p>
        </w:tc>
        <w:tc>
          <w:tcPr>
            <w:tcW w:w="3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i/>
                <w:i/>
                <w:iCs/>
                <w:sz w:val="24"/>
                <w:szCs w:val="24"/>
              </w:rPr>
            </w:pPr>
            <w:r>
              <w:rPr>
                <w:i/>
                <w:iCs/>
                <w:sz w:val="24"/>
                <w:szCs w:val="24"/>
              </w:rPr>
              <w:t>С даты заключения договора</w:t>
            </w:r>
          </w:p>
        </w:tc>
        <w:tc>
          <w:tcPr>
            <w:tcW w:w="32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i/>
                <w:iCs/>
                <w:sz w:val="24"/>
                <w:szCs w:val="24"/>
              </w:rPr>
              <w:t>Не более 30 дней</w:t>
            </w:r>
          </w:p>
        </w:tc>
      </w:tr>
    </w:tbl>
    <w:p>
      <w:pPr>
        <w:pStyle w:val="Normal"/>
        <w:rPr/>
      </w:pPr>
      <w:r>
        <w:rPr/>
      </w:r>
    </w:p>
    <w:p>
      <w:pPr>
        <w:pStyle w:val="Heading3"/>
        <w:numPr>
          <w:ilvl w:val="2"/>
          <w:numId w:val="3"/>
        </w:numPr>
        <w:rPr/>
      </w:pPr>
      <w:r>
        <w:rPr>
          <w:b w:val="false"/>
        </w:rPr>
        <w:tab/>
      </w:r>
      <w:bookmarkStart w:id="27" w:name="_Toc221809104"/>
      <w:r>
        <w:rPr>
          <w:b w:val="false"/>
        </w:rPr>
        <w:t>Общий срок выполнения работ:</w:t>
      </w:r>
      <w:bookmarkEnd w:id="27"/>
      <w:r>
        <w:rPr>
          <w:b w:val="false"/>
        </w:rPr>
        <w:t xml:space="preserve"> </w:t>
      </w:r>
    </w:p>
    <w:p>
      <w:pPr>
        <w:pStyle w:val="Normal"/>
        <w:rPr>
          <w:rFonts w:eastAsia="Calibri"/>
          <w:sz w:val="24"/>
          <w:szCs w:val="24"/>
          <w:lang w:eastAsia="x-none"/>
        </w:rPr>
      </w:pPr>
      <w:r>
        <w:rPr>
          <w:rFonts w:eastAsia="Calibri"/>
          <w:sz w:val="24"/>
          <w:szCs w:val="24"/>
          <w:lang w:eastAsia="x-none"/>
        </w:rPr>
        <w:t xml:space="preserve"> </w:t>
      </w:r>
      <w:r>
        <w:rPr>
          <w:rFonts w:eastAsia="Calibri"/>
          <w:sz w:val="24"/>
          <w:szCs w:val="24"/>
          <w:lang w:eastAsia="x-none"/>
        </w:rPr>
        <w:t xml:space="preserve">Общий срок выполнения работ по договору: </w:t>
      </w:r>
      <w:r>
        <w:rPr>
          <w:rFonts w:eastAsia="Calibri"/>
          <w:sz w:val="24"/>
          <w:szCs w:val="24"/>
          <w:lang w:eastAsia="x-none"/>
        </w:rPr>
        <w:t>не более 30</w:t>
      </w:r>
      <w:r>
        <w:rPr>
          <w:rFonts w:eastAsia="Calibri"/>
          <w:sz w:val="24"/>
          <w:szCs w:val="24"/>
          <w:lang w:eastAsia="x-none"/>
        </w:rPr>
        <w:t xml:space="preserve"> календарных дней с даты заключения Договора</w:t>
      </w:r>
    </w:p>
    <w:p>
      <w:pPr>
        <w:pStyle w:val="Normal"/>
        <w:ind w:firstLine="708"/>
        <w:rPr/>
      </w:pPr>
      <w:r>
        <w:rPr/>
      </w:r>
    </w:p>
    <w:p>
      <w:pPr>
        <w:pStyle w:val="Normal"/>
        <w:tabs>
          <w:tab w:val="clear" w:pos="708"/>
          <w:tab w:val="left" w:pos="1091" w:leader="none"/>
        </w:tabs>
        <w:rPr/>
      </w:pPr>
      <w:r>
        <w:rPr/>
        <w:tab/>
      </w:r>
    </w:p>
    <w:p>
      <w:pPr>
        <w:sectPr>
          <w:headerReference w:type="even" r:id="rId2"/>
          <w:headerReference w:type="default" r:id="rId3"/>
          <w:headerReference w:type="first" r:id="rId4"/>
          <w:type w:val="nextPage"/>
          <w:pgSz w:w="11906" w:h="16838"/>
          <w:pgMar w:left="851" w:right="1134" w:gutter="0" w:header="680" w:top="992" w:footer="0" w:bottom="1134"/>
          <w:pgNumType w:fmt="decimal"/>
          <w:formProt w:val="false"/>
          <w:titlePg/>
          <w:textDirection w:val="lrTb"/>
          <w:docGrid w:type="default" w:linePitch="381" w:charSpace="0"/>
        </w:sectPr>
        <w:pStyle w:val="Normal"/>
        <w:tabs>
          <w:tab w:val="clear" w:pos="708"/>
          <w:tab w:val="left" w:pos="1091" w:leader="none"/>
        </w:tabs>
        <w:rPr/>
      </w:pPr>
      <w:r>
        <w:rPr/>
        <w:tab/>
      </w:r>
    </w:p>
    <w:p>
      <w:pPr>
        <w:pStyle w:val="Heading4"/>
        <w:numPr>
          <w:ilvl w:val="1"/>
          <w:numId w:val="3"/>
        </w:numPr>
        <w:rPr/>
      </w:pPr>
      <w:bookmarkStart w:id="28" w:name="_Toc51339698"/>
      <w:bookmarkStart w:id="29" w:name="_Toc226653403"/>
      <w:bookmarkStart w:id="30" w:name="_Toc46743511"/>
      <w:r>
        <w:rPr/>
        <w:t xml:space="preserve">Требования к </w:t>
      </w:r>
      <w:bookmarkEnd w:id="30"/>
      <w:r>
        <w:rPr>
          <w:lang w:val="ru-RU"/>
        </w:rPr>
        <w:t>качеству услуг</w:t>
      </w:r>
      <w:bookmarkEnd w:id="29"/>
    </w:p>
    <w:p>
      <w:pPr>
        <w:pStyle w:val="Heading1"/>
        <w:keepLines/>
        <w:tabs>
          <w:tab w:val="clear" w:pos="0"/>
        </w:tabs>
        <w:spacing w:before="240" w:after="60"/>
        <w:ind w:left="0" w:hanging="0"/>
        <w:rPr>
          <w:rStyle w:val="Style8"/>
          <w:b/>
          <w:i w:val="false"/>
          <w:i w:val="false"/>
          <w:sz w:val="24"/>
          <w:szCs w:val="24"/>
          <w:shd w:fill="auto" w:val="clear"/>
        </w:rPr>
      </w:pPr>
      <w:bookmarkStart w:id="31" w:name="_Toc226653404"/>
      <w:r>
        <w:rPr>
          <w:sz w:val="24"/>
          <w:szCs w:val="24"/>
        </w:rPr>
        <w:t>Таблица </w:t>
      </w:r>
      <w:r>
        <w:rPr>
          <w:sz w:val="24"/>
          <w:szCs w:val="24"/>
          <w:lang w:val="ru-RU"/>
        </w:rPr>
        <w:t>4</w:t>
      </w:r>
      <w:r>
        <w:rPr>
          <w:sz w:val="24"/>
          <w:szCs w:val="24"/>
        </w:rPr>
        <w:t xml:space="preserve">. Требования к </w:t>
      </w:r>
      <w:bookmarkEnd w:id="28"/>
      <w:r>
        <w:rPr>
          <w:sz w:val="24"/>
          <w:szCs w:val="24"/>
          <w:lang w:val="ru-RU"/>
        </w:rPr>
        <w:t>качеству услуг</w:t>
      </w:r>
      <w:bookmarkEnd w:id="31"/>
      <w:r>
        <w:rPr>
          <w:sz w:val="24"/>
          <w:szCs w:val="24"/>
        </w:rPr>
        <w:t xml:space="preserve"> </w:t>
      </w:r>
    </w:p>
    <w:p>
      <w:pPr>
        <w:pStyle w:val="Normal"/>
        <w:rPr>
          <w:sz w:val="24"/>
          <w:szCs w:val="24"/>
        </w:rPr>
      </w:pPr>
      <w:r>
        <w:rPr>
          <w:b/>
          <w:bCs/>
          <w:sz w:val="24"/>
          <w:szCs w:val="24"/>
        </w:rPr>
        <w:t>Наименование услуг/этапа услуг (позиция №1 Таблицы 2): ОКПД 2:</w:t>
      </w:r>
      <w:r>
        <w:rPr/>
        <w:t xml:space="preserve"> </w:t>
      </w:r>
      <w:r>
        <w:rPr>
          <w:sz w:val="24"/>
          <w:szCs w:val="24"/>
        </w:rPr>
        <w:t xml:space="preserve"> 33.20.50.000  Оказание услуг по райберовке соединительных муфт РТ-РК РК-РГ турбоагрегата ГТЭ-45-3 ст.№3.</w:t>
      </w:r>
    </w:p>
    <w:tbl>
      <w:tblPr>
        <w:tblStyle w:val="affff5"/>
        <w:tblW w:w="1488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845"/>
        <w:gridCol w:w="2319"/>
        <w:gridCol w:w="3949"/>
        <w:gridCol w:w="2121"/>
        <w:gridCol w:w="2916"/>
        <w:gridCol w:w="2734"/>
      </w:tblGrid>
      <w:tr>
        <w:trPr/>
        <w:tc>
          <w:tcPr>
            <w:tcW w:w="845" w:type="dxa"/>
            <w:vMerge w:val="restart"/>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2319" w:type="dxa"/>
            <w:vMerge w:val="restart"/>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Наименование параметра</w:t>
            </w:r>
          </w:p>
        </w:tc>
        <w:tc>
          <w:tcPr>
            <w:tcW w:w="3949" w:type="dxa"/>
            <w:vMerge w:val="restart"/>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Требование заказчика</w:t>
            </w:r>
          </w:p>
        </w:tc>
        <w:tc>
          <w:tcPr>
            <w:tcW w:w="5037" w:type="dxa"/>
            <w:gridSpan w:val="2"/>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Способ подтверждения участником соответствия требованиям</w:t>
            </w:r>
          </w:p>
        </w:tc>
        <w:tc>
          <w:tcPr>
            <w:tcW w:w="2734" w:type="dxa"/>
            <w:vMerge w:val="restart"/>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Предложение участника по характеристикам и параметрам</w:t>
            </w:r>
          </w:p>
        </w:tc>
      </w:tr>
      <w:tr>
        <w:trPr/>
        <w:tc>
          <w:tcPr>
            <w:tcW w:w="845" w:type="dxa"/>
            <w:vMerge w:val="continue"/>
            <w:tcBorders/>
            <w:vAlign w:val="center"/>
          </w:tcPr>
          <w:p>
            <w:pPr>
              <w:pStyle w:val="Normal"/>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r>
          </w:p>
        </w:tc>
        <w:tc>
          <w:tcPr>
            <w:tcW w:w="2319" w:type="dxa"/>
            <w:vMerge w:val="continue"/>
            <w:tcBorders/>
            <w:vAlign w:val="center"/>
          </w:tcPr>
          <w:p>
            <w:pPr>
              <w:pStyle w:val="Normal"/>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r>
          </w:p>
        </w:tc>
        <w:tc>
          <w:tcPr>
            <w:tcW w:w="3949" w:type="dxa"/>
            <w:vMerge w:val="continue"/>
            <w:tcBorders/>
            <w:vAlign w:val="center"/>
          </w:tcPr>
          <w:p>
            <w:pPr>
              <w:pStyle w:val="Normal"/>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r>
          </w:p>
        </w:tc>
        <w:tc>
          <w:tcPr>
            <w:tcW w:w="2121" w:type="dxa"/>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Согласие с требованием/ указание характеристик</w:t>
            </w:r>
          </w:p>
        </w:tc>
        <w:tc>
          <w:tcPr>
            <w:tcW w:w="2916" w:type="dxa"/>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Предоставление подтверждающего документа или иной способ подтверждения</w:t>
            </w:r>
          </w:p>
        </w:tc>
        <w:tc>
          <w:tcPr>
            <w:tcW w:w="2734" w:type="dxa"/>
            <w:vMerge w:val="continue"/>
            <w:tcBorders/>
            <w:vAlign w:val="center"/>
          </w:tcPr>
          <w:p>
            <w:pPr>
              <w:pStyle w:val="Normal"/>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r>
          </w:p>
        </w:tc>
      </w:tr>
      <w:tr>
        <w:trPr/>
        <w:tc>
          <w:tcPr>
            <w:tcW w:w="845" w:type="dxa"/>
            <w:tcBorders/>
            <w:vAlign w:val="center"/>
          </w:tcPr>
          <w:p>
            <w:pPr>
              <w:pStyle w:val="Normal"/>
              <w:widowControl/>
              <w:suppressAutoHyphens w:val="true"/>
              <w:spacing w:before="0" w:after="0"/>
              <w:jc w:val="center"/>
              <w:rPr>
                <w:b/>
                <w:bCs/>
                <w:sz w:val="24"/>
                <w:szCs w:val="24"/>
              </w:rPr>
            </w:pPr>
            <w:bookmarkStart w:id="32" w:name="_Toc53499667"/>
            <w:r>
              <w:rPr>
                <w:rFonts w:eastAsia="Times New Roman" w:cs="Times New Roman"/>
                <w:b/>
                <w:bCs/>
                <w:kern w:val="0"/>
                <w:sz w:val="24"/>
                <w:szCs w:val="24"/>
                <w:lang w:val="ru-RU" w:eastAsia="ru-RU" w:bidi="ar-SA"/>
              </w:rPr>
              <w:t>1</w:t>
            </w:r>
            <w:bookmarkEnd w:id="32"/>
          </w:p>
        </w:tc>
        <w:tc>
          <w:tcPr>
            <w:tcW w:w="2319" w:type="dxa"/>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2</w:t>
            </w:r>
          </w:p>
        </w:tc>
        <w:tc>
          <w:tcPr>
            <w:tcW w:w="3949" w:type="dxa"/>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3</w:t>
            </w:r>
          </w:p>
        </w:tc>
        <w:tc>
          <w:tcPr>
            <w:tcW w:w="2121" w:type="dxa"/>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4</w:t>
            </w:r>
          </w:p>
        </w:tc>
        <w:tc>
          <w:tcPr>
            <w:tcW w:w="2916" w:type="dxa"/>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5</w:t>
            </w:r>
          </w:p>
        </w:tc>
        <w:tc>
          <w:tcPr>
            <w:tcW w:w="2734" w:type="dxa"/>
            <w:tcBorders/>
            <w:vAlign w:val="center"/>
          </w:tcPr>
          <w:p>
            <w:pPr>
              <w:pStyle w:val="Normal"/>
              <w:widowControl/>
              <w:suppressAutoHyphens w:val="true"/>
              <w:spacing w:before="0" w:after="0"/>
              <w:jc w:val="center"/>
              <w:rPr>
                <w:b/>
                <w:bCs/>
                <w:sz w:val="24"/>
                <w:szCs w:val="24"/>
              </w:rPr>
            </w:pPr>
            <w:r>
              <w:rPr>
                <w:rFonts w:eastAsia="Times New Roman" w:cs="Times New Roman"/>
                <w:b/>
                <w:bCs/>
                <w:kern w:val="0"/>
                <w:sz w:val="24"/>
                <w:szCs w:val="24"/>
                <w:lang w:val="ru-RU" w:eastAsia="ru-RU" w:bidi="ar-SA"/>
              </w:rPr>
              <w:t>6</w:t>
            </w:r>
          </w:p>
        </w:tc>
      </w:tr>
      <w:tr>
        <w:trPr/>
        <w:tc>
          <w:tcPr>
            <w:tcW w:w="845" w:type="dxa"/>
            <w:tcBorders/>
            <w:vAlign w:val="center"/>
          </w:tcPr>
          <w:p>
            <w:pPr>
              <w:pStyle w:val="ListParagraph"/>
              <w:widowControl/>
              <w:numPr>
                <w:ilvl w:val="0"/>
                <w:numId w:val="9"/>
              </w:numPr>
              <w:suppressAutoHyphens w:val="false"/>
              <w:spacing w:before="60" w:after="6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6268" w:type="dxa"/>
            <w:gridSpan w:val="2"/>
            <w:tcBorders/>
            <w:vAlign w:val="center"/>
          </w:tcPr>
          <w:p>
            <w:pPr>
              <w:pStyle w:val="Normal"/>
              <w:widowControl/>
              <w:suppressAutoHyphens w:val="true"/>
              <w:spacing w:before="0" w:after="0"/>
              <w:jc w:val="left"/>
              <w:rPr>
                <w:b/>
                <w:sz w:val="24"/>
                <w:szCs w:val="24"/>
              </w:rPr>
            </w:pPr>
            <w:r>
              <w:rPr>
                <w:rFonts w:eastAsia="Times New Roman" w:cs="Times New Roman"/>
                <w:b/>
                <w:kern w:val="0"/>
                <w:sz w:val="24"/>
                <w:szCs w:val="24"/>
                <w:lang w:val="ru-RU" w:eastAsia="ru-RU" w:bidi="ar-SA"/>
              </w:rPr>
              <w:t xml:space="preserve">Требования к оказанию услуг </w:t>
            </w:r>
          </w:p>
        </w:tc>
        <w:tc>
          <w:tcPr>
            <w:tcW w:w="2121"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916"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34"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45" w:type="dxa"/>
            <w:tcBorders/>
            <w:vAlign w:val="center"/>
          </w:tcPr>
          <w:p>
            <w:pPr>
              <w:pStyle w:val="ListParagraph"/>
              <w:widowControl/>
              <w:numPr>
                <w:ilvl w:val="1"/>
                <w:numId w:val="9"/>
              </w:numPr>
              <w:suppressAutoHyphens w:val="false"/>
              <w:spacing w:before="60" w:after="60"/>
              <w:ind w:left="-117" w:firstLine="142"/>
              <w:contextualSpacing/>
              <w:jc w:val="center"/>
              <w:rPr>
                <w:b/>
                <w:bCs/>
              </w:rPr>
            </w:pPr>
            <w:r>
              <w:rPr>
                <w:rFonts w:cs="Times New Roman"/>
                <w:b/>
                <w:bCs/>
                <w:kern w:val="0"/>
                <w:lang w:val="ru-RU" w:eastAsia="ru-RU" w:bidi="ar-SA"/>
              </w:rPr>
            </w:r>
          </w:p>
        </w:tc>
        <w:tc>
          <w:tcPr>
            <w:tcW w:w="6268" w:type="dxa"/>
            <w:gridSpan w:val="2"/>
            <w:tcBorders/>
            <w:vAlign w:val="center"/>
          </w:tcPr>
          <w:p>
            <w:pPr>
              <w:pStyle w:val="Normal"/>
              <w:widowControl/>
              <w:suppressAutoHyphens w:val="true"/>
              <w:spacing w:before="60" w:after="60"/>
              <w:jc w:val="left"/>
              <w:rPr>
                <w:b/>
                <w:sz w:val="24"/>
                <w:szCs w:val="24"/>
              </w:rPr>
            </w:pPr>
            <w:r>
              <w:rPr>
                <w:rFonts w:eastAsia="Times New Roman" w:cs="Times New Roman"/>
                <w:b/>
                <w:kern w:val="0"/>
                <w:sz w:val="24"/>
                <w:szCs w:val="24"/>
                <w:lang w:val="ru-RU" w:eastAsia="ru-RU" w:bidi="ar-SA"/>
              </w:rPr>
              <w:t xml:space="preserve">Общие требования к оказанию услуг </w:t>
            </w:r>
          </w:p>
        </w:tc>
        <w:tc>
          <w:tcPr>
            <w:tcW w:w="2121"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916"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34"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45" w:type="dxa"/>
            <w:tcBorders/>
            <w:vAlign w:val="center"/>
          </w:tcPr>
          <w:p>
            <w:pPr>
              <w:pStyle w:val="ListParagraph"/>
              <w:widowControl/>
              <w:numPr>
                <w:ilvl w:val="2"/>
                <w:numId w:val="9"/>
              </w:numPr>
              <w:suppressAutoHyphens w:val="false"/>
              <w:spacing w:before="60" w:after="60"/>
              <w:ind w:left="1224" w:hanging="1199"/>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319" w:type="dxa"/>
            <w:tcBorders/>
            <w:shd w:color="auto" w:fill="auto" w:val="clear"/>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Цель и соответствие</w:t>
            </w:r>
          </w:p>
        </w:tc>
        <w:tc>
          <w:tcPr>
            <w:tcW w:w="3949" w:type="dxa"/>
            <w:tcBorders/>
            <w:shd w:color="auto" w:fill="auto" w:val="clear"/>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М</w:t>
            </w:r>
            <w:r>
              <w:rPr>
                <w:rFonts w:eastAsia="Times New Roman" w:cs="Times New Roman"/>
                <w:i/>
                <w:iCs/>
                <w:kern w:val="0"/>
                <w:sz w:val="24"/>
                <w:szCs w:val="24"/>
                <w:lang w:val="ru-RU" w:eastAsia="ru-RU" w:bidi="ar-SA"/>
              </w:rPr>
              <w:t>еханическ</w:t>
            </w:r>
            <w:r>
              <w:rPr>
                <w:rFonts w:eastAsia="Times New Roman" w:cs="Times New Roman"/>
                <w:i/>
                <w:iCs/>
                <w:kern w:val="0"/>
                <w:sz w:val="24"/>
                <w:szCs w:val="24"/>
                <w:lang w:val="ru-RU" w:eastAsia="ru-RU" w:bidi="ar-SA"/>
              </w:rPr>
              <w:t>ая</w:t>
            </w:r>
            <w:r>
              <w:rPr>
                <w:rFonts w:eastAsia="Times New Roman" w:cs="Times New Roman"/>
                <w:i/>
                <w:iCs/>
                <w:kern w:val="0"/>
                <w:sz w:val="24"/>
                <w:szCs w:val="24"/>
                <w:lang w:val="ru-RU" w:eastAsia="ru-RU" w:bidi="ar-SA"/>
              </w:rPr>
              <w:t xml:space="preserve"> обработк</w:t>
            </w:r>
            <w:r>
              <w:rPr>
                <w:rFonts w:eastAsia="Times New Roman" w:cs="Times New Roman"/>
                <w:i/>
                <w:iCs/>
                <w:kern w:val="0"/>
                <w:sz w:val="24"/>
                <w:szCs w:val="24"/>
                <w:lang w:val="ru-RU" w:eastAsia="ru-RU" w:bidi="ar-SA"/>
              </w:rPr>
              <w:t>а</w:t>
            </w:r>
            <w:r>
              <w:rPr>
                <w:rFonts w:eastAsia="Times New Roman" w:cs="Times New Roman"/>
                <w:i/>
                <w:iCs/>
                <w:kern w:val="0"/>
                <w:sz w:val="24"/>
                <w:szCs w:val="24"/>
                <w:lang w:val="ru-RU" w:eastAsia="ru-RU" w:bidi="ar-SA"/>
              </w:rPr>
              <w:t xml:space="preserve"> (райберовке) отверстий муфты РТ-РК РК-РГ турбоагрегата ГТЭ-45-3 ст.№3. </w:t>
            </w:r>
            <w:r>
              <w:rPr>
                <w:rFonts w:eastAsia="Times New Roman" w:cs="Times New Roman"/>
                <w:i/>
                <w:iCs/>
                <w:kern w:val="0"/>
                <w:sz w:val="24"/>
                <w:szCs w:val="24"/>
                <w:lang w:val="ru-RU" w:eastAsia="ru-RU" w:bidi="ar-SA"/>
              </w:rPr>
              <w:t>Согласно таблицы диаметров отверстий</w:t>
            </w:r>
            <w:r>
              <w:rPr>
                <w:rFonts w:eastAsia="Times New Roman" w:cs="Times New Roman"/>
                <w:i/>
                <w:iCs/>
                <w:kern w:val="0"/>
                <w:sz w:val="24"/>
                <w:szCs w:val="24"/>
                <w:lang w:val="ru-RU" w:eastAsia="ru-RU" w:bidi="ar-SA"/>
              </w:rPr>
              <w:t xml:space="preserve"> </w:t>
            </w:r>
            <w:r>
              <w:rPr>
                <w:rFonts w:eastAsia="Times New Roman" w:cs="Times New Roman"/>
                <w:i/>
                <w:iCs/>
                <w:kern w:val="0"/>
                <w:sz w:val="24"/>
                <w:szCs w:val="24"/>
                <w:lang w:val="ru-RU" w:eastAsia="ru-RU" w:bidi="ar-SA"/>
              </w:rPr>
              <w:t xml:space="preserve">(Приложение №1 к ТТ) </w:t>
            </w:r>
            <w:r>
              <w:rPr>
                <w:rFonts w:eastAsia="Times New Roman" w:cs="Times New Roman"/>
                <w:i/>
                <w:iCs/>
                <w:kern w:val="0"/>
                <w:sz w:val="24"/>
                <w:szCs w:val="24"/>
                <w:lang w:val="ru-RU" w:eastAsia="ru-RU" w:bidi="ar-SA"/>
              </w:rPr>
              <w:t xml:space="preserve">  Для достижения наивысшего качества сопряжения муфт РТ-РК РК-РГ  Исполнитель обязан применять специальный прецизионный инструмент и технологическую оснастку (специальные райберы с обязательным предоставлением действующих паспортов и сертификатов калибровки/поверки до начала работ). Это должно обеспечить идеальную цилиндричность отверстий без овальности и конусности, требуемую шероховатость поверхностей и прессовую (или плотную) посадку призонных болтов, что исключит радиальное и торцевое биение валопровода в процессе эксплуатации.</w:t>
            </w:r>
          </w:p>
        </w:tc>
        <w:tc>
          <w:tcPr>
            <w:tcW w:w="2121" w:type="dxa"/>
            <w:tcBorders/>
            <w:shd w:color="auto" w:fill="auto" w:val="clear"/>
            <w:vAlign w:val="center"/>
          </w:tcPr>
          <w:p>
            <w:pPr>
              <w:pStyle w:val="Normal"/>
              <w:widowControl/>
              <w:suppressAutoHyphens w:val="true"/>
              <w:spacing w:before="0" w:after="0"/>
              <w:jc w:val="center"/>
              <w:rPr>
                <w:i/>
                <w:i/>
                <w:iCs/>
                <w:sz w:val="24"/>
                <w:szCs w:val="24"/>
              </w:rPr>
            </w:pPr>
            <w:r>
              <w:rPr>
                <w:rFonts w:eastAsia="Times New Roman" w:cs="Times New Roman"/>
                <w:i/>
                <w:iCs/>
                <w:kern w:val="0"/>
                <w:sz w:val="24"/>
                <w:szCs w:val="24"/>
                <w:lang w:val="ru-RU" w:eastAsia="ru-RU" w:bidi="ar-SA"/>
              </w:rPr>
              <w:t>Согласие с требованием</w:t>
            </w:r>
          </w:p>
        </w:tc>
        <w:tc>
          <w:tcPr>
            <w:tcW w:w="2916" w:type="dxa"/>
            <w:tcBorders/>
            <w:shd w:color="auto" w:fill="auto" w:val="clear"/>
            <w:vAlign w:val="center"/>
          </w:tcPr>
          <w:p>
            <w:pPr>
              <w:pStyle w:val="Style27"/>
              <w:keepNext w:val="false"/>
              <w:widowControl/>
              <w:numPr>
                <w:ilvl w:val="0"/>
                <w:numId w:val="0"/>
              </w:numPr>
              <w:suppressAutoHyphens w:val="true"/>
              <w:spacing w:before="0" w:after="60"/>
              <w:jc w:val="left"/>
              <w:outlineLvl w:val="2"/>
              <w:rPr>
                <w:rFonts w:eastAsia="Times New Roman"/>
                <w:lang w:val="ru-RU" w:eastAsia="ru-RU"/>
              </w:rPr>
            </w:pPr>
            <w:r>
              <w:rPr>
                <w:rFonts w:eastAsia="Times New Roman" w:cs="Times New Roman"/>
                <w:kern w:val="0"/>
                <w:sz w:val="20"/>
                <w:szCs w:val="20"/>
                <w:lang w:val="ru-RU" w:eastAsia="ru-RU" w:bidi="ar-SA"/>
              </w:rPr>
            </w:r>
          </w:p>
        </w:tc>
        <w:tc>
          <w:tcPr>
            <w:tcW w:w="2734" w:type="dxa"/>
            <w:tcBorders/>
            <w:shd w:color="auto" w:fill="auto" w:val="clear"/>
            <w:vAlign w:val="center"/>
          </w:tcPr>
          <w:p>
            <w:pPr>
              <w:pStyle w:val="Normal"/>
              <w:widowControl/>
              <w:suppressAutoHyphens w:val="true"/>
              <w:spacing w:before="0" w:after="0"/>
              <w:jc w:val="left"/>
              <w:rPr>
                <w:sz w:val="24"/>
                <w:szCs w:val="24"/>
              </w:rPr>
            </w:pPr>
            <w:r>
              <w:rPr>
                <w:rFonts w:eastAsia="Times New Roman" w:cs="Times New Roman"/>
                <w:kern w:val="0"/>
                <w:sz w:val="24"/>
                <w:szCs w:val="24"/>
                <w:lang w:val="ru-RU" w:eastAsia="ru-RU" w:bidi="ar-SA"/>
              </w:rPr>
            </w:r>
          </w:p>
        </w:tc>
      </w:tr>
      <w:tr>
        <w:trPr/>
        <w:tc>
          <w:tcPr>
            <w:tcW w:w="845" w:type="dxa"/>
            <w:tcBorders/>
            <w:vAlign w:val="center"/>
          </w:tcPr>
          <w:p>
            <w:pPr>
              <w:pStyle w:val="ListParagraph"/>
              <w:widowControl/>
              <w:numPr>
                <w:ilvl w:val="2"/>
                <w:numId w:val="9"/>
              </w:numPr>
              <w:suppressAutoHyphens w:val="false"/>
              <w:spacing w:before="60" w:after="60"/>
              <w:ind w:left="1224" w:hanging="1199"/>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6268" w:type="dxa"/>
            <w:gridSpan w:val="2"/>
            <w:tcBorders/>
            <w:vAlign w:val="center"/>
          </w:tcPr>
          <w:p>
            <w:pPr>
              <w:pStyle w:val="Normal"/>
              <w:widowControl/>
              <w:suppressAutoHyphens w:val="true"/>
              <w:spacing w:before="0" w:after="0"/>
              <w:jc w:val="left"/>
              <w:rPr>
                <w:i/>
                <w:i/>
                <w:iCs/>
                <w:sz w:val="24"/>
                <w:szCs w:val="24"/>
              </w:rPr>
            </w:pPr>
            <w:r>
              <w:rPr>
                <w:rFonts w:eastAsia="Times New Roman" w:cs="Times New Roman"/>
                <w:i/>
                <w:iCs/>
                <w:color w:val="000000"/>
                <w:kern w:val="0"/>
                <w:sz w:val="24"/>
                <w:szCs w:val="24"/>
                <w:lang w:val="ru-RU" w:eastAsia="ru-RU" w:bidi="ar-SA"/>
              </w:rPr>
              <w:t xml:space="preserve">Оказание услуг по центровке  райберовке соединительных муфт турбоагрегата осуществляется Исполнителем на основании письменной Заявки Заказчика, направляемой по мере достижения строительной готовности объекта. Заявка направляется на адрес электронной почты Исполнителя, указанный в Договоре, в пределах общего срока действия Договора. Срок отработки (выполнения) Заявки составляет не более </w:t>
            </w:r>
            <w:r>
              <w:rPr>
                <w:rFonts w:eastAsia="Times New Roman" w:cs="Times New Roman"/>
                <w:i/>
                <w:iCs/>
                <w:color w:val="000000"/>
                <w:kern w:val="0"/>
                <w:sz w:val="24"/>
                <w:szCs w:val="24"/>
                <w:lang w:val="ru-RU" w:eastAsia="ru-RU" w:bidi="ar-SA"/>
              </w:rPr>
              <w:t>30</w:t>
            </w:r>
            <w:r>
              <w:rPr>
                <w:rFonts w:eastAsia="Times New Roman" w:cs="Times New Roman"/>
                <w:i/>
                <w:iCs/>
                <w:color w:val="000000"/>
                <w:kern w:val="0"/>
                <w:sz w:val="24"/>
                <w:szCs w:val="24"/>
                <w:lang w:val="ru-RU" w:eastAsia="ru-RU" w:bidi="ar-SA"/>
              </w:rPr>
              <w:t xml:space="preserve"> календарных дней с даты её направления Заказчиком.</w:t>
            </w:r>
          </w:p>
        </w:tc>
        <w:tc>
          <w:tcPr>
            <w:tcW w:w="2121" w:type="dxa"/>
            <w:tcBorders/>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Согласие с требованием</w:t>
            </w:r>
          </w:p>
        </w:tc>
        <w:tc>
          <w:tcPr>
            <w:tcW w:w="2916" w:type="dxa"/>
            <w:tcBorders/>
            <w:shd w:color="auto" w:fill="auto" w:val="clear"/>
            <w:vAlign w:val="center"/>
          </w:tcPr>
          <w:p>
            <w:pPr>
              <w:pStyle w:val="Normal"/>
              <w:widowControl/>
              <w:suppressAutoHyphens w:val="true"/>
              <w:spacing w:before="0" w:after="0"/>
              <w:jc w:val="left"/>
              <w:rPr>
                <w:sz w:val="24"/>
                <w:szCs w:val="24"/>
              </w:rPr>
            </w:pPr>
            <w:r>
              <w:rPr>
                <w:rFonts w:eastAsia="Times New Roman" w:cs="Times New Roman"/>
                <w:kern w:val="0"/>
                <w:sz w:val="24"/>
                <w:szCs w:val="24"/>
                <w:lang w:val="ru-RU" w:eastAsia="ru-RU" w:bidi="ar-SA"/>
              </w:rPr>
            </w:r>
          </w:p>
        </w:tc>
        <w:tc>
          <w:tcPr>
            <w:tcW w:w="2734" w:type="dxa"/>
            <w:tcBorders/>
            <w:shd w:color="auto" w:fill="auto" w:val="clear"/>
            <w:vAlign w:val="center"/>
          </w:tcPr>
          <w:p>
            <w:pPr>
              <w:pStyle w:val="Normal"/>
              <w:widowControl/>
              <w:suppressAutoHyphens w:val="true"/>
              <w:spacing w:before="0" w:after="0"/>
              <w:jc w:val="left"/>
              <w:rPr>
                <w:sz w:val="24"/>
                <w:szCs w:val="24"/>
              </w:rPr>
            </w:pPr>
            <w:r>
              <w:rPr>
                <w:rFonts w:eastAsia="Times New Roman" w:cs="Times New Roman"/>
                <w:kern w:val="0"/>
                <w:sz w:val="24"/>
                <w:szCs w:val="24"/>
                <w:lang w:val="ru-RU" w:eastAsia="ru-RU" w:bidi="ar-SA"/>
              </w:rPr>
            </w:r>
          </w:p>
        </w:tc>
      </w:tr>
      <w:tr>
        <w:trPr/>
        <w:tc>
          <w:tcPr>
            <w:tcW w:w="845" w:type="dxa"/>
            <w:tcBorders/>
            <w:vAlign w:val="center"/>
          </w:tcPr>
          <w:p>
            <w:pPr>
              <w:pStyle w:val="ListParagraph"/>
              <w:widowControl/>
              <w:numPr>
                <w:ilvl w:val="1"/>
                <w:numId w:val="9"/>
              </w:numPr>
              <w:suppressAutoHyphens w:val="false"/>
              <w:spacing w:before="60" w:after="60"/>
              <w:ind w:left="-117" w:firstLine="142"/>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6268" w:type="dxa"/>
            <w:gridSpan w:val="2"/>
            <w:tcBorders/>
            <w:shd w:color="auto" w:fill="auto" w:val="clear"/>
            <w:vAlign w:val="center"/>
          </w:tcPr>
          <w:p>
            <w:pPr>
              <w:pStyle w:val="Normal"/>
              <w:widowControl w:val="false"/>
              <w:tabs>
                <w:tab w:val="clear" w:pos="708"/>
                <w:tab w:val="left" w:pos="426" w:leader="none"/>
              </w:tabs>
              <w:suppressAutoHyphens w:val="true"/>
              <w:spacing w:before="60" w:after="0"/>
              <w:jc w:val="both"/>
              <w:rPr>
                <w:b/>
                <w:sz w:val="24"/>
                <w:szCs w:val="24"/>
              </w:rPr>
            </w:pPr>
            <w:r>
              <w:rPr>
                <w:rFonts w:eastAsia="Times New Roman" w:cs="Times New Roman"/>
                <w:b/>
                <w:kern w:val="0"/>
                <w:sz w:val="24"/>
                <w:szCs w:val="24"/>
                <w:lang w:val="ru-RU" w:eastAsia="ru-RU" w:bidi="ar-SA"/>
              </w:rPr>
              <w:t>Требования к способам оказания услуг</w:t>
            </w:r>
          </w:p>
        </w:tc>
        <w:tc>
          <w:tcPr>
            <w:tcW w:w="2121" w:type="dxa"/>
            <w:tcBorders/>
            <w:shd w:color="auto" w:fill="auto" w:val="clear"/>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916" w:type="dxa"/>
            <w:tcBorders/>
            <w:shd w:color="auto" w:fill="auto" w:val="clear"/>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34" w:type="dxa"/>
            <w:tcBorders/>
            <w:shd w:color="auto" w:fill="auto" w:val="clear"/>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45" w:type="dxa"/>
            <w:tcBorders/>
            <w:vAlign w:val="center"/>
          </w:tcPr>
          <w:p>
            <w:pPr>
              <w:pStyle w:val="ListParagraph"/>
              <w:widowControl/>
              <w:numPr>
                <w:ilvl w:val="2"/>
                <w:numId w:val="9"/>
              </w:numPr>
              <w:suppressAutoHyphens w:val="false"/>
              <w:spacing w:before="60" w:after="60"/>
              <w:ind w:left="1224" w:hanging="1199"/>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319" w:type="dxa"/>
            <w:tcBorders/>
            <w:shd w:color="auto" w:fill="auto" w:val="clear"/>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Технология райберовки</w:t>
            </w:r>
          </w:p>
        </w:tc>
        <w:tc>
          <w:tcPr>
            <w:tcW w:w="3949" w:type="dxa"/>
            <w:tcBorders/>
            <w:shd w:color="auto" w:fill="auto" w:val="clear"/>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Механическая обработка (развертывание) производится методом непрерывной микроподачи с использованием прецизионных мобильных станков. Базирование станка должно осуществляться по внешней поверхности или торцу муфты с обеспечением строгой перпендикулярности. Конструкция станка должна гарантировать совместную обработку отверстий полумуфт за один установ («на проход»), исключая ступенчатость. Категорически запрещены любые импульсные или ударные нагрузки в процессе резания.</w:t>
            </w:r>
          </w:p>
        </w:tc>
        <w:tc>
          <w:tcPr>
            <w:tcW w:w="2121" w:type="dxa"/>
            <w:tcBorders/>
            <w:shd w:color="auto" w:fill="auto" w:val="clear"/>
            <w:vAlign w:val="center"/>
          </w:tcPr>
          <w:p>
            <w:pPr>
              <w:pStyle w:val="Normal"/>
              <w:widowControl/>
              <w:suppressAutoHyphens w:val="true"/>
              <w:spacing w:before="0" w:after="0"/>
              <w:jc w:val="left"/>
              <w:rPr>
                <w:sz w:val="24"/>
                <w:szCs w:val="24"/>
              </w:rPr>
            </w:pPr>
            <w:r>
              <w:rPr>
                <w:rFonts w:eastAsia="Times New Roman" w:cs="Times New Roman"/>
                <w:i/>
                <w:iCs/>
                <w:kern w:val="0"/>
                <w:sz w:val="24"/>
                <w:szCs w:val="24"/>
                <w:lang w:val="ru-RU" w:eastAsia="ru-RU" w:bidi="ar-SA"/>
              </w:rPr>
              <w:t>Согласие с требованием</w:t>
            </w:r>
          </w:p>
        </w:tc>
        <w:tc>
          <w:tcPr>
            <w:tcW w:w="2916" w:type="dxa"/>
            <w:tcBorders/>
            <w:shd w:color="auto" w:fill="auto" w:val="clear"/>
            <w:vAlign w:val="center"/>
          </w:tcPr>
          <w:p>
            <w:pPr>
              <w:pStyle w:val="Normal"/>
              <w:widowControl/>
              <w:suppressAutoHyphens w:val="true"/>
              <w:spacing w:before="0" w:after="0"/>
              <w:jc w:val="left"/>
              <w:rPr>
                <w:sz w:val="24"/>
                <w:szCs w:val="24"/>
              </w:rPr>
            </w:pPr>
            <w:r>
              <w:rPr>
                <w:rFonts w:eastAsia="Times New Roman" w:cs="Times New Roman"/>
                <w:kern w:val="0"/>
                <w:sz w:val="24"/>
                <w:szCs w:val="24"/>
                <w:lang w:val="ru-RU" w:eastAsia="ru-RU" w:bidi="ar-SA"/>
              </w:rPr>
            </w:r>
          </w:p>
        </w:tc>
        <w:tc>
          <w:tcPr>
            <w:tcW w:w="2734" w:type="dxa"/>
            <w:tcBorders/>
            <w:shd w:color="auto" w:fill="auto" w:val="clear"/>
            <w:vAlign w:val="center"/>
          </w:tcPr>
          <w:p>
            <w:pPr>
              <w:pStyle w:val="Normal"/>
              <w:widowControl/>
              <w:suppressAutoHyphens w:val="true"/>
              <w:spacing w:before="0" w:after="0"/>
              <w:jc w:val="left"/>
              <w:rPr>
                <w:sz w:val="24"/>
                <w:szCs w:val="24"/>
              </w:rPr>
            </w:pPr>
            <w:r>
              <w:rPr>
                <w:rFonts w:eastAsia="Times New Roman" w:cs="Times New Roman"/>
                <w:kern w:val="0"/>
                <w:sz w:val="24"/>
                <w:szCs w:val="24"/>
                <w:lang w:val="ru-RU" w:eastAsia="ru-RU" w:bidi="ar-SA"/>
              </w:rPr>
            </w:r>
          </w:p>
        </w:tc>
      </w:tr>
      <w:tr>
        <w:trPr/>
        <w:tc>
          <w:tcPr>
            <w:tcW w:w="845" w:type="dxa"/>
            <w:tcBorders/>
            <w:vAlign w:val="center"/>
          </w:tcPr>
          <w:p>
            <w:pPr>
              <w:pStyle w:val="ListParagraph"/>
              <w:widowControl/>
              <w:numPr>
                <w:ilvl w:val="1"/>
                <w:numId w:val="9"/>
              </w:numPr>
              <w:suppressAutoHyphens w:val="false"/>
              <w:spacing w:before="60" w:after="60"/>
              <w:ind w:left="-117" w:firstLine="142"/>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6268" w:type="dxa"/>
            <w:gridSpan w:val="2"/>
            <w:tcBorders/>
            <w:vAlign w:val="center"/>
          </w:tcPr>
          <w:p>
            <w:pPr>
              <w:pStyle w:val="Normal"/>
              <w:widowControl/>
              <w:suppressAutoHyphens w:val="true"/>
              <w:spacing w:before="60" w:after="0"/>
              <w:jc w:val="left"/>
              <w:rPr>
                <w:b/>
                <w:sz w:val="24"/>
                <w:szCs w:val="24"/>
              </w:rPr>
            </w:pPr>
            <w:r>
              <w:rPr>
                <w:rFonts w:eastAsia="Times New Roman" w:cs="Times New Roman"/>
                <w:b/>
                <w:kern w:val="0"/>
                <w:sz w:val="24"/>
                <w:szCs w:val="24"/>
                <w:lang w:val="ru-RU" w:eastAsia="ru-RU" w:bidi="ar-SA"/>
              </w:rPr>
              <w:t>Требования к применяемым при оказании услуг оборудованию и материалам</w:t>
            </w:r>
          </w:p>
        </w:tc>
        <w:tc>
          <w:tcPr>
            <w:tcW w:w="2121"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916"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34"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45" w:type="dxa"/>
            <w:tcBorders/>
            <w:vAlign w:val="center"/>
          </w:tcPr>
          <w:p>
            <w:pPr>
              <w:pStyle w:val="ListParagraph"/>
              <w:widowControl/>
              <w:numPr>
                <w:ilvl w:val="2"/>
                <w:numId w:val="9"/>
              </w:numPr>
              <w:suppressAutoHyphens w:val="false"/>
              <w:spacing w:before="60" w:after="60"/>
              <w:ind w:left="1224" w:hanging="1199"/>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319" w:type="dxa"/>
            <w:tcBorders/>
            <w:vAlign w:val="center"/>
          </w:tcPr>
          <w:p>
            <w:pPr>
              <w:pStyle w:val="Normal"/>
              <w:widowControl w:val="false"/>
              <w:tabs>
                <w:tab w:val="clear" w:pos="708"/>
                <w:tab w:val="left" w:pos="426" w:leader="none"/>
              </w:tabs>
              <w:suppressAutoHyphens w:val="true"/>
              <w:spacing w:before="60" w:after="0"/>
              <w:jc w:val="left"/>
              <w:rPr>
                <w:i/>
                <w:i/>
                <w:iCs/>
                <w:sz w:val="24"/>
                <w:szCs w:val="24"/>
              </w:rPr>
            </w:pPr>
            <w:r>
              <w:rPr>
                <w:rFonts w:eastAsia="Times New Roman" w:cs="Times New Roman"/>
                <w:i/>
                <w:iCs/>
                <w:kern w:val="0"/>
                <w:sz w:val="24"/>
                <w:szCs w:val="24"/>
                <w:lang w:val="ru-RU" w:eastAsia="ru-RU" w:bidi="ar-SA"/>
              </w:rPr>
              <w:t>Режущий инструмент</w:t>
            </w:r>
          </w:p>
        </w:tc>
        <w:tc>
          <w:tcPr>
            <w:tcW w:w="3949" w:type="dxa"/>
            <w:tcBorders/>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Мобильные райберовочные станки должны иметь систему активного демпфирования вибраций и обеспечивать жесткое базирование на муфте. Конструкция станка должна гарантировать шероховатость поверхности Ra 0.63 за один чистовой проход. Оборудование должно иметь систему сбора стружки для исключения загрязнения «чистой зоны» монтажа</w:t>
            </w:r>
          </w:p>
        </w:tc>
        <w:tc>
          <w:tcPr>
            <w:tcW w:w="2121" w:type="dxa"/>
            <w:tcBorders/>
            <w:vAlign w:val="center"/>
          </w:tcPr>
          <w:p>
            <w:pPr>
              <w:pStyle w:val="Normal"/>
              <w:widowControl/>
              <w:suppressAutoHyphens w:val="true"/>
              <w:spacing w:before="0" w:after="0"/>
              <w:jc w:val="center"/>
              <w:rPr>
                <w:sz w:val="24"/>
                <w:szCs w:val="24"/>
              </w:rPr>
            </w:pPr>
            <w:r>
              <w:rPr>
                <w:rFonts w:eastAsia="Times New Roman" w:cs="Times New Roman"/>
                <w:i/>
                <w:iCs/>
                <w:kern w:val="0"/>
                <w:sz w:val="24"/>
                <w:szCs w:val="24"/>
                <w:lang w:val="ru-RU" w:eastAsia="ru-RU" w:bidi="ar-SA"/>
              </w:rPr>
              <w:t>Согласие с требованием</w:t>
            </w:r>
          </w:p>
        </w:tc>
        <w:tc>
          <w:tcPr>
            <w:tcW w:w="2916" w:type="dxa"/>
            <w:tcBorders/>
            <w:vAlign w:val="center"/>
          </w:tcPr>
          <w:p>
            <w:pPr>
              <w:pStyle w:val="Normal"/>
              <w:widowControl w:val="false"/>
              <w:tabs>
                <w:tab w:val="clear" w:pos="708"/>
                <w:tab w:val="left" w:pos="426" w:leader="none"/>
              </w:tabs>
              <w:suppressAutoHyphens w:val="true"/>
              <w:spacing w:before="60" w:after="0"/>
              <w:jc w:val="left"/>
              <w:rPr>
                <w:sz w:val="24"/>
                <w:szCs w:val="24"/>
              </w:rPr>
            </w:pPr>
            <w:r>
              <w:rPr>
                <w:rFonts w:eastAsia="Times New Roman" w:cs="Times New Roman"/>
                <w:kern w:val="0"/>
                <w:sz w:val="24"/>
                <w:szCs w:val="24"/>
                <w:lang w:val="ru-RU" w:eastAsia="ru-RU" w:bidi="ar-SA"/>
              </w:rPr>
            </w:r>
          </w:p>
        </w:tc>
        <w:tc>
          <w:tcPr>
            <w:tcW w:w="2734" w:type="dxa"/>
            <w:tcBorders/>
            <w:vAlign w:val="center"/>
          </w:tcPr>
          <w:p>
            <w:pPr>
              <w:pStyle w:val="Normal"/>
              <w:widowControl w:val="false"/>
              <w:tabs>
                <w:tab w:val="clear" w:pos="708"/>
                <w:tab w:val="left" w:pos="426" w:leader="none"/>
              </w:tabs>
              <w:suppressAutoHyphens w:val="true"/>
              <w:spacing w:before="60" w:after="0"/>
              <w:jc w:val="left"/>
              <w:rPr>
                <w:b/>
                <w:sz w:val="24"/>
                <w:szCs w:val="24"/>
              </w:rPr>
            </w:pPr>
            <w:r>
              <w:rPr>
                <w:rFonts w:eastAsia="Times New Roman" w:cs="Times New Roman"/>
                <w:b/>
                <w:kern w:val="0"/>
                <w:sz w:val="24"/>
                <w:szCs w:val="24"/>
                <w:lang w:val="ru-RU" w:eastAsia="ru-RU" w:bidi="ar-SA"/>
              </w:rPr>
            </w:r>
          </w:p>
        </w:tc>
      </w:tr>
      <w:tr>
        <w:trPr/>
        <w:tc>
          <w:tcPr>
            <w:tcW w:w="845" w:type="dxa"/>
            <w:tcBorders/>
            <w:vAlign w:val="center"/>
          </w:tcPr>
          <w:p>
            <w:pPr>
              <w:pStyle w:val="ListParagraph"/>
              <w:widowControl/>
              <w:numPr>
                <w:ilvl w:val="0"/>
                <w:numId w:val="9"/>
              </w:numPr>
              <w:suppressAutoHyphens w:val="false"/>
              <w:spacing w:before="60" w:after="6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6268" w:type="dxa"/>
            <w:gridSpan w:val="2"/>
            <w:tcBorders/>
            <w:vAlign w:val="center"/>
          </w:tcPr>
          <w:p>
            <w:pPr>
              <w:pStyle w:val="Normal"/>
              <w:widowControl/>
              <w:suppressAutoHyphens w:val="true"/>
              <w:spacing w:before="20" w:after="0"/>
              <w:jc w:val="both"/>
              <w:rPr>
                <w:b/>
                <w:sz w:val="24"/>
                <w:szCs w:val="24"/>
              </w:rPr>
            </w:pPr>
            <w:r>
              <w:rPr>
                <w:rFonts w:eastAsia="Times New Roman" w:cs="Times New Roman"/>
                <w:b/>
                <w:kern w:val="0"/>
                <w:sz w:val="24"/>
                <w:szCs w:val="24"/>
                <w:lang w:val="ru-RU" w:eastAsia="ru-RU" w:bidi="ar-SA"/>
              </w:rPr>
              <w:t>Требования к ответственности и гарантиям исполнителя</w:t>
            </w:r>
          </w:p>
        </w:tc>
        <w:tc>
          <w:tcPr>
            <w:tcW w:w="2121"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916"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34"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45" w:type="dxa"/>
            <w:tcBorders/>
            <w:vAlign w:val="center"/>
          </w:tcPr>
          <w:p>
            <w:pPr>
              <w:pStyle w:val="ListParagraph"/>
              <w:widowControl/>
              <w:numPr>
                <w:ilvl w:val="2"/>
                <w:numId w:val="9"/>
              </w:numPr>
              <w:suppressAutoHyphens w:val="false"/>
              <w:spacing w:before="60" w:after="60"/>
              <w:ind w:left="1224" w:hanging="1199"/>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319" w:type="dxa"/>
            <w:tcBorders/>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Требования к ответственности</w:t>
            </w:r>
          </w:p>
        </w:tc>
        <w:tc>
          <w:tcPr>
            <w:tcW w:w="3949" w:type="dxa"/>
            <w:tcBorders/>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Требования к ответственности исполнителя подробно указаны в договоре</w:t>
            </w:r>
          </w:p>
        </w:tc>
        <w:tc>
          <w:tcPr>
            <w:tcW w:w="2121" w:type="dxa"/>
            <w:tcBorders/>
            <w:vAlign w:val="center"/>
          </w:tcPr>
          <w:p>
            <w:pPr>
              <w:pStyle w:val="Normal"/>
              <w:widowControl/>
              <w:suppressAutoHyphens w:val="true"/>
              <w:spacing w:before="0" w:after="0"/>
              <w:jc w:val="center"/>
              <w:rPr>
                <w:b/>
                <w:bCs/>
                <w:sz w:val="24"/>
                <w:szCs w:val="24"/>
              </w:rPr>
            </w:pPr>
            <w:r>
              <w:rPr>
                <w:rFonts w:eastAsia="Times New Roman" w:cs="Times New Roman"/>
                <w:i/>
                <w:iCs/>
                <w:kern w:val="0"/>
                <w:sz w:val="24"/>
                <w:szCs w:val="24"/>
                <w:lang w:val="ru-RU" w:eastAsia="ru-RU" w:bidi="ar-SA"/>
              </w:rPr>
              <w:t>Согласие с требованием</w:t>
            </w:r>
          </w:p>
        </w:tc>
        <w:tc>
          <w:tcPr>
            <w:tcW w:w="2916" w:type="dxa"/>
            <w:tcBorders/>
            <w:vAlign w:val="center"/>
          </w:tcPr>
          <w:p>
            <w:pPr>
              <w:pStyle w:val="Normal"/>
              <w:widowControl w:val="false"/>
              <w:tabs>
                <w:tab w:val="clear" w:pos="708"/>
                <w:tab w:val="left" w:pos="426" w:leader="none"/>
              </w:tabs>
              <w:suppressAutoHyphens w:val="true"/>
              <w:spacing w:before="40" w:after="0"/>
              <w:jc w:val="left"/>
              <w:rPr>
                <w:b/>
                <w:bCs/>
                <w:sz w:val="24"/>
                <w:szCs w:val="24"/>
              </w:rPr>
            </w:pPr>
            <w:r>
              <w:rPr>
                <w:rFonts w:eastAsia="Times New Roman" w:cs="Times New Roman"/>
                <w:b/>
                <w:bCs/>
                <w:kern w:val="0"/>
                <w:sz w:val="24"/>
                <w:szCs w:val="24"/>
                <w:lang w:val="ru-RU" w:eastAsia="ru-RU" w:bidi="ar-SA"/>
              </w:rPr>
            </w:r>
          </w:p>
        </w:tc>
        <w:tc>
          <w:tcPr>
            <w:tcW w:w="2734" w:type="dxa"/>
            <w:tcBorders/>
            <w:vAlign w:val="center"/>
          </w:tcPr>
          <w:p>
            <w:pPr>
              <w:pStyle w:val="Style27"/>
              <w:keepNext w:val="false"/>
              <w:widowControl/>
              <w:numPr>
                <w:ilvl w:val="0"/>
                <w:numId w:val="0"/>
              </w:numPr>
              <w:suppressAutoHyphens w:val="true"/>
              <w:spacing w:before="0" w:after="60"/>
              <w:jc w:val="left"/>
              <w:outlineLvl w:val="2"/>
              <w:rPr>
                <w:rFonts w:eastAsia="Times New Roman"/>
                <w:b w:val="false"/>
                <w:bCs/>
                <w:lang w:val="ru-RU" w:eastAsia="ru-RU"/>
              </w:rPr>
            </w:pPr>
            <w:r>
              <w:rPr>
                <w:rFonts w:eastAsia="Times New Roman" w:cs="Times New Roman"/>
                <w:b w:val="false"/>
                <w:bCs/>
                <w:kern w:val="0"/>
                <w:sz w:val="20"/>
                <w:szCs w:val="20"/>
                <w:lang w:val="ru-RU" w:eastAsia="ru-RU" w:bidi="ar-SA"/>
              </w:rPr>
            </w:r>
          </w:p>
        </w:tc>
      </w:tr>
      <w:tr>
        <w:trPr/>
        <w:tc>
          <w:tcPr>
            <w:tcW w:w="845" w:type="dxa"/>
            <w:tcBorders/>
            <w:vAlign w:val="center"/>
          </w:tcPr>
          <w:p>
            <w:pPr>
              <w:pStyle w:val="ListParagraph"/>
              <w:widowControl/>
              <w:numPr>
                <w:ilvl w:val="2"/>
                <w:numId w:val="9"/>
              </w:numPr>
              <w:suppressAutoHyphens w:val="false"/>
              <w:spacing w:before="60" w:after="60"/>
              <w:ind w:left="1224" w:hanging="1199"/>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319" w:type="dxa"/>
            <w:tcBorders/>
            <w:vAlign w:val="center"/>
          </w:tcPr>
          <w:p>
            <w:pPr>
              <w:pStyle w:val="Normal"/>
              <w:widowControl/>
              <w:suppressAutoHyphens w:val="true"/>
              <w:spacing w:before="40" w:after="0"/>
              <w:jc w:val="left"/>
              <w:rPr>
                <w:i/>
                <w:i/>
                <w:iCs/>
                <w:sz w:val="24"/>
                <w:szCs w:val="24"/>
              </w:rPr>
            </w:pPr>
            <w:r>
              <w:rPr>
                <w:rFonts w:eastAsia="Times New Roman" w:cs="Times New Roman"/>
                <w:i/>
                <w:iCs/>
                <w:kern w:val="0"/>
                <w:sz w:val="24"/>
                <w:szCs w:val="24"/>
                <w:lang w:val="ru-RU" w:eastAsia="ru-RU" w:bidi="ar-SA"/>
              </w:rPr>
              <w:t>Гарантийные обязательства</w:t>
            </w:r>
          </w:p>
        </w:tc>
        <w:tc>
          <w:tcPr>
            <w:tcW w:w="3949" w:type="dxa"/>
            <w:tcBorders/>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Гарантийный срок составляет 12 (двенадцать) месяцев и начинает течь с даты подписания Сторонами Акта оказанных услуг либо с даты прекращения (расторжения) Договора.</w:t>
            </w:r>
          </w:p>
        </w:tc>
        <w:tc>
          <w:tcPr>
            <w:tcW w:w="2121" w:type="dxa"/>
            <w:tcBorders/>
            <w:vAlign w:val="center"/>
          </w:tcPr>
          <w:p>
            <w:pPr>
              <w:pStyle w:val="Style27"/>
              <w:keepNext w:val="false"/>
              <w:widowControl/>
              <w:numPr>
                <w:ilvl w:val="0"/>
                <w:numId w:val="0"/>
              </w:numPr>
              <w:suppressAutoHyphens w:val="true"/>
              <w:spacing w:before="0" w:after="60"/>
              <w:jc w:val="left"/>
              <w:outlineLvl w:val="2"/>
              <w:rPr>
                <w:rFonts w:eastAsia="Times New Roman"/>
                <w:b w:val="false"/>
                <w:bCs/>
                <w:i/>
                <w:i/>
                <w:iCs/>
                <w:lang w:val="ru-RU" w:eastAsia="ru-RU"/>
              </w:rPr>
            </w:pPr>
            <w:r>
              <w:rPr>
                <w:rFonts w:eastAsia="Times New Roman" w:cs="Times New Roman"/>
                <w:b w:val="false"/>
                <w:bCs/>
                <w:i/>
                <w:iCs/>
                <w:kern w:val="0"/>
                <w:sz w:val="20"/>
                <w:szCs w:val="20"/>
                <w:lang w:val="ru-RU" w:eastAsia="ru-RU" w:bidi="ar-SA"/>
              </w:rPr>
              <w:t>Согласие с требованием</w:t>
            </w:r>
          </w:p>
        </w:tc>
        <w:tc>
          <w:tcPr>
            <w:tcW w:w="2916" w:type="dxa"/>
            <w:tcBorders/>
            <w:vAlign w:val="center"/>
          </w:tcPr>
          <w:p>
            <w:pPr>
              <w:pStyle w:val="Normal"/>
              <w:widowControl/>
              <w:suppressAutoHyphens w:val="true"/>
              <w:spacing w:before="0" w:after="0"/>
              <w:jc w:val="left"/>
              <w:rPr>
                <w:sz w:val="24"/>
                <w:szCs w:val="24"/>
              </w:rPr>
            </w:pPr>
            <w:r>
              <w:rPr>
                <w:rFonts w:eastAsia="Times New Roman" w:cs="Times New Roman"/>
                <w:kern w:val="0"/>
                <w:sz w:val="24"/>
                <w:szCs w:val="24"/>
                <w:lang w:val="ru-RU" w:eastAsia="ru-RU" w:bidi="ar-SA"/>
              </w:rPr>
            </w:r>
          </w:p>
        </w:tc>
        <w:tc>
          <w:tcPr>
            <w:tcW w:w="2734" w:type="dxa"/>
            <w:tcBorders/>
            <w:vAlign w:val="center"/>
          </w:tcPr>
          <w:p>
            <w:pPr>
              <w:pStyle w:val="Style27"/>
              <w:keepNext w:val="false"/>
              <w:widowControl/>
              <w:numPr>
                <w:ilvl w:val="0"/>
                <w:numId w:val="0"/>
              </w:numPr>
              <w:suppressAutoHyphens w:val="true"/>
              <w:spacing w:before="0" w:after="60"/>
              <w:jc w:val="left"/>
              <w:outlineLvl w:val="2"/>
              <w:rPr>
                <w:rFonts w:eastAsia="Times New Roman"/>
                <w:b w:val="false"/>
                <w:lang w:val="ru-RU" w:eastAsia="ru-RU"/>
              </w:rPr>
            </w:pPr>
            <w:r>
              <w:rPr>
                <w:rFonts w:eastAsia="Times New Roman" w:cs="Times New Roman"/>
                <w:b w:val="false"/>
                <w:kern w:val="0"/>
                <w:sz w:val="20"/>
                <w:szCs w:val="20"/>
                <w:lang w:val="ru-RU" w:eastAsia="ru-RU" w:bidi="ar-SA"/>
              </w:rPr>
            </w:r>
          </w:p>
        </w:tc>
      </w:tr>
      <w:tr>
        <w:trPr/>
        <w:tc>
          <w:tcPr>
            <w:tcW w:w="845" w:type="dxa"/>
            <w:tcBorders/>
            <w:vAlign w:val="center"/>
          </w:tcPr>
          <w:p>
            <w:pPr>
              <w:pStyle w:val="ListParagraph"/>
              <w:widowControl/>
              <w:numPr>
                <w:ilvl w:val="0"/>
                <w:numId w:val="9"/>
              </w:numPr>
              <w:suppressAutoHyphens w:val="false"/>
              <w:spacing w:before="60" w:after="6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6268" w:type="dxa"/>
            <w:gridSpan w:val="2"/>
            <w:tcBorders/>
            <w:vAlign w:val="center"/>
          </w:tcPr>
          <w:p>
            <w:pPr>
              <w:pStyle w:val="Normal"/>
              <w:keepNext w:val="true"/>
              <w:widowControl/>
              <w:suppressAutoHyphens w:val="true"/>
              <w:spacing w:before="60" w:after="60"/>
              <w:jc w:val="left"/>
              <w:rPr>
                <w:b/>
                <w:sz w:val="24"/>
                <w:szCs w:val="24"/>
              </w:rPr>
            </w:pPr>
            <w:r>
              <w:rPr>
                <w:rFonts w:eastAsia="Times New Roman" w:cs="Times New Roman"/>
                <w:b/>
                <w:kern w:val="0"/>
                <w:sz w:val="24"/>
                <w:szCs w:val="24"/>
                <w:lang w:val="ru-RU" w:eastAsia="ru-RU" w:bidi="ar-SA"/>
              </w:rPr>
              <w:t>Требования к исполнителю (и соисполнителям) и его обязательствам, влияющим на исполнение договора</w:t>
            </w:r>
          </w:p>
        </w:tc>
        <w:tc>
          <w:tcPr>
            <w:tcW w:w="2121" w:type="dxa"/>
            <w:tcBorders/>
            <w:vAlign w:val="center"/>
          </w:tcPr>
          <w:p>
            <w:pPr>
              <w:pStyle w:val="Normal"/>
              <w:keepNext w:val="true"/>
              <w:widowControl/>
              <w:suppressAutoHyphens w:val="true"/>
              <w:spacing w:before="60" w:after="60"/>
              <w:jc w:val="center"/>
              <w:rPr>
                <w:bCs/>
                <w:i/>
                <w:i/>
                <w:iCs/>
                <w:sz w:val="24"/>
                <w:szCs w:val="24"/>
              </w:rPr>
            </w:pPr>
            <w:r>
              <w:rPr>
                <w:rFonts w:eastAsia="Times New Roman" w:cs="Times New Roman"/>
                <w:bCs/>
                <w:i/>
                <w:iCs/>
                <w:kern w:val="0"/>
                <w:sz w:val="24"/>
                <w:szCs w:val="24"/>
                <w:lang w:val="ru-RU" w:eastAsia="ru-RU" w:bidi="ar-SA"/>
              </w:rPr>
              <w:t>-//-</w:t>
            </w:r>
          </w:p>
        </w:tc>
        <w:tc>
          <w:tcPr>
            <w:tcW w:w="2916"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34" w:type="dxa"/>
            <w:tcBorders/>
            <w:vAlign w:val="center"/>
          </w:tcPr>
          <w:p>
            <w:pPr>
              <w:pStyle w:val="Normal"/>
              <w:keepNext w:val="true"/>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45" w:type="dxa"/>
            <w:tcBorders/>
            <w:vAlign w:val="center"/>
          </w:tcPr>
          <w:p>
            <w:pPr>
              <w:pStyle w:val="ListParagraph"/>
              <w:widowControl/>
              <w:numPr>
                <w:ilvl w:val="2"/>
                <w:numId w:val="9"/>
              </w:numPr>
              <w:suppressAutoHyphens w:val="false"/>
              <w:spacing w:before="60" w:after="60"/>
              <w:ind w:left="1224" w:hanging="1199"/>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319" w:type="dxa"/>
            <w:tcBorders/>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Инструментальный аудит</w:t>
            </w:r>
          </w:p>
        </w:tc>
        <w:tc>
          <w:tcPr>
            <w:tcW w:w="3949" w:type="dxa"/>
            <w:tcBorders/>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Заказчик оставляет за собой право провести входной контроль и проверку геометрии режущей кромки райберов</w:t>
            </w:r>
          </w:p>
        </w:tc>
        <w:tc>
          <w:tcPr>
            <w:tcW w:w="2121" w:type="dxa"/>
            <w:tcBorders/>
            <w:vAlign w:val="center"/>
          </w:tcPr>
          <w:p>
            <w:pPr>
              <w:pStyle w:val="Normal"/>
              <w:widowControl/>
              <w:suppressAutoHyphens w:val="true"/>
              <w:spacing w:before="0" w:after="0"/>
              <w:jc w:val="center"/>
              <w:rPr>
                <w:bCs/>
                <w:i/>
                <w:i/>
                <w:iCs/>
                <w:sz w:val="24"/>
                <w:szCs w:val="24"/>
              </w:rPr>
            </w:pPr>
            <w:r>
              <w:rPr>
                <w:rFonts w:eastAsia="Times New Roman" w:cs="Times New Roman"/>
                <w:bCs/>
                <w:i/>
                <w:iCs/>
                <w:kern w:val="0"/>
                <w:sz w:val="24"/>
                <w:szCs w:val="24"/>
                <w:lang w:val="ru-RU" w:eastAsia="ru-RU" w:bidi="ar-SA"/>
              </w:rPr>
              <w:t>Согласие с требованием</w:t>
            </w:r>
          </w:p>
        </w:tc>
        <w:tc>
          <w:tcPr>
            <w:tcW w:w="2916" w:type="dxa"/>
            <w:tcBorders/>
            <w:vAlign w:val="center"/>
          </w:tcPr>
          <w:p>
            <w:pPr>
              <w:pStyle w:val="Style27"/>
              <w:keepNext w:val="false"/>
              <w:widowControl/>
              <w:numPr>
                <w:ilvl w:val="0"/>
                <w:numId w:val="0"/>
              </w:numPr>
              <w:suppressAutoHyphens w:val="true"/>
              <w:spacing w:before="0" w:after="60"/>
              <w:jc w:val="left"/>
              <w:outlineLvl w:val="2"/>
              <w:rPr>
                <w:lang w:val="ru-RU"/>
              </w:rPr>
            </w:pPr>
            <w:r>
              <w:rPr>
                <w:rFonts w:eastAsia="Times New Roman" w:cs="Times New Roman"/>
                <w:kern w:val="0"/>
                <w:sz w:val="20"/>
                <w:szCs w:val="20"/>
                <w:lang w:val="ru-RU" w:eastAsia="ru-RU" w:bidi="ar-SA"/>
              </w:rPr>
            </w:r>
          </w:p>
        </w:tc>
        <w:tc>
          <w:tcPr>
            <w:tcW w:w="2734" w:type="dxa"/>
            <w:tcBorders/>
            <w:vAlign w:val="center"/>
          </w:tcPr>
          <w:p>
            <w:pPr>
              <w:pStyle w:val="Style27"/>
              <w:keepNext w:val="false"/>
              <w:widowControl/>
              <w:numPr>
                <w:ilvl w:val="0"/>
                <w:numId w:val="0"/>
              </w:numPr>
              <w:suppressAutoHyphens w:val="true"/>
              <w:spacing w:before="0" w:after="60"/>
              <w:jc w:val="left"/>
              <w:outlineLvl w:val="2"/>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r>
      <w:tr>
        <w:trPr/>
        <w:tc>
          <w:tcPr>
            <w:tcW w:w="845" w:type="dxa"/>
            <w:tcBorders/>
            <w:vAlign w:val="center"/>
          </w:tcPr>
          <w:p>
            <w:pPr>
              <w:pStyle w:val="ListParagraph"/>
              <w:widowControl/>
              <w:numPr>
                <w:ilvl w:val="2"/>
                <w:numId w:val="9"/>
              </w:numPr>
              <w:suppressAutoHyphens w:val="false"/>
              <w:spacing w:before="60" w:after="60"/>
              <w:ind w:left="1224" w:hanging="1199"/>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319" w:type="dxa"/>
            <w:tcBorders/>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Требования к субподрядным организациям привлекаемым к оказанию услуг</w:t>
            </w:r>
          </w:p>
        </w:tc>
        <w:tc>
          <w:tcPr>
            <w:tcW w:w="3949" w:type="dxa"/>
            <w:tcBorders/>
            <w:vAlign w:val="center"/>
          </w:tcPr>
          <w:p>
            <w:pPr>
              <w:pStyle w:val="Normal"/>
              <w:widowControl/>
              <w:suppressAutoHyphens w:val="true"/>
              <w:spacing w:before="0" w:after="0"/>
              <w:jc w:val="left"/>
              <w:rPr>
                <w:i/>
                <w:i/>
                <w:iCs/>
                <w:sz w:val="24"/>
                <w:szCs w:val="24"/>
              </w:rPr>
            </w:pPr>
            <w:r>
              <w:rPr>
                <w:rFonts w:eastAsia="Times New Roman" w:cs="Times New Roman"/>
                <w:i/>
                <w:iCs/>
                <w:kern w:val="0"/>
                <w:sz w:val="24"/>
                <w:szCs w:val="24"/>
                <w:lang w:val="ru-RU" w:eastAsia="ru-RU" w:bidi="ar-SA"/>
              </w:rPr>
              <w:t>В случае привлечения к оказанию услуг субподрядных организаций, Исполнитель обязан письменно согласовать с Заказчиком привлекаемую субподрядную организацию с предоставлением заказчику на момент согласования договора субподряда документов, подтверждающие соответствие их квалификационного уровня, а также готовность и возможность выполнения ими работ, а также документы указанные в  договоре подряда.</w:t>
            </w:r>
          </w:p>
        </w:tc>
        <w:tc>
          <w:tcPr>
            <w:tcW w:w="2121" w:type="dxa"/>
            <w:tcBorders/>
            <w:vAlign w:val="center"/>
          </w:tcPr>
          <w:p>
            <w:pPr>
              <w:pStyle w:val="Normal"/>
              <w:widowControl/>
              <w:suppressAutoHyphens w:val="true"/>
              <w:spacing w:before="0" w:after="0"/>
              <w:jc w:val="center"/>
              <w:rPr>
                <w:bCs/>
                <w:i/>
                <w:i/>
                <w:iCs/>
                <w:sz w:val="24"/>
                <w:szCs w:val="24"/>
              </w:rPr>
            </w:pPr>
            <w:r>
              <w:rPr>
                <w:rFonts w:eastAsia="Times New Roman" w:cs="Times New Roman"/>
                <w:bCs/>
                <w:i/>
                <w:iCs/>
                <w:kern w:val="0"/>
                <w:sz w:val="24"/>
                <w:szCs w:val="24"/>
                <w:lang w:val="ru-RU" w:eastAsia="ru-RU" w:bidi="ar-SA"/>
              </w:rPr>
              <w:t>Согласие с требованием</w:t>
            </w:r>
          </w:p>
        </w:tc>
        <w:tc>
          <w:tcPr>
            <w:tcW w:w="2916" w:type="dxa"/>
            <w:tcBorders/>
            <w:vAlign w:val="center"/>
          </w:tcPr>
          <w:p>
            <w:pPr>
              <w:pStyle w:val="Style27"/>
              <w:keepNext w:val="false"/>
              <w:widowControl/>
              <w:numPr>
                <w:ilvl w:val="0"/>
                <w:numId w:val="0"/>
              </w:numPr>
              <w:suppressAutoHyphens w:val="true"/>
              <w:spacing w:before="0" w:after="60"/>
              <w:jc w:val="left"/>
              <w:outlineLvl w:val="2"/>
              <w:rPr>
                <w:lang w:val="ru-RU"/>
              </w:rPr>
            </w:pPr>
            <w:r>
              <w:rPr>
                <w:rFonts w:eastAsia="Times New Roman" w:cs="Times New Roman"/>
                <w:kern w:val="0"/>
                <w:sz w:val="20"/>
                <w:szCs w:val="20"/>
                <w:lang w:val="ru-RU" w:eastAsia="ru-RU" w:bidi="ar-SA"/>
              </w:rPr>
            </w:r>
          </w:p>
        </w:tc>
        <w:tc>
          <w:tcPr>
            <w:tcW w:w="2734" w:type="dxa"/>
            <w:tcBorders/>
            <w:vAlign w:val="center"/>
          </w:tcPr>
          <w:p>
            <w:pPr>
              <w:pStyle w:val="Style27"/>
              <w:keepNext w:val="false"/>
              <w:widowControl/>
              <w:numPr>
                <w:ilvl w:val="0"/>
                <w:numId w:val="0"/>
              </w:numPr>
              <w:suppressAutoHyphens w:val="true"/>
              <w:spacing w:before="0" w:after="60"/>
              <w:jc w:val="left"/>
              <w:outlineLvl w:val="2"/>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r>
      <w:tr>
        <w:trPr/>
        <w:tc>
          <w:tcPr>
            <w:tcW w:w="845" w:type="dxa"/>
            <w:tcBorders/>
            <w:vAlign w:val="center"/>
          </w:tcPr>
          <w:p>
            <w:pPr>
              <w:pStyle w:val="ListParagraph"/>
              <w:widowControl/>
              <w:numPr>
                <w:ilvl w:val="0"/>
                <w:numId w:val="9"/>
              </w:numPr>
              <w:suppressAutoHyphens w:val="false"/>
              <w:spacing w:before="60" w:after="6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6268" w:type="dxa"/>
            <w:gridSpan w:val="2"/>
            <w:tcBorders/>
            <w:vAlign w:val="center"/>
          </w:tcPr>
          <w:p>
            <w:pPr>
              <w:pStyle w:val="Normal"/>
              <w:widowControl/>
              <w:suppressAutoHyphens w:val="true"/>
              <w:spacing w:before="60" w:after="60"/>
              <w:jc w:val="left"/>
              <w:rPr>
                <w:b/>
                <w:sz w:val="24"/>
                <w:szCs w:val="24"/>
              </w:rPr>
            </w:pPr>
            <w:r>
              <w:rPr>
                <w:rFonts w:eastAsia="Times New Roman" w:cs="Times New Roman"/>
                <w:b/>
                <w:kern w:val="0"/>
                <w:sz w:val="24"/>
                <w:szCs w:val="24"/>
                <w:lang w:val="ru-RU" w:eastAsia="ru-RU" w:bidi="ar-SA"/>
              </w:rPr>
              <w:t xml:space="preserve">Прочие требования к оказанию услуг </w:t>
            </w:r>
          </w:p>
        </w:tc>
        <w:tc>
          <w:tcPr>
            <w:tcW w:w="2121" w:type="dxa"/>
            <w:tcBorders/>
            <w:vAlign w:val="center"/>
          </w:tcPr>
          <w:p>
            <w:pPr>
              <w:pStyle w:val="Normal"/>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916" w:type="dxa"/>
            <w:tcBorders/>
            <w:vAlign w:val="center"/>
          </w:tcPr>
          <w:p>
            <w:pPr>
              <w:pStyle w:val="Normal"/>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34" w:type="dxa"/>
            <w:tcBorders/>
            <w:vAlign w:val="center"/>
          </w:tcPr>
          <w:p>
            <w:pPr>
              <w:pStyle w:val="Normal"/>
              <w:widowControl/>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45" w:type="dxa"/>
            <w:tcBorders/>
            <w:vAlign w:val="center"/>
          </w:tcPr>
          <w:p>
            <w:pPr>
              <w:pStyle w:val="ListParagraph"/>
              <w:widowControl/>
              <w:numPr>
                <w:ilvl w:val="1"/>
                <w:numId w:val="9"/>
              </w:numPr>
              <w:suppressAutoHyphens w:val="false"/>
              <w:spacing w:before="60" w:after="60"/>
              <w:ind w:left="-117" w:firstLine="142"/>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319" w:type="dxa"/>
            <w:tcBorders/>
            <w:vAlign w:val="center"/>
          </w:tcPr>
          <w:p>
            <w:pPr>
              <w:pStyle w:val="Style27"/>
              <w:keepNext w:val="false"/>
              <w:widowControl/>
              <w:numPr>
                <w:ilvl w:val="0"/>
                <w:numId w:val="0"/>
              </w:numPr>
              <w:suppressAutoHyphens w:val="true"/>
              <w:spacing w:before="0" w:after="60"/>
              <w:jc w:val="left"/>
              <w:outlineLvl w:val="2"/>
              <w:rPr>
                <w:b w:val="false"/>
                <w:bCs/>
                <w:i/>
                <w:i/>
                <w:iCs/>
              </w:rPr>
            </w:pPr>
            <w:r>
              <w:rPr>
                <w:rFonts w:eastAsia="Times New Roman" w:cs="Times New Roman"/>
                <w:b w:val="false"/>
                <w:bCs/>
                <w:i/>
                <w:iCs/>
                <w:kern w:val="0"/>
                <w:sz w:val="20"/>
                <w:szCs w:val="20"/>
                <w:lang w:val="ru-RU" w:eastAsia="ru-RU" w:bidi="ar-SA"/>
              </w:rPr>
              <w:t>Требования к рабочей зоне</w:t>
            </w:r>
          </w:p>
        </w:tc>
        <w:tc>
          <w:tcPr>
            <w:tcW w:w="3949" w:type="dxa"/>
            <w:tcBorders/>
            <w:vAlign w:val="center"/>
          </w:tcPr>
          <w:p>
            <w:pPr>
              <w:pStyle w:val="Style27"/>
              <w:keepNext w:val="false"/>
              <w:widowControl/>
              <w:numPr>
                <w:ilvl w:val="0"/>
                <w:numId w:val="0"/>
              </w:numPr>
              <w:suppressAutoHyphens w:val="true"/>
              <w:spacing w:before="0" w:after="60"/>
              <w:jc w:val="left"/>
              <w:outlineLvl w:val="2"/>
              <w:rPr>
                <w:b w:val="false"/>
                <w:bCs/>
                <w:i/>
                <w:i/>
                <w:iCs/>
              </w:rPr>
            </w:pPr>
            <w:r>
              <w:rPr>
                <w:rFonts w:eastAsia="Times New Roman" w:cs="Times New Roman"/>
                <w:b w:val="false"/>
                <w:bCs/>
                <w:i/>
                <w:iCs/>
                <w:kern w:val="0"/>
                <w:sz w:val="20"/>
                <w:szCs w:val="20"/>
                <w:lang w:val="ru-RU" w:eastAsia="ru-RU" w:bidi="ar-SA"/>
              </w:rPr>
              <w:t>По окончании услуг Исполнитель должен произвести уборку рабочей зоны, устранить замечания, выданные во время сдачи объекта в эксплуатацию.</w:t>
            </w:r>
          </w:p>
        </w:tc>
        <w:tc>
          <w:tcPr>
            <w:tcW w:w="2121" w:type="dxa"/>
            <w:tcBorders/>
            <w:vAlign w:val="center"/>
          </w:tcPr>
          <w:p>
            <w:pPr>
              <w:pStyle w:val="Style27"/>
              <w:keepNext w:val="false"/>
              <w:widowControl/>
              <w:numPr>
                <w:ilvl w:val="0"/>
                <w:numId w:val="0"/>
              </w:numPr>
              <w:suppressAutoHyphens w:val="true"/>
              <w:spacing w:before="0" w:after="60"/>
              <w:jc w:val="left"/>
              <w:outlineLvl w:val="2"/>
              <w:rPr>
                <w:b w:val="false"/>
                <w:bCs/>
                <w:lang w:val="ru-RU"/>
              </w:rPr>
            </w:pPr>
            <w:r>
              <w:rPr>
                <w:rFonts w:eastAsia="Times New Roman" w:cs="Times New Roman"/>
                <w:b w:val="false"/>
                <w:bCs/>
                <w:i/>
                <w:iCs/>
                <w:kern w:val="0"/>
                <w:sz w:val="20"/>
                <w:szCs w:val="20"/>
                <w:lang w:val="ru-RU" w:eastAsia="ru-RU" w:bidi="ar-SA"/>
              </w:rPr>
              <w:t>Согласие с требованием</w:t>
            </w:r>
          </w:p>
        </w:tc>
        <w:tc>
          <w:tcPr>
            <w:tcW w:w="2916" w:type="dxa"/>
            <w:tcBorders/>
            <w:vAlign w:val="center"/>
          </w:tcPr>
          <w:p>
            <w:pPr>
              <w:pStyle w:val="Style27"/>
              <w:keepNext w:val="false"/>
              <w:widowControl/>
              <w:numPr>
                <w:ilvl w:val="0"/>
                <w:numId w:val="0"/>
              </w:numPr>
              <w:suppressAutoHyphens w:val="true"/>
              <w:spacing w:before="0" w:after="60"/>
              <w:jc w:val="left"/>
              <w:outlineLvl w:val="2"/>
              <w:rPr>
                <w:lang w:val="ru-RU"/>
              </w:rPr>
            </w:pPr>
            <w:r>
              <w:rPr>
                <w:rFonts w:eastAsia="Times New Roman" w:cs="Times New Roman"/>
                <w:kern w:val="0"/>
                <w:sz w:val="20"/>
                <w:szCs w:val="20"/>
                <w:lang w:val="ru-RU" w:eastAsia="ru-RU" w:bidi="ar-SA"/>
              </w:rPr>
            </w:r>
          </w:p>
        </w:tc>
        <w:tc>
          <w:tcPr>
            <w:tcW w:w="2734" w:type="dxa"/>
            <w:tcBorders/>
            <w:vAlign w:val="center"/>
          </w:tcPr>
          <w:p>
            <w:pPr>
              <w:pStyle w:val="Style27"/>
              <w:keepNext w:val="false"/>
              <w:widowControl/>
              <w:numPr>
                <w:ilvl w:val="0"/>
                <w:numId w:val="0"/>
              </w:numPr>
              <w:suppressAutoHyphens w:val="true"/>
              <w:spacing w:before="0" w:after="60"/>
              <w:jc w:val="left"/>
              <w:outlineLvl w:val="2"/>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r>
      <w:tr>
        <w:trPr/>
        <w:tc>
          <w:tcPr>
            <w:tcW w:w="845" w:type="dxa"/>
            <w:tcBorders/>
            <w:vAlign w:val="center"/>
          </w:tcPr>
          <w:p>
            <w:pPr>
              <w:pStyle w:val="ListParagraph"/>
              <w:widowControl/>
              <w:numPr>
                <w:ilvl w:val="1"/>
                <w:numId w:val="9"/>
              </w:numPr>
              <w:suppressAutoHyphens w:val="false"/>
              <w:spacing w:before="60" w:after="60"/>
              <w:ind w:left="-117" w:firstLine="142"/>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319" w:type="dxa"/>
            <w:tcBorders/>
            <w:vAlign w:val="center"/>
          </w:tcPr>
          <w:p>
            <w:pPr>
              <w:pStyle w:val="Style27"/>
              <w:keepNext w:val="false"/>
              <w:widowControl/>
              <w:numPr>
                <w:ilvl w:val="0"/>
                <w:numId w:val="0"/>
              </w:numPr>
              <w:suppressAutoHyphens w:val="true"/>
              <w:spacing w:before="0" w:after="60"/>
              <w:jc w:val="left"/>
              <w:outlineLvl w:val="2"/>
              <w:rPr>
                <w:b w:val="false"/>
                <w:bCs/>
                <w:i/>
                <w:i/>
                <w:iCs/>
              </w:rPr>
            </w:pPr>
            <w:r>
              <w:rPr>
                <w:rFonts w:eastAsia="Times New Roman" w:cs="Times New Roman"/>
                <w:b w:val="false"/>
                <w:bCs/>
                <w:i/>
                <w:iCs/>
                <w:kern w:val="0"/>
                <w:sz w:val="20"/>
                <w:szCs w:val="20"/>
                <w:lang w:val="ru-RU" w:eastAsia="ru-RU" w:bidi="ar-SA"/>
              </w:rPr>
              <w:t>И</w:t>
            </w:r>
            <w:r>
              <w:rPr>
                <w:rFonts w:eastAsia="Times New Roman" w:cs="Times New Roman"/>
                <w:b w:val="false"/>
                <w:bCs/>
                <w:i/>
                <w:iCs/>
                <w:kern w:val="0"/>
                <w:sz w:val="20"/>
                <w:szCs w:val="20"/>
                <w:lang w:val="ru-RU" w:eastAsia="ru-RU" w:bidi="ar-SA"/>
              </w:rPr>
              <w:t xml:space="preserve">ные требования и сведения общего характера </w:t>
            </w:r>
          </w:p>
        </w:tc>
        <w:tc>
          <w:tcPr>
            <w:tcW w:w="3949" w:type="dxa"/>
            <w:tcBorders/>
            <w:vAlign w:val="center"/>
          </w:tcPr>
          <w:p>
            <w:pPr>
              <w:pStyle w:val="Style27"/>
              <w:keepNext w:val="false"/>
              <w:widowControl/>
              <w:numPr>
                <w:ilvl w:val="0"/>
                <w:numId w:val="0"/>
              </w:numPr>
              <w:suppressAutoHyphens w:val="true"/>
              <w:spacing w:before="0" w:after="60"/>
              <w:jc w:val="left"/>
              <w:outlineLvl w:val="2"/>
              <w:rPr>
                <w:b w:val="false"/>
                <w:bCs/>
                <w:i/>
                <w:i/>
                <w:iCs/>
                <w:lang w:val="ru-RU"/>
              </w:rPr>
            </w:pPr>
            <w:r>
              <w:rPr>
                <w:rFonts w:eastAsia="Times New Roman" w:cs="Times New Roman"/>
                <w:b w:val="false"/>
                <w:bCs/>
                <w:i/>
                <w:iCs/>
                <w:kern w:val="0"/>
                <w:sz w:val="20"/>
                <w:szCs w:val="20"/>
                <w:lang w:val="ru-RU" w:eastAsia="ru-RU" w:bidi="ar-SA"/>
              </w:rPr>
              <w:t>Согласно ч.1 ст.10 федерального закона от 21.07.2011 №256-ФЗ «О безопасности объектов ТЭК» работу не вправе выполнять лица:</w:t>
            </w:r>
          </w:p>
          <w:p>
            <w:pPr>
              <w:pStyle w:val="Style27"/>
              <w:widowControl/>
              <w:numPr>
                <w:ilvl w:val="0"/>
                <w:numId w:val="0"/>
              </w:numPr>
              <w:suppressAutoHyphens w:val="true"/>
              <w:spacing w:before="0" w:after="60"/>
              <w:jc w:val="left"/>
              <w:outlineLvl w:val="2"/>
              <w:rPr>
                <w:b w:val="false"/>
                <w:bCs/>
                <w:i/>
                <w:i/>
                <w:iCs/>
                <w:lang w:val="ru-RU"/>
              </w:rPr>
            </w:pPr>
            <w:r>
              <w:rPr>
                <w:rFonts w:eastAsia="Times New Roman" w:cs="Times New Roman"/>
                <w:b w:val="false"/>
                <w:bCs/>
                <w:i/>
                <w:iCs/>
                <w:kern w:val="0"/>
                <w:sz w:val="20"/>
                <w:szCs w:val="20"/>
                <w:lang w:val="ru-RU" w:eastAsia="ru-RU" w:bidi="ar-SA"/>
              </w:rPr>
              <w:t>- имеющие неснятую или непогашенную судимость за совершение умышленного преступления;</w:t>
            </w:r>
          </w:p>
          <w:p>
            <w:pPr>
              <w:pStyle w:val="Style27"/>
              <w:widowControl/>
              <w:numPr>
                <w:ilvl w:val="0"/>
                <w:numId w:val="0"/>
              </w:numPr>
              <w:suppressAutoHyphens w:val="true"/>
              <w:spacing w:before="0" w:after="60"/>
              <w:jc w:val="left"/>
              <w:outlineLvl w:val="2"/>
              <w:rPr>
                <w:b w:val="false"/>
                <w:bCs/>
                <w:i/>
                <w:i/>
                <w:iCs/>
                <w:lang w:val="ru-RU"/>
              </w:rPr>
            </w:pPr>
            <w:r>
              <w:rPr>
                <w:rFonts w:eastAsia="Times New Roman" w:cs="Times New Roman"/>
                <w:b w:val="false"/>
                <w:bCs/>
                <w:i/>
                <w:iCs/>
                <w:kern w:val="0"/>
                <w:sz w:val="20"/>
                <w:szCs w:val="20"/>
                <w:lang w:val="ru-RU" w:eastAsia="ru-RU" w:bidi="ar-SA"/>
              </w:rPr>
              <w:t>- состоящие на учете в учреждениях органов здравоохранения по поводу психического заболевания, алкоголизма или наркомании;</w:t>
            </w:r>
          </w:p>
          <w:p>
            <w:pPr>
              <w:pStyle w:val="Style27"/>
              <w:widowControl/>
              <w:numPr>
                <w:ilvl w:val="0"/>
                <w:numId w:val="0"/>
              </w:numPr>
              <w:suppressAutoHyphens w:val="true"/>
              <w:spacing w:before="0" w:after="60"/>
              <w:jc w:val="left"/>
              <w:outlineLvl w:val="2"/>
              <w:rPr>
                <w:b w:val="false"/>
                <w:bCs/>
                <w:i/>
                <w:i/>
                <w:iCs/>
                <w:lang w:val="ru-RU"/>
              </w:rPr>
            </w:pPr>
            <w:r>
              <w:rPr>
                <w:rFonts w:eastAsia="Times New Roman" w:cs="Times New Roman"/>
                <w:b w:val="false"/>
                <w:bCs/>
                <w:i/>
                <w:iCs/>
                <w:kern w:val="0"/>
                <w:sz w:val="20"/>
                <w:szCs w:val="20"/>
                <w:lang w:val="ru-RU" w:eastAsia="ru-RU" w:bidi="ar-SA"/>
              </w:rPr>
              <w:t>-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pPr>
              <w:pStyle w:val="Style27"/>
              <w:widowControl/>
              <w:numPr>
                <w:ilvl w:val="0"/>
                <w:numId w:val="0"/>
              </w:numPr>
              <w:suppressAutoHyphens w:val="true"/>
              <w:spacing w:before="0" w:after="60"/>
              <w:jc w:val="left"/>
              <w:outlineLvl w:val="2"/>
              <w:rPr>
                <w:b w:val="false"/>
                <w:bCs/>
                <w:i/>
                <w:i/>
                <w:iCs/>
                <w:lang w:val="ru-RU"/>
              </w:rPr>
            </w:pPr>
            <w:r>
              <w:rPr>
                <w:rFonts w:eastAsia="Times New Roman" w:cs="Times New Roman"/>
                <w:b w:val="false"/>
                <w:bCs/>
                <w:i/>
                <w:iCs/>
                <w:kern w:val="0"/>
                <w:sz w:val="20"/>
                <w:szCs w:val="20"/>
                <w:lang w:val="ru-RU" w:eastAsia="ru-RU" w:bidi="ar-SA"/>
              </w:rPr>
              <w:t>- представившие недостоверные или неполные сведения при приеме на работу, непосредственно связанную с обеспечением безопасности объектов топливно-энергетического комплекса;</w:t>
            </w:r>
          </w:p>
          <w:p>
            <w:pPr>
              <w:pStyle w:val="Style27"/>
              <w:widowControl/>
              <w:numPr>
                <w:ilvl w:val="0"/>
                <w:numId w:val="0"/>
              </w:numPr>
              <w:suppressAutoHyphens w:val="true"/>
              <w:spacing w:before="0" w:after="60"/>
              <w:jc w:val="left"/>
              <w:outlineLvl w:val="2"/>
              <w:rPr>
                <w:b w:val="false"/>
                <w:bCs/>
                <w:i/>
                <w:i/>
                <w:iCs/>
                <w:lang w:val="ru-RU"/>
              </w:rPr>
            </w:pPr>
            <w:r>
              <w:rPr>
                <w:rFonts w:eastAsia="Times New Roman" w:cs="Times New Roman"/>
                <w:b w:val="false"/>
                <w:bCs/>
                <w:i/>
                <w:iCs/>
                <w:kern w:val="0"/>
                <w:sz w:val="20"/>
                <w:szCs w:val="20"/>
                <w:lang w:val="ru-RU" w:eastAsia="ru-RU" w:bidi="ar-SA"/>
              </w:rPr>
              <w:t>- являющиеся иностранными гражданами, гражданами Российской Федерации, имеющими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или лицами без гражданства.</w:t>
            </w:r>
          </w:p>
          <w:p>
            <w:pPr>
              <w:pStyle w:val="Style27"/>
              <w:widowControl/>
              <w:numPr>
                <w:ilvl w:val="0"/>
                <w:numId w:val="0"/>
              </w:numPr>
              <w:suppressAutoHyphens w:val="true"/>
              <w:spacing w:before="0" w:after="60"/>
              <w:jc w:val="left"/>
              <w:outlineLvl w:val="2"/>
              <w:rPr>
                <w:b w:val="false"/>
                <w:bCs/>
                <w:i/>
                <w:i/>
                <w:iCs/>
                <w:lang w:val="ru-RU"/>
              </w:rPr>
            </w:pPr>
            <w:r>
              <w:rPr>
                <w:rFonts w:eastAsia="Times New Roman" w:cs="Times New Roman"/>
                <w:b w:val="false"/>
                <w:bCs/>
                <w:i/>
                <w:iCs/>
                <w:kern w:val="0"/>
                <w:sz w:val="20"/>
                <w:szCs w:val="20"/>
                <w:lang w:val="ru-RU" w:eastAsia="ru-RU" w:bidi="ar-SA"/>
              </w:rPr>
              <w:t>До начала производства работ, Исполнитель предоставляет представителю Заказчика копии документов подтверждающих исполнение требований ч.1 ст.10 федерального закона от 21.07.2011 №256-ФЗ «О безопасности объектов ТЭК», в противном случае Исполнитель на объект ТЭК не допускаются.</w:t>
            </w:r>
          </w:p>
        </w:tc>
        <w:tc>
          <w:tcPr>
            <w:tcW w:w="2121" w:type="dxa"/>
            <w:tcBorders/>
            <w:vAlign w:val="center"/>
          </w:tcPr>
          <w:p>
            <w:pPr>
              <w:pStyle w:val="Style27"/>
              <w:keepNext w:val="false"/>
              <w:widowControl/>
              <w:numPr>
                <w:ilvl w:val="0"/>
                <w:numId w:val="0"/>
              </w:numPr>
              <w:suppressAutoHyphens w:val="true"/>
              <w:spacing w:before="0" w:after="60"/>
              <w:jc w:val="left"/>
              <w:outlineLvl w:val="2"/>
              <w:rPr>
                <w:b w:val="false"/>
                <w:bCs/>
                <w:lang w:val="ru-RU"/>
              </w:rPr>
            </w:pPr>
            <w:r>
              <w:rPr>
                <w:rFonts w:eastAsia="Times New Roman" w:cs="Times New Roman"/>
                <w:b w:val="false"/>
                <w:bCs/>
                <w:i/>
                <w:iCs/>
                <w:kern w:val="0"/>
                <w:sz w:val="20"/>
                <w:szCs w:val="20"/>
                <w:lang w:val="ru-RU" w:eastAsia="ru-RU" w:bidi="ar-SA"/>
              </w:rPr>
              <w:t>Согласие с требованием</w:t>
            </w:r>
          </w:p>
        </w:tc>
        <w:tc>
          <w:tcPr>
            <w:tcW w:w="2916" w:type="dxa"/>
            <w:tcBorders/>
            <w:vAlign w:val="center"/>
          </w:tcPr>
          <w:p>
            <w:pPr>
              <w:pStyle w:val="Style27"/>
              <w:keepNext w:val="false"/>
              <w:widowControl/>
              <w:numPr>
                <w:ilvl w:val="0"/>
                <w:numId w:val="0"/>
              </w:numPr>
              <w:suppressAutoHyphens w:val="true"/>
              <w:spacing w:before="0" w:after="60"/>
              <w:jc w:val="left"/>
              <w:outlineLvl w:val="2"/>
              <w:rPr>
                <w:lang w:val="ru-RU"/>
              </w:rPr>
            </w:pPr>
            <w:r>
              <w:rPr>
                <w:rFonts w:eastAsia="Times New Roman" w:cs="Times New Roman"/>
                <w:kern w:val="0"/>
                <w:sz w:val="20"/>
                <w:szCs w:val="20"/>
                <w:lang w:val="ru-RU" w:eastAsia="ru-RU" w:bidi="ar-SA"/>
              </w:rPr>
            </w:r>
          </w:p>
        </w:tc>
        <w:tc>
          <w:tcPr>
            <w:tcW w:w="2734" w:type="dxa"/>
            <w:tcBorders/>
            <w:vAlign w:val="center"/>
          </w:tcPr>
          <w:p>
            <w:pPr>
              <w:pStyle w:val="Style27"/>
              <w:keepNext w:val="false"/>
              <w:widowControl/>
              <w:numPr>
                <w:ilvl w:val="0"/>
                <w:numId w:val="0"/>
              </w:numPr>
              <w:suppressAutoHyphens w:val="true"/>
              <w:spacing w:before="0" w:after="60"/>
              <w:jc w:val="left"/>
              <w:outlineLvl w:val="2"/>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r>
    </w:tbl>
    <w:p>
      <w:pPr>
        <w:sectPr>
          <w:headerReference w:type="even" r:id="rId5"/>
          <w:headerReference w:type="default" r:id="rId6"/>
          <w:headerReference w:type="first" r:id="rId7"/>
          <w:type w:val="nextPage"/>
          <w:pgSz w:orient="landscape" w:w="16838" w:h="11906"/>
          <w:pgMar w:left="992" w:right="567" w:gutter="0" w:header="680" w:top="851" w:footer="0" w:bottom="851"/>
          <w:pgNumType w:fmt="decimal"/>
          <w:formProt w:val="false"/>
          <w:titlePg/>
          <w:textDirection w:val="lrTb"/>
          <w:docGrid w:type="default" w:linePitch="381" w:charSpace="0"/>
        </w:sectPr>
      </w:pPr>
    </w:p>
    <w:p>
      <w:pPr>
        <w:pStyle w:val="ListParagraph"/>
        <w:keepNext w:val="true"/>
        <w:keepLines/>
        <w:numPr>
          <w:ilvl w:val="0"/>
          <w:numId w:val="0"/>
        </w:numPr>
        <w:spacing w:before="120" w:after="60"/>
        <w:ind w:left="360" w:hanging="0"/>
        <w:contextualSpacing/>
        <w:jc w:val="center"/>
        <w:outlineLvl w:val="0"/>
        <w:rPr>
          <w:b/>
          <w:sz w:val="28"/>
          <w:szCs w:val="28"/>
          <w:lang w:eastAsia="x-none"/>
        </w:rPr>
      </w:pPr>
      <w:bookmarkStart w:id="33" w:name="_Toc226653406"/>
      <w:bookmarkStart w:id="34" w:name="_Toc51339699"/>
      <w:bookmarkStart w:id="35" w:name="_Toc46743519"/>
      <w:bookmarkEnd w:id="34"/>
      <w:bookmarkEnd w:id="35"/>
      <w:r>
        <w:rPr>
          <w:b/>
          <w:sz w:val="28"/>
          <w:szCs w:val="28"/>
          <w:lang w:eastAsia="x-none"/>
        </w:rPr>
        <w:t>3. Требования к документации по ценообразованию на этапе закупки</w:t>
      </w:r>
      <w:bookmarkEnd w:id="33"/>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tabs>
          <w:tab w:val="clear" w:pos="708"/>
          <w:tab w:val="left" w:pos="567" w:leader="none"/>
          <w:tab w:val="left" w:pos="993" w:leader="none"/>
          <w:tab w:val="left" w:pos="1134" w:leader="none"/>
        </w:tabs>
        <w:ind w:firstLine="709"/>
        <w:jc w:val="both"/>
        <w:rPr>
          <w:rFonts w:eastAsia="Calibri"/>
          <w:i/>
          <w:i/>
          <w:sz w:val="24"/>
          <w:szCs w:val="24"/>
          <w:lang w:eastAsia="en-US"/>
        </w:rPr>
      </w:pPr>
      <w:r>
        <w:rPr>
          <w:rFonts w:eastAsia="Calibri"/>
          <w:i/>
          <w:sz w:val="24"/>
          <w:szCs w:val="24"/>
          <w:lang w:eastAsia="en-US"/>
        </w:rPr>
        <w:t>3.1. Представить коммерческое предложение в соответствии с формой к Документации о закупке, Структура НМЦ (в формате Excel), в которой указана цена за единицу измерения. Сметная документация в состав заявки участника не включается.</w:t>
      </w:r>
    </w:p>
    <w:p>
      <w:pPr>
        <w:pStyle w:val="ListParagraph"/>
        <w:widowControl w:val="false"/>
        <w:tabs>
          <w:tab w:val="clear" w:pos="708"/>
          <w:tab w:val="left" w:pos="851" w:leader="none"/>
          <w:tab w:val="left" w:pos="1134" w:leader="none"/>
        </w:tabs>
        <w:ind w:left="0" w:firstLine="709"/>
        <w:jc w:val="both"/>
        <w:textAlignment w:val="baseline"/>
        <w:rPr>
          <w:i/>
          <w:i/>
        </w:rPr>
      </w:pPr>
      <w:r>
        <w:rPr>
          <w:i/>
          <w:lang w:eastAsia="en-US"/>
        </w:rPr>
        <w:t>3.2. Стоимость Услуг</w:t>
      </w:r>
      <w:r>
        <w:rPr>
          <w:i/>
        </w:rPr>
        <w:t xml:space="preserve"> в предложении участника указывается с учетом НДС/без НДС, стоимость услуг включает в себя: все расходы Участника, в т.ч. по уплате всех налогов и сборов, иных обязательных платежей, предусмотренных законодательством РФ. </w:t>
      </w:r>
    </w:p>
    <w:p>
      <w:pPr>
        <w:pStyle w:val="Normal"/>
        <w:tabs>
          <w:tab w:val="clear" w:pos="708"/>
          <w:tab w:val="left" w:pos="567" w:leader="none"/>
          <w:tab w:val="left" w:pos="993" w:leader="none"/>
          <w:tab w:val="left" w:pos="1134" w:leader="none"/>
        </w:tabs>
        <w:ind w:firstLine="709"/>
        <w:jc w:val="both"/>
        <w:rPr>
          <w:rFonts w:eastAsia="Calibri"/>
          <w:i/>
          <w:i/>
          <w:sz w:val="24"/>
          <w:szCs w:val="24"/>
          <w:lang w:eastAsia="en-US"/>
        </w:rPr>
      </w:pPr>
      <w:r>
        <w:rPr>
          <w:rFonts w:eastAsia="Calibri"/>
          <w:i/>
          <w:sz w:val="24"/>
          <w:szCs w:val="24"/>
          <w:lang w:eastAsia="en-US"/>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ListParagraph"/>
        <w:widowControl w:val="false"/>
        <w:tabs>
          <w:tab w:val="clear" w:pos="708"/>
          <w:tab w:val="left" w:pos="851" w:leader="none"/>
          <w:tab w:val="left" w:pos="1134" w:leader="none"/>
        </w:tabs>
        <w:ind w:left="0" w:firstLine="709"/>
        <w:jc w:val="both"/>
        <w:textAlignment w:val="baseline"/>
        <w:rPr>
          <w:b/>
          <w:bCs/>
          <w:i/>
          <w:i/>
        </w:rPr>
      </w:pPr>
      <w:r>
        <w:rPr>
          <w:b/>
          <w:bCs/>
          <w:i/>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b w:val="false"/>
          <w:bCs/>
          <w:iCs/>
          <w:sz w:val="24"/>
          <w:szCs w:val="24"/>
        </w:rPr>
      </w:pPr>
      <w:r>
        <w:rPr>
          <w:rStyle w:val="Style8"/>
          <w:b w:val="false"/>
          <w:bCs/>
          <w:i w:val="false"/>
          <w:iCs w:val="false"/>
          <w:sz w:val="24"/>
          <w:szCs w:val="24"/>
          <w:shd w:fill="auto" w:val="clear"/>
        </w:rPr>
        <w:t>Приложения:</w:t>
      </w:r>
    </w:p>
    <w:p>
      <w:pPr>
        <w:pStyle w:val="Normal"/>
        <w:widowControl w:val="false"/>
        <w:tabs>
          <w:tab w:val="clear" w:pos="708"/>
          <w:tab w:val="left" w:pos="426" w:leader="none"/>
        </w:tabs>
        <w:spacing w:before="60" w:after="0"/>
        <w:jc w:val="both"/>
        <w:rPr>
          <w:b w:val="false"/>
          <w:bCs/>
          <w:iCs/>
          <w:sz w:val="24"/>
          <w:szCs w:val="24"/>
        </w:rPr>
      </w:pPr>
      <w:r>
        <w:rPr>
          <w:rStyle w:val="Style8"/>
          <w:b w:val="false"/>
          <w:bCs/>
          <w:i w:val="false"/>
          <w:iCs w:val="false"/>
          <w:sz w:val="24"/>
          <w:szCs w:val="24"/>
          <w:shd w:fill="auto" w:val="clear"/>
        </w:rPr>
        <w:t>1. Приложение №1 - Диаметры отверстий муфт</w:t>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rPr>
          <w:lang w:eastAsia="x-none"/>
        </w:rPr>
      </w:pPr>
      <w:r>
        <w:rPr>
          <w:lang w:eastAsia="x-none"/>
        </w:rPr>
      </w:r>
    </w:p>
    <w:p>
      <w:pPr>
        <w:pStyle w:val="Normal"/>
        <w:rPr>
          <w:lang w:eastAsia="x-none"/>
        </w:rPr>
      </w:pPr>
      <w:r>
        <w:rPr>
          <w:lang w:eastAsia="x-none"/>
        </w:rPr>
      </w:r>
    </w:p>
    <w:p>
      <w:pPr>
        <w:pStyle w:val="Normal"/>
        <w:rPr>
          <w:lang w:eastAsia="x-none"/>
        </w:rPr>
      </w:pPr>
      <w:r>
        <w:rPr>
          <w:lang w:eastAsia="x-none"/>
        </w:rPr>
      </w:r>
    </w:p>
    <w:p>
      <w:pPr>
        <w:pStyle w:val="Normal"/>
        <w:spacing w:lineRule="auto" w:line="276"/>
        <w:jc w:val="both"/>
        <w:rPr>
          <w:i/>
          <w:i/>
          <w:sz w:val="24"/>
          <w:szCs w:val="24"/>
          <w:lang w:eastAsia="x-none"/>
        </w:rPr>
      </w:pPr>
      <w:r>
        <w:rPr>
          <w:i/>
          <w:sz w:val="24"/>
          <w:szCs w:val="24"/>
          <w:lang w:eastAsia="x-none"/>
        </w:rPr>
      </w:r>
    </w:p>
    <w:p>
      <w:pPr>
        <w:pStyle w:val="Normal"/>
        <w:rPr>
          <w:i/>
          <w:i/>
          <w:sz w:val="24"/>
          <w:szCs w:val="24"/>
          <w:lang w:eastAsia="x-none"/>
        </w:rPr>
      </w:pPr>
      <w:r>
        <w:rPr>
          <w:i/>
          <w:sz w:val="24"/>
          <w:szCs w:val="24"/>
          <w:lang w:eastAsia="x-none"/>
        </w:rPr>
      </w:r>
      <w:bookmarkStart w:id="36" w:name="_Toc51339699_Копия_1"/>
      <w:bookmarkStart w:id="37" w:name="_Toc46743519_Копия_1"/>
      <w:bookmarkStart w:id="38" w:name="_Toc51339699_Копия_1"/>
      <w:bookmarkStart w:id="39" w:name="_Toc46743519_Копия_1"/>
      <w:bookmarkEnd w:id="38"/>
      <w:bookmarkEnd w:id="39"/>
    </w:p>
    <w:p>
      <w:pPr>
        <w:pStyle w:val="Normal"/>
        <w:tabs>
          <w:tab w:val="clear" w:pos="708"/>
          <w:tab w:val="left" w:pos="0" w:leader="none"/>
        </w:tabs>
        <w:spacing w:lineRule="auto" w:line="256" w:before="0" w:after="160"/>
        <w:rPr>
          <w:i/>
          <w:i/>
          <w:sz w:val="24"/>
          <w:szCs w:val="24"/>
        </w:rPr>
      </w:pPr>
      <w:r>
        <w:rPr>
          <w:i/>
          <w:sz w:val="24"/>
          <w:szCs w:val="24"/>
        </w:rPr>
        <w:t xml:space="preserve">                                                                                  </w:t>
      </w:r>
    </w:p>
    <w:p>
      <w:pPr>
        <w:pStyle w:val="Normal"/>
        <w:tabs>
          <w:tab w:val="clear" w:pos="708"/>
          <w:tab w:val="left" w:pos="0" w:leader="none"/>
        </w:tabs>
        <w:spacing w:lineRule="auto" w:line="256" w:before="0" w:after="160"/>
        <w:rPr>
          <w:i/>
          <w:i/>
          <w:sz w:val="24"/>
          <w:szCs w:val="24"/>
        </w:rPr>
      </w:pPr>
      <w:r>
        <w:rPr/>
      </w:r>
    </w:p>
    <w:sectPr>
      <w:headerReference w:type="even" r:id="rId8"/>
      <w:headerReference w:type="default" r:id="rId9"/>
      <w:headerReference w:type="first" r:id="rId10"/>
      <w:type w:val="nextPage"/>
      <w:pgSz w:w="11906" w:h="16838"/>
      <w:pgMar w:left="1134" w:right="851" w:gutter="0" w:header="680" w:top="1134" w:footer="0" w:bottom="992"/>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9</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11</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418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eastAsia="Calibri" w:cs="Calibri Light (Заголовки)"/>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1000" w:hanging="432"/>
      </w:pPr>
      <w:rPr>
        <w:sz w:val="24"/>
        <w:b/>
        <w:szCs w:val="24"/>
        <w:bCs w:val="false"/>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3"/>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zh-TW"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c6c45"/>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rsid w:val="00353a27"/>
    <w:pPr>
      <w:ind w:left="5038" w:hanging="0"/>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Pagenumber">
    <w:name w:val="page number"/>
    <w:basedOn w:val="DefaultParagraphFont"/>
    <w:qFormat/>
    <w:rsid w:val="006c2f3f"/>
    <w:rPr/>
  </w:style>
  <w:style w:type="character" w:styleId="Hyperlink">
    <w:name w:val="Hyperlink"/>
    <w:uiPriority w:val="99"/>
    <w:rsid w:val="006c2f3f"/>
    <w:rPr>
      <w:color w:val="0000FF"/>
      <w:u w:val="single"/>
    </w:rPr>
  </w:style>
  <w:style w:type="character" w:styleId="Annotationreference">
    <w:name w:val="annotation reference"/>
    <w:semiHidden/>
    <w:qFormat/>
    <w:rsid w:val="00b714b0"/>
    <w:rPr>
      <w:sz w:val="16"/>
      <w:szCs w:val="16"/>
    </w:rPr>
  </w:style>
  <w:style w:type="character" w:styleId="Strong">
    <w:name w:val="Strong"/>
    <w:uiPriority w:val="22"/>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5"/>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1" w:customStyle="1">
    <w:name w:val="Подпункт Знак1"/>
    <w:link w:val="Style21"/>
    <w:qFormat/>
    <w:locked/>
    <w:rsid w:val="00d22f6d"/>
    <w:rPr>
      <w:sz w:val="28"/>
    </w:rPr>
  </w:style>
  <w:style w:type="character" w:styleId="Style5" w:customStyle="1">
    <w:name w:val="Текст сноски Знак"/>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29"/>
    <w:qFormat/>
    <w:locked/>
    <w:rsid w:val="0025139e"/>
    <w:rPr>
      <w:sz w:val="26"/>
      <w:szCs w:val="26"/>
    </w:rPr>
  </w:style>
  <w:style w:type="character" w:styleId="31" w:customStyle="1">
    <w:name w:val="УРОВЕНЬ_Абзац_тип3 Знак"/>
    <w:link w:val="35"/>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uiPriority w:val="99"/>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22" w:customStyle="1">
    <w:name w:val="Пункт2 Знак"/>
    <w:link w:val="25"/>
    <w:qFormat/>
    <w:rsid w:val="00de52bc"/>
    <w:rPr>
      <w:b/>
      <w:sz w:val="28"/>
    </w:rPr>
  </w:style>
  <w:style w:type="character" w:styleId="12" w:customStyle="1">
    <w:name w:val="УРОВЕНЬ_1. Знак"/>
    <w:link w:val="19"/>
    <w:qFormat/>
    <w:rsid w:val="004a17ae"/>
    <w:rPr>
      <w:rFonts w:eastAsia="Calibri"/>
      <w:caps/>
      <w:sz w:val="28"/>
      <w:szCs w:val="28"/>
      <w:lang w:eastAsia="en-US"/>
    </w:rPr>
  </w:style>
  <w:style w:type="character" w:styleId="61" w:customStyle="1">
    <w:name w:val="Основной текст (6) + Не полужирный"/>
    <w:basedOn w:val="DefaultParagraphFont"/>
    <w:qFormat/>
    <w:rsid w:val="004e09b4"/>
    <w:rPr>
      <w:b/>
      <w:bCs/>
      <w:color w:val="000000"/>
      <w:spacing w:val="0"/>
      <w:w w:val="100"/>
      <w:sz w:val="24"/>
      <w:szCs w:val="24"/>
      <w:shd w:fill="FFFFFF" w:val="clear"/>
      <w:lang w:val="ru-RU" w:eastAsia="ru-RU" w:bidi="ru-RU"/>
    </w:rPr>
  </w:style>
  <w:style w:type="character" w:styleId="23" w:customStyle="1">
    <w:name w:val="Основной текст (2)"/>
    <w:basedOn w:val="DefaultParagraphFont"/>
    <w:qFormat/>
    <w:rsid w:val="008f7c1e"/>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13" w:customStyle="1">
    <w:name w:val="Неразрешенное упоминание1"/>
    <w:basedOn w:val="DefaultParagraphFont"/>
    <w:uiPriority w:val="99"/>
    <w:semiHidden/>
    <w:unhideWhenUsed/>
    <w:qFormat/>
    <w:rsid w:val="00b6398c"/>
    <w:rPr>
      <w:color w:val="605E5C"/>
      <w:shd w:fill="E1DFDD" w:val="clear"/>
    </w:rPr>
  </w:style>
  <w:style w:type="character" w:styleId="Style14" w:customStyle="1">
    <w:name w:val="Ссылка указателя"/>
    <w:qFormat/>
    <w:rPr/>
  </w:style>
  <w:style w:type="paragraph" w:styleId="Style15" w:customStyle="1">
    <w:name w:val="Заголовок"/>
    <w:basedOn w:val="Normal"/>
    <w:next w:val="BodyText"/>
    <w:qFormat/>
    <w:pPr>
      <w:keepNext w:val="true"/>
      <w:spacing w:before="240" w:after="120"/>
    </w:pPr>
    <w:rPr>
      <w:rFonts w:ascii="Liberation Sans" w:hAnsi="Liberation Sans" w:eastAsia="Noto Sans CJK SC" w:cs="Lohit Devanagari"/>
    </w:rPr>
  </w:style>
  <w:style w:type="paragraph" w:styleId="BodyText">
    <w:name w:val="Body Text"/>
    <w:basedOn w:val="Normal"/>
    <w:link w:val="Style6"/>
    <w:rsid w:val="0076353a"/>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Arial Unicode MS"/>
      <w:i/>
      <w:iCs/>
      <w:sz w:val="24"/>
      <w:szCs w:val="24"/>
    </w:rPr>
  </w:style>
  <w:style w:type="paragraph" w:styleId="Style16" w:customStyle="1">
    <w:name w:val="Указатель"/>
    <w:basedOn w:val="Normal"/>
    <w:qFormat/>
    <w:pPr>
      <w:suppressLineNumbers/>
    </w:pPr>
    <w:rPr>
      <w:rFonts w:cs="Lohit Devanagari"/>
    </w:rPr>
  </w:style>
  <w:style w:type="paragraph" w:styleId="Title">
    <w:name w:val="Title"/>
    <w:basedOn w:val="Normal"/>
    <w:next w:val="BodyText"/>
    <w:qFormat/>
    <w:pPr>
      <w:keepNext w:val="true"/>
      <w:spacing w:before="240" w:after="120"/>
    </w:pPr>
    <w:rPr>
      <w:rFonts w:ascii="Liberation Sans" w:hAnsi="Liberation Sans" w:eastAsia="Noto Sans CJK SC" w:cs="Lohit Devanagari"/>
    </w:rPr>
  </w:style>
  <w:style w:type="paragraph" w:styleId="Caption1">
    <w:name w:val="caption1"/>
    <w:basedOn w:val="Normal"/>
    <w:next w:val="Normal"/>
    <w:uiPriority w:val="35"/>
    <w:qFormat/>
    <w:rsid w:val="00d22f6d"/>
    <w:pPr/>
    <w:rPr>
      <w:rFonts w:eastAsia="Calibri"/>
      <w:b/>
      <w:bCs/>
      <w:color w:val="4F81BD"/>
      <w:sz w:val="18"/>
      <w:szCs w:val="18"/>
    </w:rPr>
  </w:style>
  <w:style w:type="paragraph" w:styleId="Indexheading1">
    <w:name w:val="index heading1"/>
    <w:basedOn w:val="Style15"/>
    <w:qFormat/>
    <w:pPr/>
    <w:rPr/>
  </w:style>
  <w:style w:type="paragraph" w:styleId="Style17" w:customStyle="1">
    <w:name w:val="Название раздела инструкции"/>
    <w:basedOn w:val="Normal"/>
    <w:autoRedefine/>
    <w:qFormat/>
    <w:rsid w:val="00275328"/>
    <w:pPr>
      <w:jc w:val="center"/>
    </w:pPr>
    <w:rPr>
      <w:b/>
    </w:rPr>
  </w:style>
  <w:style w:type="paragraph" w:styleId="Style18"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rsid w:val="00d561d9"/>
    <w:pPr/>
    <w:rPr>
      <w:sz w:val="20"/>
      <w:szCs w:val="20"/>
    </w:rPr>
  </w:style>
  <w:style w:type="paragraph" w:styleId="14"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4"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2"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5" w:customStyle="1">
    <w:name w:val="Название1"/>
    <w:basedOn w:val="Normal"/>
    <w:link w:val="Style1"/>
    <w:uiPriority w:val="10"/>
    <w:qFormat/>
    <w:rsid w:val="00bd4014"/>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uiPriority w:val="99"/>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1" w:customStyle="1">
    <w:name w:val="Подпункт"/>
    <w:basedOn w:val="Normal"/>
    <w:link w:val="11"/>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5"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c517de"/>
    <w:pPr>
      <w:spacing w:before="120" w:after="0"/>
    </w:pPr>
    <w:rPr>
      <w:rFonts w:cs="Calibri Light (Заголовки)"/>
      <w:b/>
      <w:bCs/>
      <w:sz w:val="24"/>
      <w:szCs w:val="24"/>
    </w:rPr>
  </w:style>
  <w:style w:type="paragraph" w:styleId="TOC3">
    <w:name w:val="TOC 3"/>
    <w:basedOn w:val="Normal"/>
    <w:next w:val="Normal"/>
    <w:autoRedefine/>
    <w:uiPriority w:val="39"/>
    <w:rsid w:val="006b6b70"/>
    <w:pPr>
      <w:ind w:left="280" w:hanging="0"/>
    </w:pPr>
    <w:rPr>
      <w:rFonts w:cs="Calibri" w:cstheme="minorHAnsi"/>
      <w:sz w:val="20"/>
      <w:szCs w:val="20"/>
    </w:rPr>
  </w:style>
  <w:style w:type="paragraph" w:styleId="Style22" w:customStyle="1">
    <w:name w:val="Раздел регламента"/>
    <w:basedOn w:val="Normal"/>
    <w:qFormat/>
    <w:rsid w:val="00e228fa"/>
    <w:pPr/>
    <w:rPr/>
  </w:style>
  <w:style w:type="paragraph" w:styleId="Style23"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693883"/>
    <w:pPr>
      <w:spacing w:before="240" w:after="0"/>
    </w:pPr>
    <w:rPr>
      <w:rFonts w:cs="Calibri" w:cstheme="minorHAnsi"/>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uiPriority w:val="99"/>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6"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uiPriority w:val="39"/>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uiPriority w:val="39"/>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6b6b70"/>
    <w:pPr>
      <w:tabs>
        <w:tab w:val="clear" w:pos="708"/>
        <w:tab w:val="left" w:pos="1120" w:leader="none"/>
        <w:tab w:val="right" w:pos="9911" w:leader="none"/>
      </w:tabs>
      <w:ind w:left="560" w:hanging="0"/>
    </w:pPr>
    <w:rPr>
      <w:rFonts w:cs="Calibri" w:cstheme="minorHAnsi"/>
      <w:sz w:val="20"/>
      <w:szCs w:val="20"/>
    </w:rPr>
  </w:style>
  <w:style w:type="paragraph" w:styleId="26" w:customStyle="1">
    <w:name w:val="Раздел положения 2"/>
    <w:basedOn w:val="Normal"/>
    <w:qFormat/>
    <w:rsid w:val="002c1e0e"/>
    <w:pPr>
      <w:pageBreakBefore/>
      <w:jc w:val="both"/>
      <w:outlineLvl w:val="0"/>
    </w:pPr>
    <w:rPr>
      <w:b/>
    </w:rPr>
  </w:style>
  <w:style w:type="paragraph" w:styleId="Style24"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5"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3"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List3" w:customStyle="1">
    <w:name w:val="List 3"/>
    <w:basedOn w:val="Normal"/>
    <w:qFormat/>
    <w:rsid w:val="00d22f6d"/>
    <w:pPr>
      <w:numPr>
        <w:ilvl w:val="0"/>
        <w:numId w:val="2"/>
      </w:numPr>
      <w:spacing w:before="120" w:after="0"/>
      <w:jc w:val="both"/>
    </w:pPr>
    <w:rPr>
      <w:rFonts w:ascii="Garamond" w:hAnsi="Garamond"/>
      <w:sz w:val="24"/>
      <w:szCs w:val="20"/>
    </w:rPr>
  </w:style>
  <w:style w:type="paragraph" w:styleId="27"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eastAsia="Calibri" w:ascii="Times New Roman" w:hAnsi="Times New Roman"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34"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7"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rsid w:val="00f64089"/>
    <w:pPr>
      <w:keepNext w:val="true"/>
      <w:spacing w:before="40" w:after="40"/>
      <w:ind w:left="57" w:right="57" w:hanging="0"/>
    </w:pPr>
    <w:rPr>
      <w:sz w:val="22"/>
      <w:szCs w:val="26"/>
    </w:rPr>
  </w:style>
  <w:style w:type="paragraph" w:styleId="Style29" w:customStyle="1">
    <w:name w:val="Подподпункт"/>
    <w:basedOn w:val="Style21"/>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8"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5"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8"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9"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9" w:customStyle="1">
    <w:name w:val="УРОВЕНЬ_1."/>
    <w:basedOn w:val="ListParagraph"/>
    <w:link w:val="12"/>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iPriority w:val="39"/>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iPriority w:val="39"/>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iPriority w:val="39"/>
    <w:unhideWhenUsed/>
    <w:rsid w:val="00d849aa"/>
    <w:pPr>
      <w:ind w:left="1680" w:hanging="0"/>
    </w:pPr>
    <w:rPr>
      <w:rFonts w:ascii="Calibri" w:hAnsi="Calibri" w:cs="Calibri" w:asciiTheme="minorHAnsi" w:cstheme="minorHAnsi" w:hAnsiTheme="minorHAnsi"/>
      <w:sz w:val="20"/>
      <w:szCs w:val="20"/>
    </w:rPr>
  </w:style>
  <w:style w:type="paragraph" w:styleId="Style33" w:customStyle="1">
    <w:name w:val="[РГ] Текст"/>
    <w:basedOn w:val="Normal"/>
    <w:qFormat/>
    <w:rsid w:val="00a33675"/>
    <w:pPr>
      <w:spacing w:before="120" w:after="0"/>
      <w:jc w:val="both"/>
    </w:pPr>
    <w:rPr>
      <w:rFonts w:cs="Times New Roman (???????? ?????"/>
      <w:color w:val="000000"/>
      <w:sz w:val="26"/>
      <w:szCs w:val="24"/>
      <w:lang w:eastAsia="en-US"/>
    </w:rPr>
  </w:style>
  <w:style w:type="paragraph" w:styleId="Xl53" w:customStyle="1">
    <w:name w:val="xl53"/>
    <w:basedOn w:val="Normal"/>
    <w:qFormat/>
    <w:rsid w:val="00772d19"/>
    <w:pPr>
      <w:pBdr>
        <w:left w:val="single" w:sz="4" w:space="0" w:color="000000"/>
      </w:pBdr>
      <w:spacing w:beforeAutospacing="1" w:afterAutospacing="1"/>
      <w:jc w:val="center"/>
    </w:pPr>
    <w:rPr>
      <w:rFonts w:ascii="Arial Unicode MS" w:hAnsi="Arial Unicode MS" w:eastAsia="Arial Unicode MS" w:cs="Arial Unicode MS"/>
      <w:sz w:val="24"/>
      <w:szCs w:val="24"/>
    </w:rPr>
  </w:style>
  <w:style w:type="paragraph" w:styleId="Big" w:customStyle="1">
    <w:name w:val="big"/>
    <w:basedOn w:val="Normal"/>
    <w:qFormat/>
    <w:rsid w:val="0083741f"/>
    <w:pPr>
      <w:spacing w:beforeAutospacing="1" w:afterAutospacing="1"/>
    </w:pPr>
    <w:rPr>
      <w:sz w:val="24"/>
      <w:szCs w:val="24"/>
    </w:rPr>
  </w:style>
  <w:style w:type="paragraph" w:styleId="Default" w:customStyle="1">
    <w:name w:val="Default"/>
    <w:qFormat/>
    <w:rsid w:val="00677f84"/>
    <w:pPr>
      <w:widowControl/>
      <w:suppressAutoHyphens w:val="true"/>
      <w:bidi w:val="0"/>
      <w:spacing w:before="0" w:after="0"/>
      <w:jc w:val="left"/>
    </w:pPr>
    <w:rPr>
      <w:rFonts w:ascii="Calibri" w:hAnsi="Calibri" w:cs="Calibri" w:eastAsia="Times New Roman"/>
      <w:color w:val="000000"/>
      <w:kern w:val="0"/>
      <w:sz w:val="24"/>
      <w:szCs w:val="24"/>
      <w:lang w:val="ru-RU" w:eastAsia="ru-RU" w:bidi="ar-SA"/>
    </w:rPr>
  </w:style>
  <w:style w:type="paragraph" w:styleId="Style34" w:customStyle="1">
    <w:name w:val="Содержимое врезки"/>
    <w:basedOn w:val="Normal"/>
    <w:qFormat/>
    <w:pPr/>
    <w:rPr/>
  </w:style>
  <w:style w:type="paragraph" w:styleId="Style35" w:customStyle="1">
    <w:name w:val="Верхний колонтитул слева"/>
    <w:basedOn w:val="Header"/>
    <w:qFormat/>
    <w:pPr/>
    <w:rPr/>
  </w:style>
  <w:style w:type="numbering" w:styleId="NoList" w:default="1">
    <w:name w:val="No List"/>
    <w:uiPriority w:val="99"/>
    <w:semiHidden/>
    <w:unhideWhenUsed/>
    <w:qFormat/>
  </w:style>
  <w:style w:type="numbering" w:styleId="Style36" w:customStyle="1">
    <w:name w:val="Без списка"/>
    <w:uiPriority w:val="99"/>
    <w:semiHidden/>
    <w:unhideWhenUsed/>
    <w:qFormat/>
  </w:style>
  <w:style w:type="numbering" w:styleId="110" w:customStyle="1">
    <w:name w:val="Стиль1"/>
    <w:uiPriority w:val="99"/>
    <w:qFormat/>
    <w:rsid w:val="00f001e4"/>
  </w:style>
  <w:style w:type="numbering" w:styleId="210"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fff5">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d">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7F8F6-592A-493D-A8CC-3E95C79EB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3007</TotalTime>
  <Application>AlterOffice/3.4.0.9$Linux_X86_64 LibreOffice_project/b8daf9e823b1a5463a2f48435ddc2e8696e7d4fc</Application>
  <AppVersion>15.0000</AppVersion>
  <Pages>10</Pages>
  <Words>1265</Words>
  <Characters>8906</Characters>
  <CharactersWithSpaces>10092</CharactersWithSpaces>
  <Paragraphs>183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2026-05-09T11:09:00Z</dcterms:created>
  <dc:creator>Быстров Олег Геннадьевич</dc:creator>
  <dc:description/>
  <dc:language>ru-RU</dc:language>
  <cp:lastModifiedBy>efremovas</cp:lastModifiedBy>
  <cp:lastPrinted>2025-08-16T02:00:00Z</cp:lastPrinted>
  <dcterms:modified xsi:type="dcterms:W3CDTF">2026-08-19T16:28:30Z</dcterms:modified>
  <cp:revision>6</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