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header9.xml" ContentType="application/vnd.openxmlformats-officedocument.wordprocessingml.header+xml"/>
  <Override PartName="/word/header8.xml" ContentType="application/vnd.openxmlformats-officedocument.wordprocessingml.header+xml"/>
  <Override PartName="/word/media/image1.wmf" ContentType="image/x-wmf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1985" w:leader="none"/>
        </w:tabs>
        <w:spacing w:lineRule="auto" w:line="360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spacing w:lineRule="auto" w:line="276" w:before="0" w:after="200"/>
        <w:jc w:val="right"/>
        <w:rPr>
          <w:sz w:val="24"/>
          <w:szCs w:val="24"/>
        </w:rPr>
      </w:pPr>
      <w:r>
        <w:rPr>
          <w:rFonts w:eastAsia="Calibri"/>
          <w:sz w:val="24"/>
          <w:szCs w:val="24"/>
          <w:lang w:eastAsia="en-US"/>
        </w:rPr>
        <w:t>Приложение №1 к Запросу ТКП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Технические требования на оказание услуг</w:t>
        <w:br/>
      </w:r>
      <w:r>
        <w:rPr>
          <w:b/>
          <w:sz w:val="24"/>
          <w:szCs w:val="24"/>
        </w:rPr>
        <w:t>ОКПД 2: 45.20.21.223 Услуги шиномонтажа в г. Петропавловск-Камчатский для нужд Камчатского филиала АО "ТК РусГидро"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>Лот №2068-ЭКСП ПРОД-202</w:t>
      </w:r>
      <w:r>
        <w:rPr>
          <w:rFonts w:eastAsia="Calibri"/>
          <w:b/>
          <w:sz w:val="24"/>
          <w:szCs w:val="24"/>
        </w:rPr>
        <w:t>7</w:t>
      </w:r>
      <w:r>
        <w:rPr>
          <w:rFonts w:eastAsia="Calibri"/>
          <w:b/>
          <w:sz w:val="24"/>
          <w:szCs w:val="24"/>
        </w:rPr>
        <w:t>-ТК-КФ</w:t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</w:t>
      </w:r>
    </w:p>
    <w:tbl>
      <w:tblPr>
        <w:tblStyle w:val="affff8"/>
        <w:tblW w:w="991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56"/>
        <w:gridCol w:w="8315"/>
        <w:gridCol w:w="840"/>
      </w:tblGrid>
      <w:tr>
        <w:trPr>
          <w:trHeight w:val="284" w:hRule="atLeast"/>
        </w:trPr>
        <w:tc>
          <w:tcPr>
            <w:tcW w:w="756" w:type="dxa"/>
            <w:tcBorders/>
          </w:tcPr>
          <w:p>
            <w:pPr>
              <w:pStyle w:val="Heading2"/>
              <w:widowControl/>
              <w:numPr>
                <w:ilvl w:val="0"/>
              </w:numPr>
              <w:spacing w:before="120" w:after="60"/>
              <w:ind w:left="0" w:hanging="0"/>
              <w:rPr>
                <w:lang w:val="ru-RU"/>
              </w:rPr>
            </w:pPr>
            <w:r>
              <w:rPr>
                <w:rFonts w:cs="Times New Roman"/>
                <w:kern w:val="0"/>
                <w:lang w:val="ru-RU" w:bidi="ar-SA"/>
              </w:rPr>
              <w:t>1.</w:t>
            </w:r>
          </w:p>
        </w:tc>
        <w:tc>
          <w:tcPr>
            <w:tcW w:w="8315" w:type="dxa"/>
            <w:tcBorders/>
          </w:tcPr>
          <w:p>
            <w:pPr>
              <w:pStyle w:val="Heading2"/>
              <w:widowControl/>
              <w:numPr>
                <w:ilvl w:val="0"/>
              </w:numPr>
              <w:spacing w:before="120" w:after="60"/>
              <w:ind w:left="0" w:hanging="0"/>
              <w:rPr>
                <w:lang w:val="ru-RU"/>
              </w:rPr>
            </w:pPr>
            <w:r>
              <w:rPr>
                <w:rFonts w:cs="Times New Roman"/>
                <w:kern w:val="0"/>
                <w:lang w:bidi="ar-SA"/>
              </w:rPr>
              <w:t>Общие сведения</w:t>
            </w:r>
            <w:r>
              <w:rPr>
                <w:rFonts w:cs="Times New Roman"/>
                <w:kern w:val="0"/>
                <w:lang w:val="ru-RU" w:bidi="ar-SA"/>
              </w:rPr>
              <w:t>…………………………………………………………………….</w:t>
            </w:r>
          </w:p>
        </w:tc>
        <w:tc>
          <w:tcPr>
            <w:tcW w:w="840" w:type="dxa"/>
            <w:tcBorders/>
          </w:tcPr>
          <w:p>
            <w:pPr>
              <w:pStyle w:val="Heading2"/>
              <w:widowControl/>
              <w:numPr>
                <w:ilvl w:val="0"/>
              </w:numPr>
              <w:spacing w:before="120" w:after="60"/>
              <w:ind w:left="0" w:hanging="0"/>
              <w:rPr>
                <w:b w:val="false"/>
                <w:lang w:val="ru-RU"/>
              </w:rPr>
            </w:pPr>
            <w:r>
              <w:rPr>
                <w:rFonts w:cs="Times New Roman"/>
                <w:b w:val="false"/>
                <w:kern w:val="0"/>
                <w:lang w:val="ru-RU" w:bidi="ar-SA"/>
              </w:rPr>
              <w:t>3</w:t>
            </w:r>
          </w:p>
        </w:tc>
      </w:tr>
      <w:tr>
        <w:trPr>
          <w:trHeight w:val="284" w:hRule="atLeast"/>
        </w:trPr>
        <w:tc>
          <w:tcPr>
            <w:tcW w:w="756" w:type="dxa"/>
            <w:tcBorders/>
          </w:tcPr>
          <w:p>
            <w:pPr>
              <w:pStyle w:val="Heading2"/>
              <w:widowControl/>
              <w:numPr>
                <w:ilvl w:val="0"/>
              </w:numPr>
              <w:spacing w:before="120" w:after="60"/>
              <w:ind w:left="0" w:hanging="0"/>
              <w:rPr>
                <w:b w:val="false"/>
                <w:lang w:val="ru-RU"/>
              </w:rPr>
            </w:pPr>
            <w:r>
              <w:rPr>
                <w:rFonts w:cs="Times New Roman"/>
                <w:b w:val="false"/>
                <w:kern w:val="0"/>
                <w:lang w:val="ru-RU" w:bidi="ar-SA"/>
              </w:rPr>
              <w:t>1.1.</w:t>
            </w:r>
          </w:p>
        </w:tc>
        <w:tc>
          <w:tcPr>
            <w:tcW w:w="8315" w:type="dxa"/>
            <w:tcBorders/>
          </w:tcPr>
          <w:p>
            <w:pPr>
              <w:pStyle w:val="Heading2"/>
              <w:widowControl/>
              <w:numPr>
                <w:ilvl w:val="0"/>
              </w:numPr>
              <w:spacing w:before="120" w:after="60"/>
              <w:ind w:left="0" w:hanging="0"/>
              <w:rPr>
                <w:b w:val="false"/>
                <w:lang w:val="ru-RU"/>
              </w:rPr>
            </w:pPr>
            <w:r>
              <w:rPr>
                <w:rFonts w:cs="Times New Roman"/>
                <w:b w:val="false"/>
                <w:kern w:val="0"/>
                <w:lang w:bidi="ar-SA"/>
              </w:rPr>
              <w:t>Обозначения и сокращения</w:t>
            </w:r>
            <w:r>
              <w:rPr>
                <w:rFonts w:cs="Times New Roman"/>
                <w:b w:val="false"/>
                <w:kern w:val="0"/>
                <w:lang w:val="ru-RU" w:bidi="ar-SA"/>
              </w:rPr>
              <w:t>…………………………………………………………</w:t>
            </w:r>
          </w:p>
        </w:tc>
        <w:tc>
          <w:tcPr>
            <w:tcW w:w="840" w:type="dxa"/>
            <w:tcBorders/>
          </w:tcPr>
          <w:p>
            <w:pPr>
              <w:pStyle w:val="Heading2"/>
              <w:widowControl/>
              <w:numPr>
                <w:ilvl w:val="0"/>
              </w:numPr>
              <w:spacing w:before="120" w:after="60"/>
              <w:ind w:left="0" w:hanging="0"/>
              <w:rPr>
                <w:b w:val="false"/>
                <w:lang w:val="ru-RU"/>
              </w:rPr>
            </w:pPr>
            <w:r>
              <w:rPr>
                <w:rFonts w:cs="Times New Roman"/>
                <w:b w:val="false"/>
                <w:kern w:val="0"/>
                <w:lang w:val="ru-RU" w:bidi="ar-SA"/>
              </w:rPr>
              <w:t>3</w:t>
            </w:r>
          </w:p>
        </w:tc>
      </w:tr>
      <w:tr>
        <w:trPr>
          <w:trHeight w:val="284" w:hRule="atLeast"/>
        </w:trPr>
        <w:tc>
          <w:tcPr>
            <w:tcW w:w="756" w:type="dxa"/>
            <w:tcBorders/>
          </w:tcPr>
          <w:p>
            <w:pPr>
              <w:pStyle w:val="Heading2"/>
              <w:widowControl/>
              <w:numPr>
                <w:ilvl w:val="0"/>
              </w:numPr>
              <w:spacing w:before="120" w:after="60"/>
              <w:ind w:left="0" w:hanging="0"/>
              <w:rPr>
                <w:b w:val="false"/>
                <w:lang w:val="ru-RU"/>
              </w:rPr>
            </w:pPr>
            <w:r>
              <w:rPr>
                <w:rFonts w:cs="Times New Roman"/>
                <w:b w:val="false"/>
                <w:kern w:val="0"/>
                <w:lang w:val="ru-RU" w:bidi="ar-SA"/>
              </w:rPr>
              <w:t>1.2.</w:t>
            </w:r>
          </w:p>
        </w:tc>
        <w:tc>
          <w:tcPr>
            <w:tcW w:w="8315" w:type="dxa"/>
            <w:tcBorders/>
          </w:tcPr>
          <w:p>
            <w:pPr>
              <w:pStyle w:val="Heading2"/>
              <w:widowControl/>
              <w:numPr>
                <w:ilvl w:val="0"/>
              </w:numPr>
              <w:spacing w:before="120" w:after="60"/>
              <w:ind w:left="0" w:hanging="0"/>
              <w:rPr>
                <w:b w:val="false"/>
                <w:lang w:val="ru-RU"/>
              </w:rPr>
            </w:pPr>
            <w:r>
              <w:rPr>
                <w:rFonts w:cs="Times New Roman"/>
                <w:b w:val="false"/>
                <w:kern w:val="0"/>
                <w:lang w:bidi="ar-SA"/>
              </w:rPr>
              <w:t xml:space="preserve">Наименование оказываемых услуг </w:t>
            </w:r>
            <w:r>
              <w:rPr>
                <w:rFonts w:cs="Times New Roman"/>
                <w:b w:val="false"/>
                <w:kern w:val="0"/>
                <w:lang w:val="ru-RU" w:bidi="ar-SA"/>
              </w:rPr>
              <w:t>……………………………………………..</w:t>
            </w:r>
          </w:p>
        </w:tc>
        <w:tc>
          <w:tcPr>
            <w:tcW w:w="840" w:type="dxa"/>
            <w:tcBorders/>
          </w:tcPr>
          <w:p>
            <w:pPr>
              <w:pStyle w:val="Heading2"/>
              <w:widowControl/>
              <w:numPr>
                <w:ilvl w:val="0"/>
              </w:numPr>
              <w:spacing w:before="120" w:after="60"/>
              <w:ind w:left="0" w:hanging="0"/>
              <w:rPr>
                <w:b w:val="false"/>
                <w:lang w:val="ru-RU"/>
              </w:rPr>
            </w:pPr>
            <w:r>
              <w:rPr>
                <w:rFonts w:cs="Times New Roman"/>
                <w:b w:val="false"/>
                <w:kern w:val="0"/>
                <w:lang w:val="ru-RU" w:bidi="ar-SA"/>
              </w:rPr>
              <w:t>3</w:t>
            </w:r>
          </w:p>
        </w:tc>
      </w:tr>
      <w:tr>
        <w:trPr>
          <w:trHeight w:val="284" w:hRule="atLeast"/>
        </w:trPr>
        <w:tc>
          <w:tcPr>
            <w:tcW w:w="756" w:type="dxa"/>
            <w:tcBorders/>
          </w:tcPr>
          <w:p>
            <w:pPr>
              <w:pStyle w:val="Heading2"/>
              <w:widowControl/>
              <w:numPr>
                <w:ilvl w:val="0"/>
              </w:numPr>
              <w:spacing w:before="120" w:after="60"/>
              <w:ind w:left="0" w:hanging="0"/>
              <w:rPr>
                <w:b w:val="false"/>
              </w:rPr>
            </w:pPr>
            <w:r>
              <w:rPr>
                <w:rFonts w:cs="Times New Roman"/>
                <w:b w:val="false"/>
                <w:kern w:val="0"/>
                <w:lang w:bidi="ar-SA"/>
              </w:rPr>
            </w:r>
          </w:p>
        </w:tc>
        <w:tc>
          <w:tcPr>
            <w:tcW w:w="8315" w:type="dxa"/>
            <w:tcBorders/>
          </w:tcPr>
          <w:p>
            <w:pPr>
              <w:pStyle w:val="Heading2"/>
              <w:widowControl/>
              <w:numPr>
                <w:ilvl w:val="0"/>
              </w:numPr>
              <w:spacing w:before="120" w:after="60"/>
              <w:ind w:left="0" w:hanging="0"/>
              <w:rPr>
                <w:lang w:val="ru-RU"/>
              </w:rPr>
            </w:pPr>
            <w:r>
              <w:rPr>
                <w:rFonts w:cs="Times New Roman"/>
                <w:kern w:val="0"/>
                <w:lang w:bidi="ar-SA"/>
              </w:rPr>
              <w:t>Таблица 1. Перечень объектов заказчика</w:t>
            </w:r>
            <w:r>
              <w:rPr>
                <w:rFonts w:cs="Times New Roman"/>
                <w:kern w:val="0"/>
                <w:lang w:val="ru-RU" w:bidi="ar-SA"/>
              </w:rPr>
              <w:t>……………………………………….</w:t>
            </w:r>
          </w:p>
        </w:tc>
        <w:tc>
          <w:tcPr>
            <w:tcW w:w="840" w:type="dxa"/>
            <w:tcBorders/>
          </w:tcPr>
          <w:p>
            <w:pPr>
              <w:pStyle w:val="Heading2"/>
              <w:widowControl/>
              <w:numPr>
                <w:ilvl w:val="0"/>
              </w:numPr>
              <w:spacing w:before="120" w:after="60"/>
              <w:ind w:left="0" w:hanging="0"/>
              <w:rPr>
                <w:b w:val="false"/>
                <w:lang w:val="ru-RU"/>
              </w:rPr>
            </w:pPr>
            <w:r>
              <w:rPr>
                <w:rFonts w:cs="Times New Roman"/>
                <w:b w:val="false"/>
                <w:kern w:val="0"/>
                <w:lang w:val="ru-RU" w:bidi="ar-SA"/>
              </w:rPr>
              <w:t>3</w:t>
            </w:r>
          </w:p>
        </w:tc>
      </w:tr>
      <w:tr>
        <w:trPr>
          <w:trHeight w:val="284" w:hRule="atLeast"/>
        </w:trPr>
        <w:tc>
          <w:tcPr>
            <w:tcW w:w="756" w:type="dxa"/>
            <w:tcBorders/>
          </w:tcPr>
          <w:p>
            <w:pPr>
              <w:pStyle w:val="Heading2"/>
              <w:widowControl/>
              <w:numPr>
                <w:ilvl w:val="0"/>
              </w:numPr>
              <w:spacing w:before="120" w:after="60"/>
              <w:ind w:left="0" w:hanging="0"/>
              <w:rPr>
                <w:lang w:val="ru-RU"/>
              </w:rPr>
            </w:pPr>
            <w:r>
              <w:rPr>
                <w:rFonts w:cs="Times New Roman"/>
                <w:kern w:val="0"/>
                <w:lang w:val="ru-RU" w:bidi="ar-SA"/>
              </w:rPr>
              <w:t>2.</w:t>
            </w:r>
          </w:p>
        </w:tc>
        <w:tc>
          <w:tcPr>
            <w:tcW w:w="8315" w:type="dxa"/>
            <w:tcBorders/>
          </w:tcPr>
          <w:p>
            <w:pPr>
              <w:pStyle w:val="Heading2"/>
              <w:widowControl/>
              <w:numPr>
                <w:ilvl w:val="0"/>
              </w:numPr>
              <w:spacing w:before="120" w:after="60"/>
              <w:ind w:left="0" w:hanging="0"/>
              <w:rPr>
                <w:lang w:val="ru-RU"/>
              </w:rPr>
            </w:pPr>
            <w:r>
              <w:rPr>
                <w:rFonts w:cs="Times New Roman"/>
                <w:kern w:val="0"/>
                <w:lang w:bidi="ar-SA"/>
              </w:rPr>
              <w:t>Требования к продукции</w:t>
            </w:r>
            <w:r>
              <w:rPr>
                <w:rFonts w:cs="Times New Roman"/>
                <w:kern w:val="0"/>
                <w:lang w:val="ru-RU" w:bidi="ar-SA"/>
              </w:rPr>
              <w:t>………………………………………………………….</w:t>
            </w:r>
          </w:p>
        </w:tc>
        <w:tc>
          <w:tcPr>
            <w:tcW w:w="840" w:type="dxa"/>
            <w:tcBorders/>
          </w:tcPr>
          <w:p>
            <w:pPr>
              <w:pStyle w:val="Heading2"/>
              <w:widowControl/>
              <w:numPr>
                <w:ilvl w:val="0"/>
              </w:numPr>
              <w:spacing w:before="120" w:after="60"/>
              <w:ind w:left="0" w:hanging="0"/>
              <w:rPr>
                <w:b w:val="false"/>
                <w:lang w:val="ru-RU"/>
              </w:rPr>
            </w:pPr>
            <w:r>
              <w:rPr>
                <w:rFonts w:cs="Times New Roman"/>
                <w:b w:val="false"/>
                <w:kern w:val="0"/>
                <w:lang w:val="ru-RU" w:bidi="ar-SA"/>
              </w:rPr>
              <w:t>19</w:t>
            </w:r>
          </w:p>
        </w:tc>
      </w:tr>
      <w:tr>
        <w:trPr>
          <w:trHeight w:val="284" w:hRule="atLeast"/>
        </w:trPr>
        <w:tc>
          <w:tcPr>
            <w:tcW w:w="756" w:type="dxa"/>
            <w:tcBorders/>
          </w:tcPr>
          <w:p>
            <w:pPr>
              <w:pStyle w:val="Heading2"/>
              <w:widowControl/>
              <w:numPr>
                <w:ilvl w:val="0"/>
              </w:numPr>
              <w:spacing w:before="120" w:after="60"/>
              <w:ind w:left="0" w:hanging="0"/>
              <w:rPr>
                <w:b w:val="false"/>
                <w:lang w:val="ru-RU"/>
              </w:rPr>
            </w:pPr>
            <w:r>
              <w:rPr>
                <w:rFonts w:cs="Times New Roman"/>
                <w:b w:val="false"/>
                <w:kern w:val="0"/>
                <w:lang w:val="ru-RU" w:bidi="ar-SA"/>
              </w:rPr>
              <w:t>2.1.</w:t>
            </w:r>
          </w:p>
        </w:tc>
        <w:tc>
          <w:tcPr>
            <w:tcW w:w="8315" w:type="dxa"/>
            <w:tcBorders/>
          </w:tcPr>
          <w:p>
            <w:pPr>
              <w:pStyle w:val="Heading2"/>
              <w:widowControl/>
              <w:numPr>
                <w:ilvl w:val="0"/>
              </w:numPr>
              <w:spacing w:before="120" w:after="60"/>
              <w:ind w:left="0" w:hanging="0"/>
              <w:rPr>
                <w:b w:val="false"/>
                <w:lang w:val="ru-RU"/>
              </w:rPr>
            </w:pPr>
            <w:r>
              <w:rPr>
                <w:rFonts w:cs="Times New Roman"/>
                <w:b w:val="false"/>
                <w:kern w:val="0"/>
                <w:lang w:bidi="ar-SA"/>
              </w:rPr>
              <w:t>Требования к объемам и срокам оказания услуг</w:t>
            </w:r>
            <w:r>
              <w:rPr>
                <w:rFonts w:cs="Times New Roman"/>
                <w:b w:val="false"/>
                <w:kern w:val="0"/>
                <w:lang w:val="ru-RU" w:bidi="ar-SA"/>
              </w:rPr>
              <w:t>…………………………………...</w:t>
            </w:r>
          </w:p>
        </w:tc>
        <w:tc>
          <w:tcPr>
            <w:tcW w:w="840" w:type="dxa"/>
            <w:tcBorders/>
          </w:tcPr>
          <w:p>
            <w:pPr>
              <w:pStyle w:val="Heading2"/>
              <w:widowControl/>
              <w:numPr>
                <w:ilvl w:val="0"/>
              </w:numPr>
              <w:spacing w:before="120" w:after="60"/>
              <w:ind w:left="0" w:hanging="0"/>
              <w:rPr>
                <w:b w:val="false"/>
                <w:lang w:val="ru-RU"/>
              </w:rPr>
            </w:pPr>
            <w:r>
              <w:rPr>
                <w:rFonts w:cs="Times New Roman"/>
                <w:b w:val="false"/>
                <w:kern w:val="0"/>
                <w:lang w:val="ru-RU" w:bidi="ar-SA"/>
              </w:rPr>
              <w:t>19</w:t>
            </w:r>
          </w:p>
        </w:tc>
      </w:tr>
      <w:tr>
        <w:trPr>
          <w:trHeight w:val="284" w:hRule="atLeast"/>
        </w:trPr>
        <w:tc>
          <w:tcPr>
            <w:tcW w:w="756" w:type="dxa"/>
            <w:tcBorders/>
          </w:tcPr>
          <w:p>
            <w:pPr>
              <w:pStyle w:val="Heading2"/>
              <w:widowControl/>
              <w:numPr>
                <w:ilvl w:val="0"/>
              </w:numPr>
              <w:spacing w:before="120" w:after="60"/>
              <w:ind w:left="0" w:hanging="0"/>
              <w:rPr>
                <w:b w:val="false"/>
                <w:lang w:val="ru-RU"/>
              </w:rPr>
            </w:pPr>
            <w:r>
              <w:rPr>
                <w:rFonts w:cs="Times New Roman"/>
                <w:b w:val="false"/>
                <w:kern w:val="0"/>
                <w:lang w:val="ru-RU" w:bidi="ar-SA"/>
              </w:rPr>
              <w:t>2.1.1.</w:t>
            </w:r>
          </w:p>
        </w:tc>
        <w:tc>
          <w:tcPr>
            <w:tcW w:w="8315" w:type="dxa"/>
            <w:tcBorders/>
          </w:tcPr>
          <w:p>
            <w:pPr>
              <w:pStyle w:val="Heading2"/>
              <w:widowControl/>
              <w:numPr>
                <w:ilvl w:val="0"/>
              </w:numPr>
              <w:spacing w:before="120" w:after="60"/>
              <w:ind w:left="0" w:hanging="0"/>
              <w:rPr>
                <w:b w:val="false"/>
                <w:lang w:val="ru-RU"/>
              </w:rPr>
            </w:pPr>
            <w:r>
              <w:rPr>
                <w:rFonts w:cs="Times New Roman"/>
                <w:b w:val="false"/>
                <w:kern w:val="0"/>
                <w:lang w:bidi="ar-SA"/>
              </w:rPr>
              <w:t>Требования к перечню и объему услуг</w:t>
            </w:r>
            <w:r>
              <w:rPr>
                <w:rFonts w:cs="Times New Roman"/>
                <w:b w:val="false"/>
                <w:kern w:val="0"/>
                <w:lang w:val="ru-RU" w:bidi="ar-SA"/>
              </w:rPr>
              <w:t>…………………………………………….</w:t>
            </w:r>
          </w:p>
        </w:tc>
        <w:tc>
          <w:tcPr>
            <w:tcW w:w="840" w:type="dxa"/>
            <w:tcBorders/>
          </w:tcPr>
          <w:p>
            <w:pPr>
              <w:pStyle w:val="Heading2"/>
              <w:widowControl/>
              <w:numPr>
                <w:ilvl w:val="0"/>
              </w:numPr>
              <w:spacing w:before="120" w:after="60"/>
              <w:ind w:left="0" w:hanging="0"/>
              <w:rPr>
                <w:b w:val="false"/>
                <w:lang w:val="ru-RU"/>
              </w:rPr>
            </w:pPr>
            <w:r>
              <w:rPr>
                <w:rFonts w:cs="Times New Roman"/>
                <w:b w:val="false"/>
                <w:kern w:val="0"/>
                <w:lang w:val="ru-RU" w:bidi="ar-SA"/>
              </w:rPr>
              <w:t>19</w:t>
            </w:r>
          </w:p>
        </w:tc>
      </w:tr>
      <w:tr>
        <w:trPr>
          <w:trHeight w:val="284" w:hRule="atLeast"/>
        </w:trPr>
        <w:tc>
          <w:tcPr>
            <w:tcW w:w="756" w:type="dxa"/>
            <w:tcBorders/>
          </w:tcPr>
          <w:p>
            <w:pPr>
              <w:pStyle w:val="Heading2"/>
              <w:widowControl/>
              <w:numPr>
                <w:ilvl w:val="0"/>
              </w:numPr>
              <w:spacing w:before="120" w:after="60"/>
              <w:ind w:left="0" w:hanging="0"/>
              <w:rPr>
                <w:b w:val="false"/>
              </w:rPr>
            </w:pPr>
            <w:r>
              <w:rPr>
                <w:rFonts w:cs="Times New Roman"/>
                <w:b w:val="false"/>
                <w:kern w:val="0"/>
                <w:lang w:bidi="ar-SA"/>
              </w:rPr>
            </w:r>
          </w:p>
        </w:tc>
        <w:tc>
          <w:tcPr>
            <w:tcW w:w="8315" w:type="dxa"/>
            <w:tcBorders/>
          </w:tcPr>
          <w:p>
            <w:pPr>
              <w:pStyle w:val="Heading2"/>
              <w:widowControl/>
              <w:numPr>
                <w:ilvl w:val="0"/>
              </w:numPr>
              <w:spacing w:before="120" w:after="60"/>
              <w:ind w:left="0" w:hanging="0"/>
              <w:rPr>
                <w:lang w:val="ru-RU"/>
              </w:rPr>
            </w:pPr>
            <w:r>
              <w:rPr>
                <w:rFonts w:cs="Times New Roman"/>
                <w:kern w:val="0"/>
                <w:lang w:bidi="ar-SA"/>
              </w:rPr>
              <w:t>Таблица 2. Перечень и объем оказываемых услуг</w:t>
            </w:r>
            <w:r>
              <w:rPr>
                <w:rFonts w:cs="Times New Roman"/>
                <w:kern w:val="0"/>
                <w:lang w:val="ru-RU" w:bidi="ar-SA"/>
              </w:rPr>
              <w:t>……………………………</w:t>
            </w:r>
          </w:p>
        </w:tc>
        <w:tc>
          <w:tcPr>
            <w:tcW w:w="840" w:type="dxa"/>
            <w:tcBorders/>
          </w:tcPr>
          <w:p>
            <w:pPr>
              <w:pStyle w:val="Heading2"/>
              <w:widowControl/>
              <w:numPr>
                <w:ilvl w:val="0"/>
              </w:numPr>
              <w:spacing w:before="120" w:after="60"/>
              <w:ind w:left="0" w:hanging="0"/>
              <w:rPr>
                <w:b w:val="false"/>
                <w:lang w:val="ru-RU"/>
              </w:rPr>
            </w:pPr>
            <w:r>
              <w:rPr>
                <w:rFonts w:cs="Times New Roman"/>
                <w:b w:val="false"/>
                <w:kern w:val="0"/>
                <w:lang w:val="ru-RU" w:bidi="ar-SA"/>
              </w:rPr>
              <w:t>19</w:t>
            </w:r>
          </w:p>
        </w:tc>
      </w:tr>
      <w:tr>
        <w:trPr>
          <w:trHeight w:val="284" w:hRule="atLeast"/>
        </w:trPr>
        <w:tc>
          <w:tcPr>
            <w:tcW w:w="756" w:type="dxa"/>
            <w:tcBorders/>
          </w:tcPr>
          <w:p>
            <w:pPr>
              <w:pStyle w:val="Heading2"/>
              <w:widowControl/>
              <w:numPr>
                <w:ilvl w:val="0"/>
              </w:numPr>
              <w:spacing w:before="120" w:after="60"/>
              <w:ind w:left="0" w:hanging="0"/>
              <w:rPr>
                <w:b w:val="false"/>
                <w:lang w:val="ru-RU"/>
              </w:rPr>
            </w:pPr>
            <w:r>
              <w:rPr>
                <w:rFonts w:cs="Times New Roman"/>
                <w:b w:val="false"/>
                <w:kern w:val="0"/>
                <w:lang w:val="ru-RU" w:bidi="ar-SA"/>
              </w:rPr>
              <w:t>2.1.2.</w:t>
            </w:r>
          </w:p>
        </w:tc>
        <w:tc>
          <w:tcPr>
            <w:tcW w:w="8315" w:type="dxa"/>
            <w:tcBorders/>
          </w:tcPr>
          <w:p>
            <w:pPr>
              <w:pStyle w:val="Heading2"/>
              <w:widowControl/>
              <w:numPr>
                <w:ilvl w:val="0"/>
              </w:numPr>
              <w:spacing w:before="120" w:after="60"/>
              <w:ind w:left="0" w:hanging="0"/>
              <w:rPr>
                <w:b w:val="false"/>
                <w:lang w:val="ru-RU"/>
              </w:rPr>
            </w:pPr>
            <w:r>
              <w:rPr>
                <w:rFonts w:cs="Times New Roman"/>
                <w:b w:val="false"/>
                <w:kern w:val="0"/>
                <w:lang w:bidi="ar-SA"/>
              </w:rPr>
              <w:t>Требования к срокам оказания услуг</w:t>
            </w:r>
            <w:r>
              <w:rPr>
                <w:rFonts w:cs="Times New Roman"/>
                <w:b w:val="false"/>
                <w:kern w:val="0"/>
                <w:lang w:val="ru-RU" w:bidi="ar-SA"/>
              </w:rPr>
              <w:t>………………………………………………</w:t>
            </w:r>
          </w:p>
        </w:tc>
        <w:tc>
          <w:tcPr>
            <w:tcW w:w="840" w:type="dxa"/>
            <w:tcBorders/>
          </w:tcPr>
          <w:p>
            <w:pPr>
              <w:pStyle w:val="Heading2"/>
              <w:widowControl/>
              <w:numPr>
                <w:ilvl w:val="0"/>
              </w:numPr>
              <w:spacing w:before="120" w:after="60"/>
              <w:ind w:left="0" w:hanging="0"/>
              <w:rPr>
                <w:b w:val="false"/>
                <w:lang w:val="ru-RU"/>
              </w:rPr>
            </w:pPr>
            <w:r>
              <w:rPr>
                <w:rFonts w:cs="Times New Roman"/>
                <w:b w:val="false"/>
                <w:kern w:val="0"/>
                <w:lang w:val="ru-RU" w:bidi="ar-SA"/>
              </w:rPr>
              <w:t>20</w:t>
            </w:r>
          </w:p>
        </w:tc>
      </w:tr>
      <w:tr>
        <w:trPr>
          <w:trHeight w:val="284" w:hRule="atLeast"/>
        </w:trPr>
        <w:tc>
          <w:tcPr>
            <w:tcW w:w="756" w:type="dxa"/>
            <w:tcBorders/>
          </w:tcPr>
          <w:p>
            <w:pPr>
              <w:pStyle w:val="Heading2"/>
              <w:widowControl/>
              <w:numPr>
                <w:ilvl w:val="0"/>
              </w:numPr>
              <w:spacing w:before="120" w:after="60"/>
              <w:ind w:left="0" w:hanging="0"/>
              <w:rPr>
                <w:b w:val="false"/>
              </w:rPr>
            </w:pPr>
            <w:r>
              <w:rPr>
                <w:rFonts w:cs="Times New Roman"/>
                <w:b w:val="false"/>
                <w:kern w:val="0"/>
                <w:lang w:bidi="ar-SA"/>
              </w:rPr>
            </w:r>
          </w:p>
        </w:tc>
        <w:tc>
          <w:tcPr>
            <w:tcW w:w="8315" w:type="dxa"/>
            <w:tcBorders/>
          </w:tcPr>
          <w:p>
            <w:pPr>
              <w:pStyle w:val="Heading2"/>
              <w:widowControl/>
              <w:numPr>
                <w:ilvl w:val="0"/>
              </w:numPr>
              <w:spacing w:before="120" w:after="60"/>
              <w:ind w:left="0" w:hanging="0"/>
              <w:rPr>
                <w:lang w:val="ru-RU"/>
              </w:rPr>
            </w:pPr>
            <w:r>
              <w:rPr>
                <w:rFonts w:cs="Times New Roman"/>
                <w:kern w:val="0"/>
                <w:lang w:bidi="ar-SA"/>
              </w:rPr>
              <w:t>Таблица 3. Требования к срокам оказания услуг</w:t>
            </w:r>
            <w:r>
              <w:rPr>
                <w:rFonts w:cs="Times New Roman"/>
                <w:kern w:val="0"/>
                <w:lang w:val="ru-RU" w:bidi="ar-SA"/>
              </w:rPr>
              <w:t>………………………………</w:t>
            </w:r>
          </w:p>
        </w:tc>
        <w:tc>
          <w:tcPr>
            <w:tcW w:w="840" w:type="dxa"/>
            <w:tcBorders/>
          </w:tcPr>
          <w:p>
            <w:pPr>
              <w:pStyle w:val="Heading2"/>
              <w:widowControl/>
              <w:numPr>
                <w:ilvl w:val="0"/>
              </w:numPr>
              <w:spacing w:before="120" w:after="60"/>
              <w:ind w:left="0" w:hanging="0"/>
              <w:rPr>
                <w:b w:val="false"/>
                <w:lang w:val="ru-RU"/>
              </w:rPr>
            </w:pPr>
            <w:r>
              <w:rPr>
                <w:rFonts w:cs="Times New Roman"/>
                <w:b w:val="false"/>
                <w:kern w:val="0"/>
                <w:lang w:val="ru-RU" w:bidi="ar-SA"/>
              </w:rPr>
              <w:t>20</w:t>
            </w:r>
          </w:p>
        </w:tc>
      </w:tr>
      <w:tr>
        <w:trPr>
          <w:trHeight w:val="284" w:hRule="atLeast"/>
        </w:trPr>
        <w:tc>
          <w:tcPr>
            <w:tcW w:w="756" w:type="dxa"/>
            <w:tcBorders/>
          </w:tcPr>
          <w:p>
            <w:pPr>
              <w:pStyle w:val="Heading2"/>
              <w:widowControl/>
              <w:numPr>
                <w:ilvl w:val="0"/>
              </w:numPr>
              <w:spacing w:before="120" w:after="60"/>
              <w:ind w:left="0" w:hanging="0"/>
              <w:rPr>
                <w:b w:val="false"/>
                <w:lang w:val="ru-RU"/>
              </w:rPr>
            </w:pPr>
            <w:r>
              <w:rPr>
                <w:rFonts w:cs="Times New Roman"/>
                <w:b w:val="false"/>
                <w:kern w:val="0"/>
                <w:lang w:val="ru-RU" w:bidi="ar-SA"/>
              </w:rPr>
              <w:t>2.2.</w:t>
            </w:r>
          </w:p>
        </w:tc>
        <w:tc>
          <w:tcPr>
            <w:tcW w:w="8315" w:type="dxa"/>
            <w:tcBorders/>
          </w:tcPr>
          <w:p>
            <w:pPr>
              <w:pStyle w:val="Heading2"/>
              <w:widowControl/>
              <w:numPr>
                <w:ilvl w:val="0"/>
              </w:numPr>
              <w:spacing w:before="120" w:after="60"/>
              <w:ind w:left="0" w:hanging="0"/>
              <w:rPr>
                <w:b w:val="false"/>
                <w:lang w:val="ru-RU"/>
              </w:rPr>
            </w:pPr>
            <w:r>
              <w:rPr>
                <w:rFonts w:cs="Times New Roman"/>
                <w:b w:val="false"/>
                <w:kern w:val="0"/>
                <w:lang w:bidi="ar-SA"/>
              </w:rPr>
              <w:t>Требования к качеству услуг</w:t>
            </w:r>
            <w:r>
              <w:rPr>
                <w:rFonts w:cs="Times New Roman"/>
                <w:b w:val="false"/>
                <w:kern w:val="0"/>
                <w:lang w:val="ru-RU" w:bidi="ar-SA"/>
              </w:rPr>
              <w:t>………………………………………………………..</w:t>
            </w:r>
          </w:p>
        </w:tc>
        <w:tc>
          <w:tcPr>
            <w:tcW w:w="840" w:type="dxa"/>
            <w:tcBorders/>
          </w:tcPr>
          <w:p>
            <w:pPr>
              <w:pStyle w:val="Heading2"/>
              <w:widowControl/>
              <w:numPr>
                <w:ilvl w:val="0"/>
              </w:numPr>
              <w:spacing w:before="120" w:after="60"/>
              <w:ind w:left="0" w:hanging="0"/>
              <w:rPr>
                <w:b w:val="false"/>
                <w:lang w:val="ru-RU"/>
              </w:rPr>
            </w:pPr>
            <w:r>
              <w:rPr>
                <w:rFonts w:cs="Times New Roman"/>
                <w:b w:val="false"/>
                <w:kern w:val="0"/>
                <w:lang w:val="ru-RU" w:bidi="ar-SA"/>
              </w:rPr>
              <w:t>21</w:t>
            </w:r>
          </w:p>
        </w:tc>
      </w:tr>
      <w:tr>
        <w:trPr>
          <w:trHeight w:val="284" w:hRule="atLeast"/>
        </w:trPr>
        <w:tc>
          <w:tcPr>
            <w:tcW w:w="756" w:type="dxa"/>
            <w:tcBorders/>
          </w:tcPr>
          <w:p>
            <w:pPr>
              <w:pStyle w:val="Heading2"/>
              <w:widowControl/>
              <w:numPr>
                <w:ilvl w:val="0"/>
              </w:numPr>
              <w:spacing w:before="120" w:after="60"/>
              <w:ind w:left="0" w:hanging="0"/>
              <w:rPr>
                <w:b w:val="false"/>
              </w:rPr>
            </w:pPr>
            <w:r>
              <w:rPr>
                <w:rFonts w:cs="Times New Roman"/>
                <w:b w:val="false"/>
                <w:kern w:val="0"/>
                <w:lang w:bidi="ar-SA"/>
              </w:rPr>
            </w:r>
          </w:p>
        </w:tc>
        <w:tc>
          <w:tcPr>
            <w:tcW w:w="8315" w:type="dxa"/>
            <w:tcBorders/>
          </w:tcPr>
          <w:p>
            <w:pPr>
              <w:pStyle w:val="Heading2"/>
              <w:widowControl/>
              <w:numPr>
                <w:ilvl w:val="0"/>
              </w:numPr>
              <w:spacing w:before="120" w:after="60"/>
              <w:ind w:left="0" w:hanging="0"/>
              <w:rPr>
                <w:lang w:val="ru-RU"/>
              </w:rPr>
            </w:pPr>
            <w:r>
              <w:rPr>
                <w:rFonts w:cs="Times New Roman"/>
                <w:kern w:val="0"/>
                <w:lang w:bidi="ar-SA"/>
              </w:rPr>
              <w:t>Таблица 4. Требования к качеству услуг</w:t>
            </w:r>
            <w:r>
              <w:rPr>
                <w:rFonts w:cs="Times New Roman"/>
                <w:kern w:val="0"/>
                <w:lang w:val="ru-RU" w:bidi="ar-SA"/>
              </w:rPr>
              <w:t>……………………………………….</w:t>
            </w:r>
          </w:p>
        </w:tc>
        <w:tc>
          <w:tcPr>
            <w:tcW w:w="840" w:type="dxa"/>
            <w:tcBorders/>
          </w:tcPr>
          <w:p>
            <w:pPr>
              <w:pStyle w:val="Heading2"/>
              <w:widowControl/>
              <w:numPr>
                <w:ilvl w:val="0"/>
              </w:numPr>
              <w:spacing w:before="120" w:after="60"/>
              <w:ind w:left="0" w:hanging="0"/>
              <w:rPr>
                <w:b w:val="false"/>
                <w:lang w:val="ru-RU"/>
              </w:rPr>
            </w:pPr>
            <w:r>
              <w:rPr>
                <w:rFonts w:cs="Times New Roman"/>
                <w:b w:val="false"/>
                <w:kern w:val="0"/>
                <w:lang w:val="ru-RU" w:bidi="ar-SA"/>
              </w:rPr>
              <w:t>21</w:t>
            </w:r>
          </w:p>
        </w:tc>
      </w:tr>
      <w:tr>
        <w:trPr>
          <w:trHeight w:val="284" w:hRule="atLeast"/>
        </w:trPr>
        <w:tc>
          <w:tcPr>
            <w:tcW w:w="756" w:type="dxa"/>
            <w:tcBorders/>
          </w:tcPr>
          <w:p>
            <w:pPr>
              <w:pStyle w:val="Heading2"/>
              <w:widowControl/>
              <w:numPr>
                <w:ilvl w:val="0"/>
              </w:numPr>
              <w:spacing w:before="120" w:after="60"/>
              <w:ind w:left="0" w:hanging="0"/>
              <w:rPr>
                <w:lang w:val="ru-RU"/>
              </w:rPr>
            </w:pPr>
            <w:r>
              <w:rPr>
                <w:rFonts w:cs="Times New Roman"/>
                <w:kern w:val="0"/>
                <w:lang w:val="ru-RU" w:bidi="ar-SA"/>
              </w:rPr>
              <w:t>3.</w:t>
            </w:r>
          </w:p>
        </w:tc>
        <w:tc>
          <w:tcPr>
            <w:tcW w:w="8315" w:type="dxa"/>
            <w:tcBorders/>
          </w:tcPr>
          <w:p>
            <w:pPr>
              <w:pStyle w:val="Heading2"/>
              <w:widowControl/>
              <w:numPr>
                <w:ilvl w:val="0"/>
              </w:numPr>
              <w:spacing w:before="120" w:after="60"/>
              <w:ind w:left="0" w:hanging="0"/>
              <w:rPr>
                <w:lang w:val="ru-RU"/>
              </w:rPr>
            </w:pPr>
            <w:r>
              <w:rPr>
                <w:rFonts w:cs="Times New Roman"/>
                <w:kern w:val="0"/>
                <w:lang w:bidi="ar-SA"/>
              </w:rPr>
              <w:t>Требования к документации по ценообразованию на этапе закупки</w:t>
            </w:r>
            <w:r>
              <w:rPr>
                <w:rFonts w:cs="Times New Roman"/>
                <w:kern w:val="0"/>
                <w:lang w:val="ru-RU" w:bidi="ar-SA"/>
              </w:rPr>
              <w:t>……….</w:t>
            </w:r>
          </w:p>
        </w:tc>
        <w:tc>
          <w:tcPr>
            <w:tcW w:w="840" w:type="dxa"/>
            <w:tcBorders/>
          </w:tcPr>
          <w:p>
            <w:pPr>
              <w:pStyle w:val="Heading2"/>
              <w:widowControl/>
              <w:numPr>
                <w:ilvl w:val="0"/>
              </w:numPr>
              <w:spacing w:before="120" w:after="60"/>
              <w:ind w:left="0" w:hanging="0"/>
              <w:rPr>
                <w:b w:val="false"/>
                <w:lang w:val="ru-RU"/>
              </w:rPr>
            </w:pPr>
            <w:r>
              <w:rPr>
                <w:rFonts w:cs="Times New Roman"/>
                <w:b w:val="false"/>
                <w:kern w:val="0"/>
                <w:lang w:val="ru-RU" w:bidi="ar-SA"/>
              </w:rPr>
              <w:t>31</w:t>
            </w:r>
          </w:p>
        </w:tc>
      </w:tr>
      <w:tr>
        <w:trPr>
          <w:trHeight w:val="284" w:hRule="atLeast"/>
        </w:trPr>
        <w:tc>
          <w:tcPr>
            <w:tcW w:w="756" w:type="dxa"/>
            <w:tcBorders/>
          </w:tcPr>
          <w:p>
            <w:pPr>
              <w:pStyle w:val="Heading2"/>
              <w:widowControl/>
              <w:numPr>
                <w:ilvl w:val="0"/>
              </w:numPr>
              <w:spacing w:before="120" w:after="60"/>
              <w:ind w:left="0" w:hanging="0"/>
              <w:rPr>
                <w:lang w:val="ru-RU"/>
              </w:rPr>
            </w:pPr>
            <w:r>
              <w:rPr>
                <w:rFonts w:cs="Times New Roman"/>
                <w:kern w:val="0"/>
                <w:lang w:val="ru-RU" w:bidi="ar-SA"/>
              </w:rPr>
              <w:t>4.</w:t>
            </w:r>
          </w:p>
        </w:tc>
        <w:tc>
          <w:tcPr>
            <w:tcW w:w="8315" w:type="dxa"/>
            <w:tcBorders/>
          </w:tcPr>
          <w:p>
            <w:pPr>
              <w:pStyle w:val="Heading2"/>
              <w:widowControl/>
              <w:numPr>
                <w:ilvl w:val="0"/>
              </w:numPr>
              <w:spacing w:before="120" w:after="60"/>
              <w:ind w:left="0" w:hanging="0"/>
              <w:rPr>
                <w:lang w:val="ru-RU"/>
              </w:rPr>
            </w:pPr>
            <w:r>
              <w:rPr>
                <w:rFonts w:cs="Times New Roman"/>
                <w:kern w:val="0"/>
                <w:lang w:bidi="ar-SA"/>
              </w:rPr>
              <w:t>Требования к документации по ценообразованию на этапе заключения (исполнения) договора…</w:t>
            </w:r>
            <w:r>
              <w:rPr>
                <w:rFonts w:cs="Times New Roman"/>
                <w:kern w:val="0"/>
                <w:lang w:val="ru-RU" w:bidi="ar-SA"/>
              </w:rPr>
              <w:t>………………………………………………………….</w:t>
            </w:r>
          </w:p>
        </w:tc>
        <w:tc>
          <w:tcPr>
            <w:tcW w:w="840" w:type="dxa"/>
            <w:tcBorders/>
          </w:tcPr>
          <w:p>
            <w:pPr>
              <w:pStyle w:val="Heading2"/>
              <w:widowControl/>
              <w:numPr>
                <w:ilvl w:val="0"/>
              </w:numPr>
              <w:spacing w:before="120" w:after="60"/>
              <w:ind w:left="0" w:hanging="0"/>
              <w:rPr>
                <w:b w:val="false"/>
                <w:lang w:val="ru-RU"/>
              </w:rPr>
            </w:pPr>
            <w:r>
              <w:rPr>
                <w:rFonts w:cs="Times New Roman"/>
                <w:b w:val="false"/>
                <w:kern w:val="0"/>
                <w:lang w:val="ru-RU" w:bidi="ar-SA"/>
              </w:rPr>
            </w:r>
          </w:p>
          <w:p>
            <w:pPr>
              <w:pStyle w:val="Heading2"/>
              <w:widowControl/>
              <w:numPr>
                <w:ilvl w:val="0"/>
              </w:numPr>
              <w:spacing w:before="120" w:after="60"/>
              <w:ind w:left="0" w:hanging="0"/>
              <w:rPr>
                <w:b w:val="false"/>
                <w:lang w:val="ru-RU"/>
              </w:rPr>
            </w:pPr>
            <w:r>
              <w:rPr>
                <w:rFonts w:cs="Times New Roman"/>
                <w:b w:val="false"/>
                <w:kern w:val="0"/>
                <w:lang w:val="ru-RU" w:bidi="ar-SA"/>
              </w:rPr>
              <w:t>31</w:t>
            </w:r>
          </w:p>
        </w:tc>
      </w:tr>
      <w:tr>
        <w:trPr>
          <w:trHeight w:val="284" w:hRule="atLeast"/>
        </w:trPr>
        <w:tc>
          <w:tcPr>
            <w:tcW w:w="756" w:type="dxa"/>
            <w:tcBorders/>
          </w:tcPr>
          <w:p>
            <w:pPr>
              <w:pStyle w:val="Heading2"/>
              <w:widowControl/>
              <w:numPr>
                <w:ilvl w:val="0"/>
              </w:numPr>
              <w:spacing w:before="120" w:after="60"/>
              <w:ind w:left="0" w:hanging="0"/>
              <w:rPr>
                <w:lang w:val="ru-RU"/>
              </w:rPr>
            </w:pPr>
            <w:r>
              <w:rPr>
                <w:rFonts w:cs="Times New Roman"/>
                <w:kern w:val="0"/>
                <w:lang w:val="ru-RU" w:bidi="ar-SA"/>
              </w:rPr>
            </w:r>
          </w:p>
        </w:tc>
        <w:tc>
          <w:tcPr>
            <w:tcW w:w="8315" w:type="dxa"/>
            <w:tcBorders/>
          </w:tcPr>
          <w:p>
            <w:pPr>
              <w:pStyle w:val="Heading2"/>
              <w:widowControl/>
              <w:numPr>
                <w:ilvl w:val="0"/>
              </w:numPr>
              <w:spacing w:before="120" w:after="60"/>
              <w:ind w:left="0" w:hanging="0"/>
              <w:rPr>
                <w:b w:val="false"/>
                <w:lang w:val="ru-RU"/>
              </w:rPr>
            </w:pPr>
            <w:r>
              <w:rPr>
                <w:rFonts w:cs="Times New Roman"/>
                <w:b w:val="false"/>
                <w:kern w:val="0"/>
                <w:lang w:val="ru-RU" w:bidi="ar-SA"/>
              </w:rPr>
              <w:t xml:space="preserve">Приложение №1 </w:t>
            </w:r>
            <w:r>
              <w:rPr>
                <w:rFonts w:cs="Times New Roman"/>
                <w:b w:val="false"/>
                <w:kern w:val="0"/>
                <w:lang w:bidi="ar-SA"/>
              </w:rPr>
              <w:t>Формы КП, структуры НМЦ</w:t>
            </w:r>
            <w:r>
              <w:rPr>
                <w:rFonts w:cs="Times New Roman"/>
                <w:b w:val="false"/>
                <w:kern w:val="0"/>
                <w:lang w:val="ru-RU" w:bidi="ar-SA"/>
              </w:rPr>
              <w:t>…………………………………….</w:t>
            </w:r>
          </w:p>
        </w:tc>
        <w:tc>
          <w:tcPr>
            <w:tcW w:w="840" w:type="dxa"/>
            <w:tcBorders/>
          </w:tcPr>
          <w:p>
            <w:pPr>
              <w:pStyle w:val="Heading2"/>
              <w:widowControl/>
              <w:numPr>
                <w:ilvl w:val="0"/>
              </w:numPr>
              <w:spacing w:before="120" w:after="60"/>
              <w:ind w:left="0" w:hanging="0"/>
              <w:rPr>
                <w:b w:val="false"/>
                <w:lang w:val="ru-RU"/>
              </w:rPr>
            </w:pPr>
            <w:r>
              <w:rPr>
                <w:rFonts w:cs="Times New Roman"/>
                <w:b w:val="false"/>
                <w:kern w:val="0"/>
                <w:lang w:val="ru-RU" w:bidi="ar-SA"/>
              </w:rPr>
              <w:t>32</w:t>
            </w:r>
          </w:p>
        </w:tc>
      </w:tr>
    </w:tbl>
    <w:p>
      <w:pPr>
        <w:pStyle w:val="Heading2"/>
        <w:numPr>
          <w:ilvl w:val="0"/>
        </w:numPr>
        <w:ind w:left="0" w:hanging="0"/>
        <w:rPr/>
      </w:pPr>
      <w:r>
        <w:rPr/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numPr>
          <w:ilvl w:val="0"/>
          <w:numId w:val="3"/>
        </w:numPr>
        <w:ind w:left="0" w:hanging="0"/>
        <w:jc w:val="center"/>
        <w:rPr>
          <w:caps/>
          <w:sz w:val="24"/>
          <w:szCs w:val="24"/>
        </w:rPr>
      </w:pPr>
      <w:bookmarkStart w:id="0" w:name="_Toc142558679"/>
      <w:r>
        <w:rPr>
          <w:sz w:val="24"/>
          <w:szCs w:val="24"/>
        </w:rPr>
        <w:t>Общие сведения</w:t>
      </w:r>
      <w:bookmarkEnd w:id="0"/>
    </w:p>
    <w:p>
      <w:pPr>
        <w:pStyle w:val="Heading4"/>
        <w:numPr>
          <w:ilvl w:val="0"/>
        </w:numPr>
        <w:ind w:left="432" w:hanging="0"/>
        <w:rPr/>
      </w:pPr>
      <w:r>
        <w:rPr/>
        <w:t xml:space="preserve">1.1. </w:t>
      </w:r>
      <w:bookmarkStart w:id="1" w:name="_Toc46743505"/>
      <w:bookmarkStart w:id="2" w:name="_Toc142558680"/>
      <w:r>
        <w:rPr/>
        <w:t>Обозначения и сокращения</w:t>
      </w:r>
      <w:bookmarkEnd w:id="1"/>
      <w:bookmarkEnd w:id="2"/>
    </w:p>
    <w:p>
      <w:pPr>
        <w:pStyle w:val="Normal"/>
        <w:rPr>
          <w:rStyle w:val="Style8"/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</w:r>
    </w:p>
    <w:tbl>
      <w:tblPr>
        <w:tblW w:w="993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405"/>
        <w:gridCol w:w="7528"/>
      </w:tblGrid>
      <w:tr>
        <w:trPr>
          <w:cantSplit w:val="true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4"/>
              <w:widowControl w:val="false"/>
              <w:numPr>
                <w:ilvl w:val="0"/>
              </w:numPr>
              <w:spacing w:before="120" w:after="60"/>
              <w:ind w:left="0" w:hanging="0"/>
              <w:rPr>
                <w:b w:val="false"/>
                <w:lang w:val="ru-RU"/>
              </w:rPr>
            </w:pPr>
            <w:r>
              <w:rPr>
                <w:b w:val="false"/>
                <w:lang w:val="ru-RU"/>
              </w:rPr>
              <w:t>ТС</w:t>
            </w:r>
          </w:p>
        </w:tc>
        <w:tc>
          <w:tcPr>
            <w:tcW w:w="7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4"/>
              <w:widowControl w:val="false"/>
              <w:numPr>
                <w:ilvl w:val="0"/>
              </w:numPr>
              <w:spacing w:before="120" w:after="60"/>
              <w:ind w:left="0" w:hanging="0"/>
              <w:rPr>
                <w:b w:val="false"/>
                <w:lang w:val="ru-RU"/>
              </w:rPr>
            </w:pPr>
            <w:r>
              <w:rPr>
                <w:b w:val="false"/>
                <w:lang w:val="ru-RU"/>
              </w:rPr>
              <w:t>Транспортное средство</w:t>
            </w:r>
          </w:p>
        </w:tc>
      </w:tr>
    </w:tbl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0"/>
        </w:numPr>
        <w:ind w:left="432" w:hanging="0"/>
        <w:rPr/>
      </w:pPr>
      <w:r>
        <w:rPr/>
        <w:t xml:space="preserve">1.2. </w:t>
      </w:r>
      <w:bookmarkStart w:id="3" w:name="_Toc142558683"/>
      <w:r>
        <w:rPr/>
        <w:t>Наименование оказываемых услуг</w:t>
      </w:r>
      <w:bookmarkEnd w:id="3"/>
    </w:p>
    <w:p>
      <w:pPr>
        <w:pStyle w:val="Normal"/>
        <w:jc w:val="both"/>
        <w:rPr>
          <w:sz w:val="24"/>
          <w:szCs w:val="24"/>
        </w:rPr>
      </w:pPr>
      <w:bookmarkStart w:id="4" w:name="_Toc142558684"/>
      <w:bookmarkEnd w:id="4"/>
      <w:r>
        <w:rPr>
          <w:sz w:val="24"/>
          <w:szCs w:val="24"/>
        </w:rPr>
        <w:t>ОКПД 2: 45.20.21.223 Услуги шиномонтажа в г. Петропавловск Камчатский для нужд Камчатского филиала АО "ТК РусГидро"</w:t>
      </w:r>
    </w:p>
    <w:p>
      <w:pPr>
        <w:pStyle w:val="Heading1"/>
        <w:numPr>
          <w:ilvl w:val="0"/>
          <w:numId w:val="0"/>
        </w:numPr>
        <w:ind w:left="0" w:hanging="0"/>
        <w:rPr>
          <w:sz w:val="24"/>
          <w:szCs w:val="24"/>
        </w:rPr>
      </w:pPr>
      <w:bookmarkStart w:id="5" w:name="_Toc142558684"/>
      <w:bookmarkStart w:id="6" w:name="_Toc142558685"/>
      <w:bookmarkEnd w:id="5"/>
      <w:r>
        <w:rPr>
          <w:sz w:val="24"/>
          <w:szCs w:val="24"/>
        </w:rPr>
        <w:t>Таблица 1. Перечень объектов заказчика</w:t>
      </w:r>
      <w:bookmarkEnd w:id="6"/>
    </w:p>
    <w:tbl>
      <w:tblPr>
        <w:tblW w:w="10632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50"/>
        <w:gridCol w:w="2269"/>
        <w:gridCol w:w="2834"/>
        <w:gridCol w:w="2931"/>
        <w:gridCol w:w="1748"/>
      </w:tblGrid>
      <w:tr>
        <w:trPr>
          <w:trHeight w:val="1545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№ </w:t>
            </w:r>
            <w:r>
              <w:rPr>
                <w:b/>
                <w:bCs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Наименование объекта</w:t>
            </w:r>
          </w:p>
        </w:tc>
        <w:tc>
          <w:tcPr>
            <w:tcW w:w="28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Расположение объекта </w:t>
            </w:r>
          </w:p>
          <w:p>
            <w:pPr>
              <w:pStyle w:val="Normal"/>
              <w:widowControl w:val="false"/>
              <w:suppressAutoHyphens w:val="false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(место оказания услуг) </w:t>
            </w:r>
          </w:p>
        </w:tc>
        <w:tc>
          <w:tcPr>
            <w:tcW w:w="2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Наименование основного средства (в отношении которого оказываются услуги)</w:t>
            </w:r>
          </w:p>
        </w:tc>
        <w:tc>
          <w:tcPr>
            <w:tcW w:w="17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Примечания</w:t>
            </w:r>
          </w:p>
        </w:tc>
      </w:tr>
      <w:tr>
        <w:trPr>
          <w:trHeight w:val="373" w:hRule="atLeast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2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29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7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ОКПД 2: 45.20.21.223 Услуги шиномонтажа в г. Петропавловск Камчатский для нужд Камчатского филиала АО "ТК РусГидро"</w:t>
            </w:r>
          </w:p>
        </w:tc>
        <w:tc>
          <w:tcPr>
            <w:tcW w:w="28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Камчатский край, </w:t>
            </w:r>
          </w:p>
          <w:p>
            <w:pPr>
              <w:pStyle w:val="Normal"/>
              <w:widowControl w:val="false"/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Петропавловск-Камчатский</w:t>
            </w:r>
          </w:p>
        </w:tc>
        <w:tc>
          <w:tcPr>
            <w:tcW w:w="29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NISSAN PATROL 4,8 </w:t>
            </w:r>
          </w:p>
        </w:tc>
        <w:tc>
          <w:tcPr>
            <w:tcW w:w="17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"ВЭ"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Тойота-Л.Круизер- 100 </w:t>
            </w:r>
          </w:p>
        </w:tc>
        <w:tc>
          <w:tcPr>
            <w:tcW w:w="17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"ВЭ"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Тойота Хайс </w:t>
            </w:r>
          </w:p>
        </w:tc>
        <w:tc>
          <w:tcPr>
            <w:tcW w:w="17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"ВЭ"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Тойота-Л.Круизер-105 </w:t>
            </w:r>
          </w:p>
        </w:tc>
        <w:tc>
          <w:tcPr>
            <w:tcW w:w="17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"ВЭ"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ММС Делика 168 </w:t>
            </w:r>
          </w:p>
        </w:tc>
        <w:tc>
          <w:tcPr>
            <w:tcW w:w="17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"ВЭ"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Тойота-Л.Круизер- 200 </w:t>
            </w:r>
          </w:p>
        </w:tc>
        <w:tc>
          <w:tcPr>
            <w:tcW w:w="17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"ВЭ"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Нефаз 4208-11-13 </w:t>
            </w:r>
          </w:p>
        </w:tc>
        <w:tc>
          <w:tcPr>
            <w:tcW w:w="17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"ВЭ"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Автобус ПАЗ 3206 </w:t>
            </w:r>
          </w:p>
        </w:tc>
        <w:tc>
          <w:tcPr>
            <w:tcW w:w="17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"ВЭ"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КАМАЗ 43118 422612 </w:t>
            </w:r>
          </w:p>
        </w:tc>
        <w:tc>
          <w:tcPr>
            <w:tcW w:w="17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"ВЭ"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Ниссан NP 300 </w:t>
            </w:r>
          </w:p>
        </w:tc>
        <w:tc>
          <w:tcPr>
            <w:tcW w:w="17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"ВЭ"</w:t>
            </w:r>
          </w:p>
        </w:tc>
      </w:tr>
      <w:tr>
        <w:trPr>
          <w:trHeight w:val="600" w:hRule="atLeast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Камаз 43118-46 (R008F2) </w:t>
            </w:r>
          </w:p>
        </w:tc>
        <w:tc>
          <w:tcPr>
            <w:tcW w:w="17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"ВЭ"</w:t>
            </w:r>
          </w:p>
        </w:tc>
      </w:tr>
      <w:tr>
        <w:trPr>
          <w:trHeight w:val="600" w:hRule="atLeast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Камаз 680202 </w:t>
            </w:r>
          </w:p>
        </w:tc>
        <w:tc>
          <w:tcPr>
            <w:tcW w:w="17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"ВЭ"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Хундай HL- 730- 7  </w:t>
            </w:r>
          </w:p>
        </w:tc>
        <w:tc>
          <w:tcPr>
            <w:tcW w:w="17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"ВЭ"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УАЗ-31519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"Елизовский"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УАЗ-2069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"Елизовский"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Mitsubishi Pajero 3.8 LWB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"Елизовский"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UAZ PATRIOT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"Елизовский"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УАЗ 390994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"Елизовский"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ГАЗ-27527 Соболь гос. номер А 759 ТВ 41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"Елизовский"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УАЗ 390995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"Елизовский"</w:t>
            </w:r>
          </w:p>
        </w:tc>
      </w:tr>
      <w:tr>
        <w:trPr>
          <w:trHeight w:val="6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УАЗ-330364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"Елизовский"</w:t>
            </w:r>
          </w:p>
        </w:tc>
      </w:tr>
      <w:tr>
        <w:trPr>
          <w:trHeight w:val="6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УАЗ-39094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"Елизовский"</w:t>
            </w:r>
          </w:p>
        </w:tc>
      </w:tr>
      <w:tr>
        <w:trPr>
          <w:trHeight w:val="6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УАЗ-390942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"Елизовский"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Т-Таун-Айс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"Елизовский"</w:t>
            </w:r>
          </w:p>
        </w:tc>
      </w:tr>
      <w:tr>
        <w:trPr>
          <w:trHeight w:val="6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Автомобиль УАЗ-390995 фермер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"Елизовский"</w:t>
            </w:r>
          </w:p>
        </w:tc>
      </w:tr>
      <w:tr>
        <w:trPr>
          <w:trHeight w:val="6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УАЗ-330365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"Елизовский"</w:t>
            </w:r>
          </w:p>
        </w:tc>
      </w:tr>
      <w:tr>
        <w:trPr>
          <w:trHeight w:val="6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ГАЗ-3302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"Елизовский"</w:t>
            </w:r>
          </w:p>
        </w:tc>
      </w:tr>
      <w:tr>
        <w:trPr>
          <w:trHeight w:val="6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ГАЗ Соболь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"Елизовский"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Mitsubishi L200 2,5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"Елизовский"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ГАЗ 3813 FH АПП-20 Т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"Елизовский"</w:t>
            </w:r>
          </w:p>
        </w:tc>
      </w:tr>
      <w:tr>
        <w:trPr>
          <w:trHeight w:val="6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Чайка сервис 27844К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"Елизовский"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47953-0000010-32(ГАЗ33081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"Елизовский"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ГАЗ 33088 47953-0000010-31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"Елизовский"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ГАЗ-3307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"Елизовский"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ЗИЛ-4545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"Елизовский"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483723-В ГАЗ-33086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"Елизовский"</w:t>
            </w:r>
          </w:p>
        </w:tc>
      </w:tr>
      <w:tr>
        <w:trPr>
          <w:trHeight w:val="6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ГАЗ-33088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"Елизовский"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ГАЗ-66 4732-0000010-60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"Елизовский"</w:t>
            </w:r>
          </w:p>
        </w:tc>
      </w:tr>
      <w:tr>
        <w:trPr>
          <w:trHeight w:val="6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5328BY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"Елизовский"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ГИРД 5849Н3-0000030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"Елизовский"</w:t>
            </w:r>
          </w:p>
        </w:tc>
      </w:tr>
      <w:tr>
        <w:trPr>
          <w:trHeight w:val="6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732407(КАМАЗ 43118)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"Елизовский"</w:t>
            </w:r>
          </w:p>
        </w:tc>
      </w:tr>
      <w:tr>
        <w:trPr>
          <w:trHeight w:val="6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Бурильно-крановая машина, на базе УРАЛ БКМ-515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"Елизовский"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КАМАЗ 53605-А5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"Елизовский"</w:t>
            </w:r>
          </w:p>
        </w:tc>
      </w:tr>
      <w:tr>
        <w:trPr>
          <w:trHeight w:val="6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МК-4512-02 на шасси КАМАЗ 43253-G5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"Елизовский"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JCB 3CX14M2NM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"Елизовский"</w:t>
            </w:r>
          </w:p>
        </w:tc>
      </w:tr>
      <w:tr>
        <w:trPr>
          <w:trHeight w:val="6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Экскаватор погрузчик TLB 825-RM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"Елизовский"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ЭО-2626М-2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"Елизовский"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LW300КN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"Елизовский"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КАМАЗ 6520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"Елизовский"</w:t>
            </w:r>
          </w:p>
        </w:tc>
      </w:tr>
      <w:tr>
        <w:trPr>
          <w:trHeight w:val="6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Toyota Land Cruiser 120 PRADO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"КТЭЦ"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УАЗ-315195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"КТЭЦ"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УАЗ-22069-04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"КТЭЦ"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Тойота Ленд Крузер 150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"КТЭЦ"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ГАЗ-221717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"КТЭЦ"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УАЗ-3303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"КТЭЦ"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УАЗ-390945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"КТЭЦ"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ГАЗ-27527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"КТЭЦ"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УАЗ-390995-04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"КТЭЦ"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ГАЗ 53 АНЖ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"КТЭЦ"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ЗИЛ</w:t>
            </w:r>
          </w:p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"КТЭЦ"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ПАРМ на шасси ГАЗ 3308 47955-0000010-31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"КТЭЦ"</w:t>
            </w:r>
          </w:p>
        </w:tc>
      </w:tr>
      <w:tr>
        <w:trPr>
          <w:trHeight w:val="6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Грузовой с КМУ 538918 ММС-Кантер Фуссо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"КТЭЦ"</w:t>
            </w:r>
          </w:p>
        </w:tc>
      </w:tr>
      <w:tr>
        <w:trPr>
          <w:trHeight w:val="6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ПАРМ 27901-0000010-57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"КТЭЦ"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Аварийная служба 3034КЗ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"КТЭЦ"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КАМАЗ-4310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"КТЭЦ"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УРАЛ-44202-0111-10 (в сцепке с 41 АА 2411)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"КТЭЦ"</w:t>
            </w:r>
          </w:p>
        </w:tc>
      </w:tr>
      <w:tr>
        <w:trPr>
          <w:trHeight w:val="6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HOWO ZZ4257V3247N1B (в сцепке с 25 АК 6270)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"КТЭЦ"</w:t>
            </w:r>
          </w:p>
        </w:tc>
      </w:tr>
      <w:tr>
        <w:trPr>
          <w:trHeight w:val="6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КамАЗ-65115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"КТЭЦ"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КС-35715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"КТЭЦ"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КС-45717К-1 (КамАЗ-65115-62)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"КТЭЦ"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4672С7-10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"КТЭЦ"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ГИРД 5849Н3-0000030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"КТЭЦ"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УЗСТ 174В-13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"КТЭЦ"</w:t>
            </w:r>
          </w:p>
        </w:tc>
      </w:tr>
      <w:tr>
        <w:trPr>
          <w:trHeight w:val="6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КМД-43253-Е5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"КТЭЦ"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КАМАЗ 53605-А5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"КТЭЦ"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Камаз с КМУ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"КТЭЦ"</w:t>
            </w:r>
          </w:p>
        </w:tc>
      </w:tr>
      <w:tr>
        <w:trPr>
          <w:trHeight w:val="6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NEW HOLLAND В110-4РТ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"КТЭЦ"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АМКОДОР 342С4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"КТЭЦ"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СШР-1 001-СА-02-02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"КТЭЦ"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JCB 3CXS14M2NM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"КТЭЦ"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JINGONG JGM737K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"КТЭЦ"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SHANTUI, L39-B3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"КТЭЦ"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LONKING 84C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"КТЭЦ"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ПАРТ-28 (ЗИЛ-433112)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"КТЭЦ"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TOYOTA LAND CRUISER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"КТЭЦ"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Renault Duster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"КТЭЦ"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ГАЗ-33023 ПМС-212-02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"КТЭЦ"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Toyota Land Cruiser 150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"КТЭЦ"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LEXUS GX 460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"КТЭЦ"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UAZ PATRIOT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"КЭ"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Н. Террано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"КЭ"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FORD TOURNEO CUSTOM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"КЭ"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УАЗ-220695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"КЭ"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Уаз -396255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"КЭ"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УАЗ-2924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"КЭ"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Mitsubishi L200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"КЭ"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ПАЗ-32054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"КЭ"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Паз 3205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"КЭ"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ПАЗ 320530-04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"КЭ"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ГАЗ-330210 (в составе с 41 КХ 1940)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"КЭ"</w:t>
            </w:r>
          </w:p>
        </w:tc>
      </w:tr>
      <w:tr>
        <w:trPr>
          <w:trHeight w:val="6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УАЗ-39094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"КЭ"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УАЗ-2924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"КЭ"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УАЗ-390995-04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"КЭ"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Ниссан NP 300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"КЭ"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УАЗ-390945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"КЭ"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ЗИЛ 131 А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"КЭ"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КАМАЗ-5759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"КЭ"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ГАЗ-5312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"КЭ"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ГАЗ-53 САГ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"КЭ"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Чайка - Сервис 27847R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"КЭ"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ГАЗ-33088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"КЭ"</w:t>
            </w:r>
          </w:p>
        </w:tc>
      </w:tr>
      <w:tr>
        <w:trPr>
          <w:trHeight w:val="6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Бриг. Авт. 27901-0000010-57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"КЭ"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ГАЗ-САЗ-39014-10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"КЭ"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ISUZU SMA445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"КЭ"</w:t>
            </w:r>
          </w:p>
        </w:tc>
      </w:tr>
      <w:tr>
        <w:trPr>
          <w:trHeight w:val="6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Аварийная служба 3034КЗ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"КЭ"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АЦ-3,2-40/4 (КАМАЗ 4308) 36240В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"КЭ"</w:t>
            </w:r>
          </w:p>
        </w:tc>
      </w:tr>
      <w:tr>
        <w:trPr>
          <w:trHeight w:val="6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Хундай Нью Повер Трак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"КЭ"</w:t>
            </w:r>
          </w:p>
        </w:tc>
      </w:tr>
      <w:tr>
        <w:trPr>
          <w:trHeight w:val="6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ЗИЛ-130 САГ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"КЭ"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УЗСТ 483В-36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"КЭ"</w:t>
            </w:r>
          </w:p>
        </w:tc>
      </w:tr>
      <w:tr>
        <w:trPr>
          <w:trHeight w:val="6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МК-4512-02 на шасси КАМАЗ 43253-G5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"КЭ"</w:t>
            </w:r>
          </w:p>
        </w:tc>
      </w:tr>
      <w:tr>
        <w:trPr>
          <w:trHeight w:val="6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УЗСТ 483В-42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"КЭ"</w:t>
            </w:r>
          </w:p>
        </w:tc>
      </w:tr>
      <w:tr>
        <w:trPr>
          <w:trHeight w:val="6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Автокран XCMG XCT25L5_S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"КЭ"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А/погрузчик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"КЭ"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TVEX 140W гос. номер 41 КХ 1396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"КЭ"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Экскаватор погрузчик TLB 825-RM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"КЭ"</w:t>
            </w:r>
          </w:p>
        </w:tc>
      </w:tr>
      <w:tr>
        <w:trPr>
          <w:trHeight w:val="6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LW300КN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"КЭ"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XCMG, LW300КN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"КЭ"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2705V7 (Газель)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"КЭ"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КАМАЗ 53605-А5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"КЭ"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УАЗ-220695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"УТТ и ТП"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Renault Duster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"УТТ и ТП"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ГАЗ-27527 Соболь Комби 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"УТТ и ТП"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УАЗ 390995-04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"УТТ и ТП"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ГАЗ-27527 Соболь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"УТТ и ТП"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УАЗ-390945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"УТТ и ТП"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АРМ ГАЗ 3813G0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"УТТ и ТП"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КамАЗ 6522-53 Самосвал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"УТТ и ТП"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Автокран КС-55732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"УТТ и ТП"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КАМАЗ 6520-53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"УТТ и ТП"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КамАЗ 6522-53 Самосвал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"УТТ и ТП"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ISUZU SMA445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"УТТ и ТП"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Shacman SX3318DT366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"УТТ и ТП"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Камаз с КМУ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"УТТ и ТП"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КАМАЗ-65225-53 К3340 (в сцепке с 41 АА 8318)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"УТТ и ТП"</w:t>
            </w:r>
          </w:p>
        </w:tc>
      </w:tr>
      <w:tr>
        <w:trPr>
          <w:trHeight w:val="6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Shacman SX3318DT366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"УТТ и ТП"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Shacman SX3318DT366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"УТТ и ТП"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ГИРД 5849DA-0001032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"УТТ и ТП"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SHACMAN SX3258DR384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"УТТ и ТП"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МКМ240-32 (КАМАЗ 43114)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"УТТ и ТП"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Автогудронатор АС-6312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"УТТ и ТП"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УЗСТ 6619Н-19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"УТТ и ТП"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АЦН 4665С1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"УТТ и ТП"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4679А2-10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"УТТ и ТП"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КАМАЗ Т2230 (в сцепке с 41 АВ 0335)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"УТТ и ТП"</w:t>
            </w:r>
          </w:p>
        </w:tc>
      </w:tr>
      <w:tr>
        <w:trPr>
          <w:trHeight w:val="6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JCB 3CXS14M2N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"УТТ и ТП"</w:t>
            </w:r>
          </w:p>
        </w:tc>
      </w:tr>
      <w:tr>
        <w:trPr>
          <w:trHeight w:val="6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JCB ЗСХ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"УТТ и ТП"</w:t>
            </w:r>
          </w:p>
        </w:tc>
      </w:tr>
      <w:tr>
        <w:trPr>
          <w:trHeight w:val="6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XCMG, LW300КN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"УТТ и ТП"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JCB 3CXS14M2NM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"УТТ и ТП"</w:t>
            </w:r>
          </w:p>
        </w:tc>
      </w:tr>
      <w:tr>
        <w:trPr>
          <w:trHeight w:val="6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SHANTUI, L39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"УТТ и ТП"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ЛВИ 22153-0000010-01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"ЦЭС"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Toyota Land Cruiser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"ЦЭС"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Toyota Land Cruiser 200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"ЦЭС"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UAZ PATRIOT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"ЦЭС"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ВАЗ 21213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"ЦЭС"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УАЗ 315196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"ЦЭС"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УАЗ 3909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"ЦЭС"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УАЗ-3962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"ЦЭС"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ГАЗ 22177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"ЦЭС"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УАЗ 220695-04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"ЦЭС"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Toyota Land Cruiser 150 (PRADO)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"ЦЭС"</w:t>
            </w:r>
          </w:p>
        </w:tc>
      </w:tr>
      <w:tr>
        <w:trPr>
          <w:trHeight w:val="6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УАЗ-220695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"ЦЭС"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NISSAN PATROL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"ЦЭС"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ГАЗ 322173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"ЦЭС"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ГАЗ-А62R33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"ЦЭС"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Тойота Хайс пассажирский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"ЦЭС"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КАМАЗ 4310 ВМ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"ЦЭС"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УАЗ 390994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"ЦЭС"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УАЗ 390995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"ЦЭС"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Ниссан Атлас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"ЦЭС"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УАЗ 390942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"ЦЭС"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Автомобиль УАЗ-390995 фермер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"ЦЭС"</w:t>
            </w:r>
          </w:p>
        </w:tc>
      </w:tr>
      <w:tr>
        <w:trPr>
          <w:trHeight w:val="6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УАЗ-2924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"ЦЭС"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УАЗ-390995-04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"ЦЭС"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УАЗ-2924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"ЦЭС"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ГАЗ-27527 Соболь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"ЦЭС"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ПСС-141,28Э(43114) 29464G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"ЦЭС"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1804 FE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"ЦЭС"</w:t>
            </w:r>
          </w:p>
        </w:tc>
      </w:tr>
      <w:tr>
        <w:trPr>
          <w:trHeight w:val="6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ГАЗ 66 11 компрессор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"ЦЭС"</w:t>
            </w:r>
          </w:p>
        </w:tc>
      </w:tr>
      <w:tr>
        <w:trPr>
          <w:trHeight w:val="6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ЗИЛ 130  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"ЦЭС"</w:t>
            </w:r>
          </w:p>
        </w:tc>
      </w:tr>
      <w:tr>
        <w:trPr>
          <w:trHeight w:val="6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ЗИЛ 131  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"ЦЭС"</w:t>
            </w:r>
          </w:p>
        </w:tc>
      </w:tr>
      <w:tr>
        <w:trPr>
          <w:trHeight w:val="6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ГАЗ 32597L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"ЦЭС"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ЗИЛ-131 эл.лаборатория 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"ЦЭС"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ГАЗ 33081 ЛВИ 37894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"ЦЭС"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ГАЗ САЗ 3507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"ЦЭС"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483723-В ГАЗ-33086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"ЦЭС"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Автомобиль ЛВИ (лаборатория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"ЦЭС"</w:t>
            </w:r>
          </w:p>
        </w:tc>
      </w:tr>
      <w:tr>
        <w:trPr>
          <w:trHeight w:val="6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Автовышка АГП-22 на базе ГАЗ-3813 FH 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"ЦЭС"</w:t>
            </w:r>
          </w:p>
        </w:tc>
      </w:tr>
      <w:tr>
        <w:trPr>
          <w:trHeight w:val="6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ПАРМ 27901-0000010-57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"ЦЭС"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ISUZU SMA445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"ЦЭС"</w:t>
            </w:r>
          </w:p>
        </w:tc>
      </w:tr>
      <w:tr>
        <w:trPr>
          <w:trHeight w:val="6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3897-0000010-24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"ЦЭС"</w:t>
            </w:r>
          </w:p>
        </w:tc>
      </w:tr>
      <w:tr>
        <w:trPr>
          <w:trHeight w:val="6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САДКО NEXT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"ЦЭС"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КАМАЗ 65115-62 КС 55713-1К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"ЦЭС"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МАЗ 6422А8-330 (в сцепке с 25 АК 6276)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"ЦЭС"</w:t>
            </w:r>
          </w:p>
        </w:tc>
      </w:tr>
      <w:tr>
        <w:trPr>
          <w:trHeight w:val="6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КАМАЗ 4310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"ЦЭС"</w:t>
            </w:r>
          </w:p>
        </w:tc>
      </w:tr>
      <w:tr>
        <w:trPr>
          <w:trHeight w:val="6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КАМАЗ 53212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"ЦЭС"</w:t>
            </w:r>
          </w:p>
        </w:tc>
      </w:tr>
      <w:tr>
        <w:trPr>
          <w:trHeight w:val="6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КРАЗ 250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"ЦЭС"</w:t>
            </w:r>
          </w:p>
        </w:tc>
      </w:tr>
      <w:tr>
        <w:trPr>
          <w:trHeight w:val="6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КАМАЗ65115-62 КС-45717К-1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"ЦЭС"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МАЗ-5337-КС-35715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"ЦЭС"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КАМАЗ 65225-43 (в сцепке с 41 АА 8317)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"ЦЭС"</w:t>
            </w:r>
          </w:p>
        </w:tc>
      </w:tr>
      <w:tr>
        <w:trPr>
          <w:trHeight w:val="6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УРАЛ 4320 с КМУ (в сцепке с 41 АА 7487)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"ЦЭС"</w:t>
            </w:r>
          </w:p>
        </w:tc>
      </w:tr>
      <w:tr>
        <w:trPr>
          <w:trHeight w:val="6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КАМАЗ со сварочным оборудованием 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"ЦЭС"</w:t>
            </w:r>
          </w:p>
        </w:tc>
      </w:tr>
      <w:tr>
        <w:trPr>
          <w:trHeight w:val="6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КАМАЗ 5367Е4К0000106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"ЦЭС"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КАМАЗ 6520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"ЦЭС"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КАМАЗ-53605-А5 К2030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"ЦЭС"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Камаз 7727В3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"ЦЭС"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Камаз УЗСТ 5860-73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"ЦЭС"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КАМАЗ 65225 RT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"ЦЭС"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КС-35715 (МАЗ-5337)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"ЦЭС"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АПТ-8,0-70 (КАМАЗ 43118)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"ЦЭС"</w:t>
            </w:r>
          </w:p>
        </w:tc>
      </w:tr>
      <w:tr>
        <w:trPr>
          <w:trHeight w:val="6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ГИРД-584912 0000015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"ЦЭС"</w:t>
            </w:r>
          </w:p>
        </w:tc>
      </w:tr>
      <w:tr>
        <w:trPr>
          <w:trHeight w:val="6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JCB 3CX SITIMASTER SUPER  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"ЦЭС"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JCB 3CXS14M2N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"ЦЭС"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УРАЛ 375 Д 902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"ЦЭС"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ZLM30-5 CHANGLIN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"ЦЭС"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Экскаватор-погрузчик ELAZ-BL 888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"ЦЭС"</w:t>
            </w:r>
          </w:p>
        </w:tc>
      </w:tr>
      <w:tr>
        <w:trPr>
          <w:trHeight w:val="6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Экскаватор погрузчик TLB 825-RM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"ЦЭС"</w:t>
            </w:r>
          </w:p>
        </w:tc>
      </w:tr>
      <w:tr>
        <w:trPr>
          <w:trHeight w:val="6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СШР-1 001-СА-02-02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"ЦЭС"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NISSAN-SAFARI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"ЦЭС"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Toyota Land Cruiser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"ЦЭС"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TOYOTA LAND CRUISER 200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"ЦЭС"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Тойота Ленд Крузер 150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"ЦЭС"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Mitsubishi Delica D:5 </w:t>
            </w:r>
          </w:p>
        </w:tc>
        <w:tc>
          <w:tcPr>
            <w:tcW w:w="17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Транспортный участок "ЦЭС"</w:t>
            </w:r>
          </w:p>
        </w:tc>
      </w:tr>
    </w:tbl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Heading4"/>
        <w:numPr>
          <w:ilvl w:val="0"/>
        </w:numPr>
        <w:ind w:left="432" w:hanging="0"/>
        <w:rPr/>
      </w:pPr>
      <w:r>
        <w:rPr/>
      </w:r>
    </w:p>
    <w:p>
      <w:pPr>
        <w:pStyle w:val="Heading1"/>
        <w:numPr>
          <w:ilvl w:val="0"/>
          <w:numId w:val="3"/>
        </w:numPr>
        <w:ind w:left="0" w:hanging="0"/>
        <w:jc w:val="center"/>
        <w:rPr>
          <w:caps/>
          <w:sz w:val="24"/>
          <w:szCs w:val="24"/>
          <w:lang w:val="ru-RU"/>
        </w:rPr>
      </w:pPr>
      <w:bookmarkStart w:id="7" w:name="_Toc51339693"/>
      <w:bookmarkStart w:id="8" w:name="_Toc142558689"/>
      <w:r>
        <w:rPr>
          <w:sz w:val="24"/>
          <w:szCs w:val="24"/>
          <w:lang w:val="ru-RU"/>
        </w:rPr>
        <w:t>Требования</w:t>
      </w:r>
      <w:r>
        <w:rPr>
          <w:sz w:val="24"/>
          <w:szCs w:val="24"/>
        </w:rPr>
        <w:t xml:space="preserve"> к продукции</w:t>
      </w:r>
      <w:bookmarkEnd w:id="7"/>
      <w:bookmarkEnd w:id="8"/>
    </w:p>
    <w:p>
      <w:pPr>
        <w:pStyle w:val="Heading4"/>
        <w:numPr>
          <w:ilvl w:val="0"/>
        </w:numPr>
        <w:ind w:left="432" w:hanging="0"/>
        <w:rPr/>
      </w:pPr>
      <w:r>
        <w:rPr/>
        <w:t xml:space="preserve">2.1. </w:t>
      </w:r>
      <w:bookmarkStart w:id="9" w:name="_Toc142558690"/>
      <w:r>
        <w:rPr/>
        <w:t xml:space="preserve">Требования к объемам и срокам </w:t>
      </w:r>
      <w:r>
        <w:rPr>
          <w:lang w:val="ru-RU"/>
        </w:rPr>
        <w:t xml:space="preserve">оказания </w:t>
      </w:r>
      <w:bookmarkEnd w:id="9"/>
      <w:r>
        <w:rPr>
          <w:lang w:val="ru-RU"/>
        </w:rPr>
        <w:t>услуг</w:t>
      </w:r>
    </w:p>
    <w:p>
      <w:pPr>
        <w:pStyle w:val="Heading3"/>
        <w:numPr>
          <w:ilvl w:val="2"/>
          <w:numId w:val="3"/>
        </w:numPr>
        <w:ind w:left="709" w:hanging="709"/>
        <w:rPr/>
      </w:pPr>
      <w:bookmarkStart w:id="10" w:name="_Toc142558691"/>
      <w:r>
        <w:rPr/>
        <w:t>Требования к перечню и объему услуг</w:t>
      </w:r>
      <w:bookmarkEnd w:id="10"/>
    </w:p>
    <w:p>
      <w:pPr>
        <w:pStyle w:val="Heading1"/>
        <w:numPr>
          <w:ilvl w:val="0"/>
          <w:numId w:val="0"/>
        </w:numPr>
        <w:ind w:left="0" w:hanging="0"/>
        <w:rPr>
          <w:sz w:val="24"/>
          <w:szCs w:val="24"/>
        </w:rPr>
      </w:pPr>
      <w:bookmarkStart w:id="11" w:name="_Toc142558692"/>
      <w:bookmarkStart w:id="12" w:name="_Toc51339695"/>
      <w:r>
        <w:rPr>
          <w:sz w:val="24"/>
          <w:szCs w:val="24"/>
        </w:rPr>
        <w:t xml:space="preserve">Таблица 2. Перечень </w:t>
      </w:r>
      <w:bookmarkEnd w:id="12"/>
      <w:r>
        <w:rPr>
          <w:sz w:val="24"/>
          <w:szCs w:val="24"/>
        </w:rPr>
        <w:t>и объем оказываемых услуг</w:t>
      </w:r>
      <w:bookmarkEnd w:id="11"/>
    </w:p>
    <w:tbl>
      <w:tblPr>
        <w:tblW w:w="981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1021"/>
        <w:gridCol w:w="4968"/>
        <w:gridCol w:w="1704"/>
        <w:gridCol w:w="2116"/>
      </w:tblGrid>
      <w:tr>
        <w:trPr/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Количество*</w:t>
            </w:r>
          </w:p>
        </w:tc>
      </w:tr>
      <w:tr>
        <w:trPr>
          <w:trHeight w:val="297" w:hRule="atLeast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jc w:val="right"/>
              <w:rPr/>
            </w:pPr>
            <w:r>
              <w:rPr/>
            </w:r>
          </w:p>
        </w:tc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 одного колеса для легкового автомобиля R-12-13-14-15-16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услуга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210</w:t>
            </w:r>
          </w:p>
        </w:tc>
      </w:tr>
      <w:tr>
        <w:trPr/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jc w:val="right"/>
              <w:rPr/>
            </w:pPr>
            <w:r>
              <w:rPr/>
            </w:r>
          </w:p>
        </w:tc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 одного колеса для легкового автомобиля R-17-18-19-20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услуга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>
        <w:trPr/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jc w:val="right"/>
              <w:rPr/>
            </w:pPr>
            <w:r>
              <w:rPr/>
            </w:r>
          </w:p>
        </w:tc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 одного колеса для минивэна R-15-16-17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услуга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</w:tr>
      <w:tr>
        <w:trPr/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jc w:val="right"/>
              <w:rPr/>
            </w:pPr>
            <w:r>
              <w:rPr/>
            </w:r>
          </w:p>
        </w:tc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 одного колеса для минивэна R-18-19-20-21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услуга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>
        <w:trPr/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jc w:val="right"/>
              <w:rPr/>
            </w:pPr>
            <w:r>
              <w:rPr/>
            </w:r>
          </w:p>
        </w:tc>
        <w:tc>
          <w:tcPr>
            <w:tcW w:w="4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 одного колеса для джипа R-15-16-17-18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услуга</w:t>
            </w:r>
          </w:p>
        </w:tc>
        <w:tc>
          <w:tcPr>
            <w:tcW w:w="21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>
        <w:trPr/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jc w:val="right"/>
              <w:rPr/>
            </w:pPr>
            <w:r>
              <w:rPr/>
            </w:r>
          </w:p>
        </w:tc>
        <w:tc>
          <w:tcPr>
            <w:tcW w:w="4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 одного колеса с кольцами для грузового автомобиля R-14-15-16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услуга</w:t>
            </w:r>
          </w:p>
        </w:tc>
        <w:tc>
          <w:tcPr>
            <w:tcW w:w="21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>
        <w:trPr/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jc w:val="right"/>
              <w:rPr/>
            </w:pPr>
            <w:r>
              <w:rPr/>
            </w:r>
          </w:p>
        </w:tc>
        <w:tc>
          <w:tcPr>
            <w:tcW w:w="4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 одного колеса без колец для грузового автомобиля R-14-15-16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услуга</w:t>
            </w:r>
          </w:p>
        </w:tc>
        <w:tc>
          <w:tcPr>
            <w:tcW w:w="21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</w:tr>
      <w:tr>
        <w:trPr/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jc w:val="right"/>
              <w:rPr/>
            </w:pPr>
            <w:r>
              <w:rPr/>
            </w:r>
          </w:p>
        </w:tc>
        <w:tc>
          <w:tcPr>
            <w:tcW w:w="4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 одного колеса с кольцами для грузового автомобиля R-17 и выше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услуга</w:t>
            </w:r>
          </w:p>
        </w:tc>
        <w:tc>
          <w:tcPr>
            <w:tcW w:w="21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>
        <w:trPr/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jc w:val="right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4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 одного колеса без колец для грузового автомобиля R-17-18,5-19,5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услуга</w:t>
            </w:r>
          </w:p>
        </w:tc>
        <w:tc>
          <w:tcPr>
            <w:tcW w:w="21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>
        <w:trPr/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jc w:val="right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4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 одного колеса для грузового автомобиля R-20 и выше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услуга</w:t>
            </w:r>
          </w:p>
        </w:tc>
        <w:tc>
          <w:tcPr>
            <w:tcW w:w="21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>
        <w:trPr>
          <w:trHeight w:val="368" w:hRule="atLeast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jc w:val="right"/>
              <w:rPr/>
            </w:pPr>
            <w:r>
              <w:rPr/>
            </w:r>
          </w:p>
        </w:tc>
        <w:tc>
          <w:tcPr>
            <w:tcW w:w="4968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 одного колеса для трактора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услуга</w:t>
            </w:r>
          </w:p>
        </w:tc>
        <w:tc>
          <w:tcPr>
            <w:tcW w:w="21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</w:tbl>
    <w:p>
      <w:pPr>
        <w:pStyle w:val="Normal"/>
        <w:keepNext w:val="true"/>
        <w:numPr>
          <w:ilvl w:val="0"/>
          <w:numId w:val="0"/>
        </w:numPr>
        <w:spacing w:before="120" w:after="60"/>
        <w:ind w:left="142" w:firstLine="578"/>
        <w:jc w:val="both"/>
        <w:outlineLvl w:val="2"/>
        <w:rPr>
          <w:sz w:val="24"/>
          <w:szCs w:val="24"/>
        </w:rPr>
      </w:pPr>
      <w:bookmarkStart w:id="13" w:name="__RefHeading___Toc5481_3158630832"/>
      <w:bookmarkStart w:id="14" w:name="_Toc208930550"/>
      <w:bookmarkStart w:id="15" w:name="_Toc152142174"/>
      <w:bookmarkStart w:id="16" w:name="_Toc207898753"/>
      <w:bookmarkStart w:id="17" w:name="_Toc151719584"/>
      <w:bookmarkEnd w:id="13"/>
      <w:r>
        <w:rPr>
          <w:rFonts w:eastAsia="Calibri"/>
          <w:b/>
          <w:sz w:val="24"/>
          <w:szCs w:val="24"/>
          <w:lang w:eastAsia="x-none"/>
        </w:rPr>
        <w:t xml:space="preserve">* </w:t>
      </w:r>
      <w:bookmarkEnd w:id="17"/>
      <w:r>
        <w:rPr>
          <w:rFonts w:eastAsia="Calibri"/>
          <w:sz w:val="24"/>
          <w:szCs w:val="24"/>
          <w:lang w:eastAsia="x-none"/>
        </w:rPr>
        <w:t>Объем продукции является ориентировочным, и Заказчик не несет ответственность за неполную выборку продукции на общую сумму договора.</w:t>
      </w:r>
      <w:bookmarkEnd w:id="14"/>
      <w:bookmarkEnd w:id="15"/>
      <w:bookmarkEnd w:id="16"/>
    </w:p>
    <w:p>
      <w:pPr>
        <w:pStyle w:val="Heading3"/>
        <w:numPr>
          <w:ilvl w:val="2"/>
          <w:numId w:val="3"/>
        </w:numPr>
        <w:ind w:left="709" w:hanging="709"/>
        <w:rPr/>
      </w:pPr>
      <w:r>
        <w:rPr/>
        <w:t>Требования к срокам оказания услуг</w:t>
      </w:r>
    </w:p>
    <w:p>
      <w:pPr>
        <w:pStyle w:val="Heading1"/>
        <w:numPr>
          <w:ilvl w:val="0"/>
          <w:numId w:val="0"/>
        </w:numPr>
        <w:ind w:left="0" w:hanging="0"/>
        <w:rPr>
          <w:sz w:val="24"/>
          <w:szCs w:val="24"/>
          <w:lang w:val="ru-RU"/>
        </w:rPr>
      </w:pPr>
      <w:bookmarkStart w:id="18" w:name="_Toc142558694"/>
      <w:bookmarkStart w:id="19" w:name="_Toc50125127"/>
      <w:bookmarkStart w:id="20" w:name="_Toc51339697"/>
      <w:bookmarkStart w:id="21" w:name="_Toc50125126"/>
      <w:bookmarkEnd w:id="21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22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19"/>
      <w:bookmarkEnd w:id="20"/>
      <w:bookmarkEnd w:id="22"/>
      <w:r>
        <w:rPr>
          <w:sz w:val="24"/>
          <w:szCs w:val="24"/>
          <w:lang w:val="ru-RU"/>
        </w:rPr>
        <w:t>оказания услуг</w:t>
      </w:r>
      <w:bookmarkEnd w:id="18"/>
    </w:p>
    <w:tbl>
      <w:tblPr>
        <w:tblW w:w="1020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32"/>
        <w:gridCol w:w="2547"/>
        <w:gridCol w:w="2270"/>
        <w:gridCol w:w="4252"/>
      </w:tblGrid>
      <w:tr>
        <w:trPr/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выполнения услуг / этапа услуг</w:t>
            </w:r>
          </w:p>
        </w:tc>
      </w:tr>
      <w:tr>
        <w:trPr/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bookmarkStart w:id="23" w:name="_Toc46743510"/>
            <w:r>
              <w:rPr>
                <w:b/>
                <w:sz w:val="24"/>
                <w:szCs w:val="24"/>
              </w:rPr>
              <w:t>4</w:t>
            </w:r>
            <w:bookmarkEnd w:id="23"/>
          </w:p>
        </w:tc>
      </w:tr>
      <w:tr>
        <w:trPr/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/>
            </w:pPr>
            <w:r>
              <w:rPr/>
            </w:r>
          </w:p>
        </w:tc>
        <w:tc>
          <w:tcPr>
            <w:tcW w:w="254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ОКПД 2: 45.20.21.223 Услуги шиномонтажа в г. Петропавловск Камчатский для нужд Камчатского филиала АО "ТК РусГидро"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</w:t>
            </w:r>
            <w:r>
              <w:rPr>
                <w:sz w:val="24"/>
                <w:szCs w:val="24"/>
              </w:rPr>
              <w:t>7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4"/>
        <w:numPr>
          <w:ilvl w:val="0"/>
        </w:numPr>
        <w:ind w:left="432" w:hanging="0"/>
        <w:rPr/>
      </w:pPr>
      <w:r>
        <w:rPr/>
        <w:t xml:space="preserve">2.2. </w:t>
      </w:r>
      <w:bookmarkStart w:id="24" w:name="_Toc51339698"/>
      <w:bookmarkStart w:id="25" w:name="_Toc142558695"/>
      <w:bookmarkStart w:id="26" w:name="_Toc46743511"/>
      <w:r>
        <w:rPr/>
        <w:t xml:space="preserve">Требования к </w:t>
      </w:r>
      <w:bookmarkEnd w:id="26"/>
      <w:r>
        <w:rPr>
          <w:lang w:val="ru-RU"/>
        </w:rPr>
        <w:t xml:space="preserve">качеству </w:t>
      </w:r>
      <w:bookmarkEnd w:id="25"/>
      <w:r>
        <w:rPr>
          <w:lang w:val="ru-RU"/>
        </w:rPr>
        <w:t>услуг</w:t>
      </w:r>
    </w:p>
    <w:p>
      <w:pPr>
        <w:pStyle w:val="Heading1"/>
        <w:numPr>
          <w:ilvl w:val="0"/>
          <w:numId w:val="0"/>
        </w:numPr>
        <w:ind w:left="0" w:hanging="0"/>
        <w:rPr>
          <w:sz w:val="24"/>
          <w:szCs w:val="24"/>
        </w:rPr>
      </w:pPr>
      <w:bookmarkStart w:id="27" w:name="_Toc142558696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bookmarkEnd w:id="24"/>
      <w:r>
        <w:rPr>
          <w:sz w:val="24"/>
          <w:szCs w:val="24"/>
          <w:lang w:val="ru-RU"/>
        </w:rPr>
        <w:t xml:space="preserve">качеству </w:t>
      </w:r>
      <w:bookmarkEnd w:id="27"/>
      <w:r>
        <w:rPr>
          <w:sz w:val="24"/>
          <w:szCs w:val="24"/>
          <w:lang w:val="ru-RU"/>
        </w:rPr>
        <w:t>услуг</w:t>
      </w:r>
      <w:r>
        <w:rPr>
          <w:sz w:val="24"/>
          <w:szCs w:val="24"/>
        </w:rPr>
        <w:t xml:space="preserve"> </w:t>
      </w:r>
    </w:p>
    <w:p>
      <w:pPr>
        <w:pStyle w:val="Normal"/>
        <w:rPr>
          <w:b/>
          <w:sz w:val="24"/>
          <w:szCs w:val="24"/>
          <w:shd w:fill="FFFF00" w:val="clear"/>
        </w:rPr>
      </w:pPr>
      <w:r>
        <w:rPr>
          <w:b/>
          <w:bCs/>
          <w:sz w:val="24"/>
          <w:szCs w:val="24"/>
        </w:rPr>
        <w:t>Наименование услуг/этапа услуг (позиция № 1-11</w:t>
      </w:r>
      <w:r>
        <w:rPr>
          <w:rStyle w:val="Style8"/>
          <w:b w:val="false"/>
          <w:bCs/>
          <w:sz w:val="24"/>
          <w:szCs w:val="24"/>
          <w:shd w:fill="auto" w:val="clear"/>
        </w:rPr>
        <w:t xml:space="preserve"> </w:t>
      </w:r>
      <w:r>
        <w:rPr>
          <w:b/>
          <w:bCs/>
          <w:sz w:val="24"/>
          <w:szCs w:val="24"/>
        </w:rPr>
        <w:t>Таблицы 2):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>ОКПД 2: 45.20.21.223 Услуги шиномонтажа в г. Петропавловск Камчатский для нужд Камчатского филиала АО "ТК РусГидро"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Style w:val="2e"/>
        <w:tblW w:w="1243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50"/>
        <w:gridCol w:w="2268"/>
        <w:gridCol w:w="3403"/>
        <w:gridCol w:w="2977"/>
        <w:gridCol w:w="2925"/>
        <w:gridCol w:w="12"/>
      </w:tblGrid>
      <w:tr>
        <w:trPr/>
        <w:tc>
          <w:tcPr>
            <w:tcW w:w="850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268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3403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5914" w:type="dxa"/>
            <w:gridSpan w:val="3"/>
            <w:tcBorders/>
            <w:vAlign w:val="center"/>
          </w:tcPr>
          <w:p>
            <w:pPr>
              <w:pStyle w:val="Normal"/>
              <w:widowControl/>
              <w:suppressAutoHyphens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</w:tr>
      <w:tr>
        <w:trPr/>
        <w:tc>
          <w:tcPr>
            <w:tcW w:w="850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fals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fals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403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fals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977" w:type="dxa"/>
            <w:tcBorders/>
            <w:vAlign w:val="center"/>
          </w:tcPr>
          <w:p>
            <w:pPr>
              <w:pStyle w:val="Normal"/>
              <w:widowControl/>
              <w:suppressAutoHyphens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925" w:type="dxa"/>
            <w:tcBorders/>
            <w:vAlign w:val="center"/>
          </w:tcPr>
          <w:p>
            <w:pPr>
              <w:pStyle w:val="Normal"/>
              <w:widowControl/>
              <w:suppressAutoHyphens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fals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suppressAutoHyphens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bookmarkStart w:id="28" w:name="_Toc53499667"/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1</w:t>
            </w:r>
            <w:bookmarkEnd w:id="28"/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widowControl/>
              <w:suppressAutoHyphens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3403" w:type="dxa"/>
            <w:tcBorders/>
            <w:vAlign w:val="center"/>
          </w:tcPr>
          <w:p>
            <w:pPr>
              <w:pStyle w:val="Normal"/>
              <w:widowControl/>
              <w:suppressAutoHyphens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977" w:type="dxa"/>
            <w:tcBorders/>
            <w:vAlign w:val="center"/>
          </w:tcPr>
          <w:p>
            <w:pPr>
              <w:pStyle w:val="Normal"/>
              <w:widowControl/>
              <w:suppressAutoHyphens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925" w:type="dxa"/>
            <w:tcBorders/>
            <w:vAlign w:val="center"/>
          </w:tcPr>
          <w:p>
            <w:pPr>
              <w:pStyle w:val="Normal"/>
              <w:widowControl/>
              <w:suppressAutoHyphens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fals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8"/>
              </w:numPr>
              <w:suppressAutoHyphens w:val="false"/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671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Требования к оказанию услуг </w:t>
            </w:r>
          </w:p>
        </w:tc>
        <w:tc>
          <w:tcPr>
            <w:tcW w:w="2977" w:type="dxa"/>
            <w:tcBorders/>
          </w:tcPr>
          <w:p>
            <w:pPr>
              <w:pStyle w:val="Normal"/>
              <w:keepNext w:val="true"/>
              <w:widowControl/>
              <w:suppressAutoHyphens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25" w:type="dxa"/>
            <w:tcBorders/>
          </w:tcPr>
          <w:p>
            <w:pPr>
              <w:pStyle w:val="Normal"/>
              <w:keepNext w:val="true"/>
              <w:widowControl/>
              <w:suppressAutoHyphens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fals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numPr>
                <w:ilvl w:val="1"/>
                <w:numId w:val="8"/>
              </w:numPr>
              <w:suppressAutoHyphens w:val="false"/>
              <w:spacing w:before="60" w:after="60"/>
              <w:ind w:left="-117" w:firstLine="142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671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fals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Общие требования к оказанию услуг </w:t>
            </w:r>
          </w:p>
        </w:tc>
        <w:tc>
          <w:tcPr>
            <w:tcW w:w="2977" w:type="dxa"/>
            <w:tcBorders/>
          </w:tcPr>
          <w:p>
            <w:pPr>
              <w:pStyle w:val="Normal"/>
              <w:keepNext w:val="true"/>
              <w:widowControl/>
              <w:suppressAutoHyphens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25" w:type="dxa"/>
            <w:tcBorders/>
          </w:tcPr>
          <w:p>
            <w:pPr>
              <w:pStyle w:val="Normal"/>
              <w:keepNext w:val="true"/>
              <w:widowControl/>
              <w:suppressAutoHyphens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fals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numPr>
                <w:ilvl w:val="2"/>
                <w:numId w:val="8"/>
              </w:numPr>
              <w:suppressAutoHyphens w:val="false"/>
              <w:spacing w:before="60" w:after="60"/>
              <w:ind w:left="1224" w:hanging="1199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68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Общие требования</w:t>
            </w:r>
          </w:p>
        </w:tc>
        <w:tc>
          <w:tcPr>
            <w:tcW w:w="3403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false"/>
              <w:snapToGrid w:val="false"/>
              <w:spacing w:before="0" w:after="0"/>
              <w:ind w:right="174" w:firstLine="31"/>
              <w:jc w:val="both"/>
              <w:rPr>
                <w:kern w:val="2"/>
                <w:sz w:val="24"/>
                <w:szCs w:val="24"/>
              </w:rPr>
            </w:pPr>
            <w:r>
              <w:rPr>
                <w:rFonts w:eastAsia="TimesNewRomanPS-BoldMT" w:cs="Times New Roman"/>
                <w:kern w:val="0"/>
                <w:sz w:val="24"/>
                <w:szCs w:val="24"/>
                <w:lang w:val="ru-RU" w:eastAsia="ru-RU" w:bidi="ar-SA"/>
              </w:rPr>
              <w:t xml:space="preserve">Услуги оказываются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 мере возникновения необходимости,</w:t>
            </w:r>
            <w:r>
              <w:rPr>
                <w:rFonts w:eastAsia="Times New Roman" w:cs="Times New Roman"/>
                <w:spacing w:val="5"/>
                <w:kern w:val="0"/>
                <w:sz w:val="24"/>
                <w:szCs w:val="24"/>
                <w:lang w:val="ru-RU" w:eastAsia="ru-RU" w:bidi="ar-SA"/>
              </w:rPr>
              <w:t xml:space="preserve"> по заявке Заказчика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, в согласованное сторонами время</w:t>
            </w:r>
            <w:r>
              <w:rPr>
                <w:rFonts w:eastAsia="Times New Roman" w:cs="Times New Roman"/>
                <w:spacing w:val="5"/>
                <w:kern w:val="0"/>
                <w:sz w:val="24"/>
                <w:szCs w:val="24"/>
                <w:lang w:val="ru-RU" w:eastAsia="ru-RU" w:bidi="ar-SA"/>
              </w:rPr>
              <w:t>. По согласованию с Заказчиком, Исполнитель может оказать услуги досрочно.</w:t>
            </w:r>
          </w:p>
          <w:p>
            <w:pPr>
              <w:pStyle w:val="Normal"/>
              <w:widowControl/>
              <w:suppressAutoHyphens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977" w:type="dxa"/>
            <w:vMerge w:val="restart"/>
            <w:tcBorders/>
            <w:shd w:color="auto" w:fill="auto" w:val="clear"/>
          </w:tcPr>
          <w:p>
            <w:pPr>
              <w:pStyle w:val="Normal"/>
              <w:keepNext w:val="true"/>
              <w:widowControl/>
              <w:suppressAutoHyphens w:val="fals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Участник должен представить в заявке согласие поставить продукцию, полностью соответствующую настоящим техническим требованиям </w:t>
            </w:r>
          </w:p>
        </w:tc>
        <w:tc>
          <w:tcPr>
            <w:tcW w:w="2937" w:type="dxa"/>
            <w:gridSpan w:val="2"/>
            <w:vMerge w:val="restart"/>
            <w:tcBorders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false"/>
              <w:spacing w:before="0" w:after="60"/>
              <w:jc w:val="left"/>
              <w:outlineLvl w:val="2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keepNext w:val="true"/>
              <w:widowControl/>
              <w:suppressAutoHyphens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numPr>
                <w:ilvl w:val="2"/>
                <w:numId w:val="8"/>
              </w:numPr>
              <w:suppressAutoHyphens w:val="false"/>
              <w:spacing w:before="60" w:after="60"/>
              <w:ind w:left="1224" w:hanging="1199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68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Место оказания услуг</w:t>
            </w:r>
          </w:p>
        </w:tc>
        <w:tc>
          <w:tcPr>
            <w:tcW w:w="3403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Место оказания услуг должно быть расположено в границах города Петропавловск-Камчатский и не более 2 километров от дорог общего пользования. Требование к расположению места оказания Услуг связано с минимизацией времени отвлечения водителей и автотранспортных средств от производственного процесса, а также экономией иных косвенных расходов, связанных с эксплуатацией автотранспортных средств (в том числе расхода ГСМ, сокращение пробега автотранспортного средства, не связанного с производственными задачами и т.д.)</w:t>
            </w:r>
          </w:p>
        </w:tc>
        <w:tc>
          <w:tcPr>
            <w:tcW w:w="2977" w:type="dxa"/>
            <w:vMerge w:val="continue"/>
            <w:tcBorders/>
            <w:shd w:color="auto" w:fill="auto" w:val="clear"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false"/>
              <w:spacing w:before="60" w:after="60"/>
              <w:jc w:val="left"/>
              <w:outlineLvl w:val="2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937" w:type="dxa"/>
            <w:gridSpan w:val="2"/>
            <w:vMerge w:val="continue"/>
            <w:tcBorders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uppressAutoHyphens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numPr>
                <w:ilvl w:val="1"/>
                <w:numId w:val="8"/>
              </w:numPr>
              <w:suppressAutoHyphens w:val="false"/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671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false"/>
              <w:spacing w:before="6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способам оказания услуг</w:t>
            </w:r>
          </w:p>
        </w:tc>
        <w:tc>
          <w:tcPr>
            <w:tcW w:w="2977" w:type="dxa"/>
            <w:vMerge w:val="continue"/>
            <w:tcBorders/>
            <w:shd w:color="auto" w:fill="auto" w:val="clear"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false"/>
              <w:spacing w:before="60" w:after="60"/>
              <w:jc w:val="left"/>
              <w:outlineLvl w:val="2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937" w:type="dxa"/>
            <w:gridSpan w:val="2"/>
            <w:vMerge w:val="continue"/>
            <w:tcBorders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uppressAutoHyphens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numPr>
                <w:ilvl w:val="2"/>
                <w:numId w:val="8"/>
              </w:numPr>
              <w:suppressAutoHyphens w:val="false"/>
              <w:spacing w:before="60" w:after="60"/>
              <w:ind w:left="1224" w:hanging="1199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68" w:type="dxa"/>
            <w:vMerge w:val="restart"/>
            <w:tcBorders/>
            <w:shd w:color="auto" w:fill="auto" w:val="clear"/>
          </w:tcPr>
          <w:p>
            <w:pPr>
              <w:pStyle w:val="Normal"/>
              <w:widowControl/>
              <w:suppressAutoHyphens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Способы оказания услуг</w:t>
            </w:r>
          </w:p>
        </w:tc>
        <w:tc>
          <w:tcPr>
            <w:tcW w:w="3403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fals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Услуга оказывается Исполнителем собственными силами и средствами.</w:t>
            </w:r>
          </w:p>
        </w:tc>
        <w:tc>
          <w:tcPr>
            <w:tcW w:w="2977" w:type="dxa"/>
            <w:vMerge w:val="continue"/>
            <w:tcBorders/>
            <w:shd w:color="auto" w:fill="auto" w:val="clear"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false"/>
              <w:spacing w:before="60" w:after="60"/>
              <w:jc w:val="left"/>
              <w:outlineLvl w:val="2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937" w:type="dxa"/>
            <w:gridSpan w:val="2"/>
            <w:vMerge w:val="continue"/>
            <w:tcBorders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uppressAutoHyphens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numPr>
                <w:ilvl w:val="2"/>
                <w:numId w:val="8"/>
              </w:numPr>
              <w:suppressAutoHyphens w:val="false"/>
              <w:spacing w:before="60" w:after="60"/>
              <w:ind w:left="1224" w:hanging="1199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68" w:type="dxa"/>
            <w:vMerge w:val="continue"/>
            <w:tcBorders/>
            <w:shd w:color="auto" w:fill="auto" w:val="clear"/>
          </w:tcPr>
          <w:p>
            <w:pPr>
              <w:pStyle w:val="Normal"/>
              <w:widowControl/>
              <w:suppressAutoHyphens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403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Услуги по шиномонтажному ремонту должны оказываться Исполнителем в соответствии с требованиями, установленными заводом-изготовителем пневматических шин, по заявкам Заказчика.</w:t>
            </w:r>
          </w:p>
        </w:tc>
        <w:tc>
          <w:tcPr>
            <w:tcW w:w="2977" w:type="dxa"/>
            <w:vMerge w:val="continue"/>
            <w:tcBorders/>
            <w:shd w:color="auto" w:fill="auto" w:val="clear"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false"/>
              <w:spacing w:before="60" w:after="60"/>
              <w:jc w:val="left"/>
              <w:outlineLvl w:val="2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937" w:type="dxa"/>
            <w:gridSpan w:val="2"/>
            <w:vMerge w:val="continue"/>
            <w:tcBorders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uppressAutoHyphens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numPr>
                <w:ilvl w:val="1"/>
                <w:numId w:val="8"/>
              </w:numPr>
              <w:suppressAutoHyphens w:val="false"/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671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fals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процедурам оказания услуг</w:t>
            </w:r>
          </w:p>
        </w:tc>
        <w:tc>
          <w:tcPr>
            <w:tcW w:w="2977" w:type="dxa"/>
            <w:vMerge w:val="continue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false"/>
              <w:spacing w:before="60" w:after="60"/>
              <w:jc w:val="left"/>
              <w:outlineLvl w:val="2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937" w:type="dxa"/>
            <w:gridSpan w:val="2"/>
            <w:vMerge w:val="continue"/>
            <w:tcBorders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uppressAutoHyphens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numPr>
                <w:ilvl w:val="2"/>
                <w:numId w:val="8"/>
              </w:numPr>
              <w:suppressAutoHyphens w:val="false"/>
              <w:spacing w:before="60" w:after="60"/>
              <w:ind w:left="1224" w:hanging="1199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68" w:type="dxa"/>
            <w:vMerge w:val="restart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fals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Процедуры оказания услуг</w:t>
            </w:r>
          </w:p>
        </w:tc>
        <w:tc>
          <w:tcPr>
            <w:tcW w:w="3403" w:type="dxa"/>
            <w:tcBorders/>
          </w:tcPr>
          <w:p>
            <w:pPr>
              <w:pStyle w:val="Normal"/>
              <w:widowControl/>
              <w:suppressAutoHyphens w:val="false"/>
              <w:snapToGrid w:val="false"/>
              <w:spacing w:before="0" w:after="0"/>
              <w:ind w:right="32" w:firstLine="851"/>
              <w:jc w:val="both"/>
              <w:rPr>
                <w:kern w:val="2"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Основанием для оказания услуг является устная заявка, полученная от Заказчика по телефону, факсу, электронной почте или другим средствам связи.</w:t>
            </w:r>
          </w:p>
          <w:p>
            <w:pPr>
              <w:pStyle w:val="Normal"/>
              <w:widowControl/>
              <w:suppressAutoHyphens w:val="false"/>
              <w:snapToGrid w:val="false"/>
              <w:spacing w:before="0" w:after="0"/>
              <w:ind w:right="-125" w:firstLine="851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977" w:type="dxa"/>
            <w:vMerge w:val="continue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false"/>
              <w:spacing w:before="60" w:after="60"/>
              <w:jc w:val="left"/>
              <w:outlineLvl w:val="2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937" w:type="dxa"/>
            <w:gridSpan w:val="2"/>
            <w:vMerge w:val="continue"/>
            <w:tcBorders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false"/>
              <w:spacing w:before="60" w:after="60"/>
              <w:jc w:val="left"/>
              <w:outlineLvl w:val="2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numPr>
                <w:ilvl w:val="2"/>
                <w:numId w:val="8"/>
              </w:numPr>
              <w:suppressAutoHyphens w:val="false"/>
              <w:spacing w:before="60" w:after="60"/>
              <w:ind w:left="1224" w:hanging="1199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68" w:type="dxa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fals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403" w:type="dxa"/>
            <w:tcBorders/>
          </w:tcPr>
          <w:p>
            <w:pPr>
              <w:pStyle w:val="Normal"/>
              <w:widowControl/>
              <w:suppressAutoHyphens w:val="false"/>
              <w:snapToGrid w:val="false"/>
              <w:spacing w:before="0" w:after="0"/>
              <w:ind w:right="32" w:firstLine="851"/>
              <w:jc w:val="both"/>
              <w:rPr>
                <w:kern w:val="2"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 xml:space="preserve">Исполнение заявки осуществляется в течение </w:t>
            </w: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ru-RU" w:bidi="ar-SA"/>
              </w:rPr>
              <w:t>1 (одного) рабочего дня с момента обращения Заказчика в отношении каждого транспортного средства.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fals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977" w:type="dxa"/>
            <w:vMerge w:val="continue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false"/>
              <w:spacing w:before="60" w:after="60"/>
              <w:jc w:val="left"/>
              <w:outlineLvl w:val="2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937" w:type="dxa"/>
            <w:gridSpan w:val="2"/>
            <w:vMerge w:val="continue"/>
            <w:tcBorders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false"/>
              <w:spacing w:before="60" w:after="60"/>
              <w:jc w:val="left"/>
              <w:outlineLvl w:val="2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90" w:hRule="atLeast"/>
        </w:trPr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suppressAutoHyphens w:val="fals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1.3.3.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fals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Состав оказываемых услуг</w:t>
            </w:r>
          </w:p>
        </w:tc>
        <w:tc>
          <w:tcPr>
            <w:tcW w:w="3403" w:type="dxa"/>
            <w:tcBorders/>
          </w:tcPr>
          <w:p>
            <w:pPr>
              <w:pStyle w:val="ListParagraph"/>
              <w:widowControl w:val="false"/>
              <w:suppressAutoHyphens w:val="false"/>
              <w:spacing w:lineRule="exact" w:line="320" w:before="0" w:after="0"/>
              <w:ind w:left="456" w:hanging="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В комплекс одного колеса входят следующие услуги:</w:t>
            </w:r>
          </w:p>
          <w:p>
            <w:pPr>
              <w:pStyle w:val="ListParagraph"/>
              <w:widowControl w:val="false"/>
              <w:numPr>
                <w:ilvl w:val="3"/>
                <w:numId w:val="7"/>
              </w:numPr>
              <w:suppressAutoHyphens w:val="false"/>
              <w:spacing w:lineRule="exact" w:line="320" w:before="0" w:after="0"/>
              <w:ind w:left="156" w:firstLine="30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Снятие колеса с автомобиля.</w:t>
            </w:r>
          </w:p>
          <w:p>
            <w:pPr>
              <w:pStyle w:val="ListParagraph"/>
              <w:widowControl w:val="false"/>
              <w:numPr>
                <w:ilvl w:val="3"/>
                <w:numId w:val="7"/>
              </w:numPr>
              <w:suppressAutoHyphens w:val="false"/>
              <w:spacing w:lineRule="exact" w:line="320" w:before="0" w:after="0"/>
              <w:ind w:left="156" w:firstLine="30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Демонтаж автомобильной шины: удаление старых балансировочных грузов и техническая очистка дисков, демонтаж шины снятого колеса на шиномонтажном станке.</w:t>
            </w:r>
          </w:p>
          <w:p>
            <w:pPr>
              <w:pStyle w:val="ListParagraph"/>
              <w:widowControl w:val="false"/>
              <w:numPr>
                <w:ilvl w:val="3"/>
                <w:numId w:val="7"/>
              </w:numPr>
              <w:suppressAutoHyphens w:val="false"/>
              <w:spacing w:lineRule="exact" w:line="320" w:before="0" w:after="0"/>
              <w:ind w:left="156" w:firstLine="30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Монтаж автомобильной шины: монтаж шины на диск, накачивание колеса, регулировка давления.</w:t>
            </w:r>
          </w:p>
          <w:p>
            <w:pPr>
              <w:pStyle w:val="ListParagraph"/>
              <w:widowControl w:val="false"/>
              <w:numPr>
                <w:ilvl w:val="3"/>
                <w:numId w:val="7"/>
              </w:numPr>
              <w:suppressAutoHyphens w:val="false"/>
              <w:spacing w:lineRule="exact" w:line="320" w:before="0" w:after="0"/>
              <w:ind w:left="156" w:firstLine="30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Балансировка колеса: балансировка колеса на балансировочном стенде с применением балансировочных грузов.</w:t>
            </w:r>
          </w:p>
          <w:p>
            <w:pPr>
              <w:pStyle w:val="ListParagraph"/>
              <w:widowControl w:val="false"/>
              <w:numPr>
                <w:ilvl w:val="3"/>
                <w:numId w:val="7"/>
              </w:numPr>
              <w:suppressAutoHyphens w:val="false"/>
              <w:spacing w:lineRule="exact" w:line="320" w:before="0" w:after="0"/>
              <w:ind w:left="156" w:firstLine="30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Установка колеса на автомобиль.</w:t>
            </w:r>
          </w:p>
          <w:p>
            <w:pPr>
              <w:pStyle w:val="Normal"/>
              <w:widowControl w:val="false"/>
              <w:suppressAutoHyphens w:val="false"/>
              <w:spacing w:lineRule="exact" w:line="32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Услуги ремонта поврежденных шин не включены в стоимость комплексных услуг, оказываются Исполнителем по фактической потребности и по тарифам Исполнителя, действующим на момент оказания услуг.</w:t>
            </w:r>
          </w:p>
        </w:tc>
        <w:tc>
          <w:tcPr>
            <w:tcW w:w="2977" w:type="dxa"/>
            <w:vMerge w:val="continue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false"/>
              <w:spacing w:before="60" w:after="60"/>
              <w:jc w:val="left"/>
              <w:outlineLvl w:val="2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937" w:type="dxa"/>
            <w:gridSpan w:val="2"/>
            <w:vMerge w:val="continue"/>
            <w:tcBorders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false"/>
              <w:spacing w:before="60" w:after="60"/>
              <w:jc w:val="left"/>
              <w:outlineLvl w:val="2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90" w:hRule="atLeast"/>
        </w:trPr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suppressAutoHyphens w:val="fals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1.3.4.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fals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Обязанности Исполнителя при оказании услуг</w:t>
            </w:r>
          </w:p>
        </w:tc>
        <w:tc>
          <w:tcPr>
            <w:tcW w:w="3403" w:type="dxa"/>
            <w:tcBorders/>
          </w:tcPr>
          <w:p>
            <w:pPr>
              <w:pStyle w:val="Normal"/>
              <w:widowControl/>
              <w:suppressAutoHyphens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 ходе оказания услуг Исполнитель должен:</w:t>
            </w:r>
          </w:p>
          <w:p>
            <w:pPr>
              <w:pStyle w:val="Normal"/>
              <w:widowControl/>
              <w:suppressAutoHyphens w:val="false"/>
              <w:spacing w:before="0" w:after="0"/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контролировать качество оказания услуг;</w:t>
            </w:r>
          </w:p>
          <w:p>
            <w:pPr>
              <w:pStyle w:val="Normal"/>
              <w:widowControl/>
              <w:suppressAutoHyphens w:val="false"/>
              <w:spacing w:before="0" w:after="0"/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незамедлительно информировать Заказчика об обнаруженных в ходе ремонта по заявке Заказчика каких-либо дополнительных, не отмеченных в заявке неисправностей, с указанием ориентировочной стоимости и сроков устранения неисправностей;</w:t>
            </w:r>
          </w:p>
          <w:p>
            <w:pPr>
              <w:pStyle w:val="Normal"/>
              <w:widowControl/>
              <w:suppressAutoHyphens w:val="false"/>
              <w:spacing w:before="0" w:after="0"/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при оказании любых услуг обеспечить представителю Заказчика возможность наблюдать весь процесс непосредственно в зоне их проведения (по желанию Заказчика);</w:t>
            </w:r>
          </w:p>
          <w:p>
            <w:pPr>
              <w:pStyle w:val="Normal"/>
              <w:widowControl/>
              <w:suppressAutoHyphens w:val="false"/>
              <w:spacing w:before="0" w:after="0"/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по требованию Заказчика предъявлять соответствующие сертификаты;</w:t>
            </w:r>
          </w:p>
          <w:p>
            <w:pPr>
              <w:pStyle w:val="Normal"/>
              <w:widowControl/>
              <w:suppressAutoHyphens w:val="false"/>
              <w:spacing w:before="0" w:after="0"/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все демонтированные шины Исполнитель обязан вернуть Заказчику.</w:t>
            </w:r>
          </w:p>
        </w:tc>
        <w:tc>
          <w:tcPr>
            <w:tcW w:w="2977" w:type="dxa"/>
            <w:vMerge w:val="continue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false"/>
              <w:spacing w:before="60" w:after="60"/>
              <w:jc w:val="left"/>
              <w:outlineLvl w:val="2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937" w:type="dxa"/>
            <w:gridSpan w:val="2"/>
            <w:vMerge w:val="continue"/>
            <w:tcBorders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false"/>
              <w:spacing w:before="60" w:after="60"/>
              <w:jc w:val="left"/>
              <w:outlineLvl w:val="2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numPr>
                <w:ilvl w:val="1"/>
                <w:numId w:val="8"/>
              </w:numPr>
              <w:suppressAutoHyphens w:val="false"/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671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fals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2977" w:type="dxa"/>
            <w:vMerge w:val="continue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false"/>
              <w:spacing w:before="60" w:after="60"/>
              <w:jc w:val="left"/>
              <w:outlineLvl w:val="2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937" w:type="dxa"/>
            <w:gridSpan w:val="2"/>
            <w:vMerge w:val="continue"/>
            <w:tcBorders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uppressAutoHyphens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numPr>
                <w:ilvl w:val="2"/>
                <w:numId w:val="8"/>
              </w:numPr>
              <w:suppressAutoHyphens w:val="false"/>
              <w:spacing w:before="60" w:after="60"/>
              <w:ind w:left="1224" w:hanging="1199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fals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Материалы применяемые при оказании услуг</w:t>
            </w:r>
          </w:p>
        </w:tc>
        <w:tc>
          <w:tcPr>
            <w:tcW w:w="3403" w:type="dxa"/>
            <w:tcBorders/>
          </w:tcPr>
          <w:p>
            <w:pPr>
              <w:pStyle w:val="Normal"/>
              <w:widowControl/>
              <w:suppressAutoHyphens w:val="false"/>
              <w:spacing w:before="0" w:after="0"/>
              <w:ind w:right="-24" w:firstLine="85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Расходные материалы, применяемые при оказании услуг, должны быть качественными, новыми, ранее неиспользованными, должны отвечать стандартам и требованиям, предъявляемым к расходным материалам данного рода, действующим на территории Российской Федерации.</w:t>
            </w:r>
          </w:p>
          <w:p>
            <w:pPr>
              <w:pStyle w:val="Normal"/>
              <w:widowControl/>
              <w:suppressAutoHyphens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977" w:type="dxa"/>
            <w:vMerge w:val="continue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false"/>
              <w:spacing w:before="60" w:after="60"/>
              <w:jc w:val="left"/>
              <w:outlineLvl w:val="2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937" w:type="dxa"/>
            <w:gridSpan w:val="2"/>
            <w:vMerge w:val="continue"/>
            <w:tcBorders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fals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numPr>
                <w:ilvl w:val="2"/>
                <w:numId w:val="8"/>
              </w:numPr>
              <w:suppressAutoHyphens w:val="false"/>
              <w:spacing w:before="60" w:after="60"/>
              <w:ind w:left="1224" w:hanging="1199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fals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Оборудование применяемое при оказании услуг</w:t>
            </w:r>
          </w:p>
        </w:tc>
        <w:tc>
          <w:tcPr>
            <w:tcW w:w="340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false"/>
              <w:spacing w:lineRule="exact" w:line="32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Используемое при выполнении работ специализированное оборудование должно обеспечить оказание всех видов работ на всех типоразмерах шин Заказчика.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false"/>
              <w:spacing w:lineRule="exact" w:line="32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7.3. Исполнитель информирует Заказчика о выявленных скрытых дефектах.</w:t>
            </w:r>
          </w:p>
          <w:p>
            <w:pPr>
              <w:pStyle w:val="Normal"/>
              <w:widowControl/>
              <w:suppressAutoHyphens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977" w:type="dxa"/>
            <w:vMerge w:val="continue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false"/>
              <w:spacing w:before="60" w:after="60"/>
              <w:jc w:val="left"/>
              <w:outlineLvl w:val="2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937" w:type="dxa"/>
            <w:gridSpan w:val="2"/>
            <w:vMerge w:val="continue"/>
            <w:tcBorders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fals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suppressAutoHyphens w:val="fals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1.4.3.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fals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Стоимость расходных материалов</w:t>
            </w:r>
          </w:p>
        </w:tc>
        <w:tc>
          <w:tcPr>
            <w:tcW w:w="3403" w:type="dxa"/>
            <w:tcBorders/>
          </w:tcPr>
          <w:p>
            <w:pPr>
              <w:pStyle w:val="Normal"/>
              <w:widowControl/>
              <w:suppressAutoHyphens w:val="false"/>
              <w:spacing w:before="0" w:after="0"/>
              <w:ind w:firstLine="31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Стоимость расходных и ремонтных материалов, необходимых для оказания услуг, не включена в цену Услуг и выставляется Заказчику Исполнителем по фактическому использованию.</w:t>
            </w:r>
          </w:p>
        </w:tc>
        <w:tc>
          <w:tcPr>
            <w:tcW w:w="2977" w:type="dxa"/>
            <w:vMerge w:val="continue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false"/>
              <w:spacing w:before="60" w:after="60"/>
              <w:jc w:val="left"/>
              <w:outlineLvl w:val="2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937" w:type="dxa"/>
            <w:gridSpan w:val="2"/>
            <w:vMerge w:val="continue"/>
            <w:tcBorders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fals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numPr>
                <w:ilvl w:val="1"/>
                <w:numId w:val="8"/>
              </w:numPr>
              <w:suppressAutoHyphens w:val="false"/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671" w:type="dxa"/>
            <w:gridSpan w:val="2"/>
            <w:tcBorders/>
          </w:tcPr>
          <w:p>
            <w:pPr>
              <w:pStyle w:val="Normal"/>
              <w:widowControl/>
              <w:suppressAutoHyphens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персоналу исполнителя</w:t>
            </w:r>
          </w:p>
        </w:tc>
        <w:tc>
          <w:tcPr>
            <w:tcW w:w="2977" w:type="dxa"/>
            <w:vMerge w:val="continue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false"/>
              <w:spacing w:before="60" w:after="60"/>
              <w:jc w:val="left"/>
              <w:outlineLvl w:val="2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937" w:type="dxa"/>
            <w:gridSpan w:val="2"/>
            <w:vMerge w:val="continue"/>
            <w:tcBorders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uppressAutoHyphens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numPr>
                <w:ilvl w:val="2"/>
                <w:numId w:val="8"/>
              </w:numPr>
              <w:suppressAutoHyphens w:val="false"/>
              <w:spacing w:before="60" w:after="60"/>
              <w:ind w:left="1224" w:hanging="1199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fals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персоналу исполнителя</w:t>
            </w:r>
          </w:p>
        </w:tc>
        <w:tc>
          <w:tcPr>
            <w:tcW w:w="3403" w:type="dxa"/>
            <w:tcBorders/>
          </w:tcPr>
          <w:p>
            <w:pPr>
              <w:pStyle w:val="Normal"/>
              <w:widowControl/>
              <w:suppressAutoHyphens w:val="false"/>
              <w:spacing w:before="0" w:after="0"/>
              <w:ind w:right="-24" w:firstLine="85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 xml:space="preserve">Все шиномонтажные работы должны проводиться персоналом с опытом работы, на специализированном оборудовании с использованием инструментов и приспособлений с соблюдением необходимых требований безопасности и охраны труда работников при организации и проведении работ. Используемое при оказании Услуг специализированное оборудование должно обеспечить оказание всех видов услуг на всех типоразмерах шин и колес всех транспортных средств Заказчика. </w:t>
            </w:r>
          </w:p>
        </w:tc>
        <w:tc>
          <w:tcPr>
            <w:tcW w:w="2977" w:type="dxa"/>
            <w:vMerge w:val="continue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false"/>
              <w:spacing w:before="60" w:after="60"/>
              <w:jc w:val="left"/>
              <w:outlineLvl w:val="2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937" w:type="dxa"/>
            <w:gridSpan w:val="2"/>
            <w:vMerge w:val="continue"/>
            <w:tcBorders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fals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8"/>
              </w:numPr>
              <w:suppressAutoHyphens w:val="false"/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671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fals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результатам у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слуг</w:t>
            </w:r>
          </w:p>
        </w:tc>
        <w:tc>
          <w:tcPr>
            <w:tcW w:w="2977" w:type="dxa"/>
            <w:vMerge w:val="continue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false"/>
              <w:spacing w:before="60" w:after="60"/>
              <w:jc w:val="left"/>
              <w:outlineLvl w:val="2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937" w:type="dxa"/>
            <w:gridSpan w:val="2"/>
            <w:vMerge w:val="continue"/>
            <w:tcBorders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uppressAutoHyphens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numPr>
                <w:ilvl w:val="1"/>
                <w:numId w:val="8"/>
              </w:numPr>
              <w:suppressAutoHyphens w:val="false"/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671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fals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Общие требования к результатам услуг</w:t>
            </w:r>
          </w:p>
        </w:tc>
        <w:tc>
          <w:tcPr>
            <w:tcW w:w="2977" w:type="dxa"/>
            <w:vMerge w:val="continue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false"/>
              <w:spacing w:before="60" w:after="60"/>
              <w:jc w:val="left"/>
              <w:outlineLvl w:val="2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937" w:type="dxa"/>
            <w:gridSpan w:val="2"/>
            <w:vMerge w:val="continue"/>
            <w:tcBorders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uppressAutoHyphens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numPr>
                <w:ilvl w:val="2"/>
                <w:numId w:val="8"/>
              </w:numPr>
              <w:suppressAutoHyphens w:val="false"/>
              <w:spacing w:before="60" w:after="60"/>
              <w:ind w:left="1224" w:hanging="1199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fals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результатам услуг</w:t>
            </w:r>
          </w:p>
        </w:tc>
        <w:tc>
          <w:tcPr>
            <w:tcW w:w="3403" w:type="dxa"/>
            <w:tcBorders/>
          </w:tcPr>
          <w:p>
            <w:pPr>
              <w:pStyle w:val="Normal"/>
              <w:widowControl/>
              <w:suppressAutoHyphens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Автомобили Заказчика после оказания услуг Исполнителем должны отвечать требованиям, регламентирующим техническое состояние и оборудование ТС, участвующих в дорожном движении, в части, относящейся к обеспечению безопасности дорожного движения.</w:t>
            </w:r>
          </w:p>
        </w:tc>
        <w:tc>
          <w:tcPr>
            <w:tcW w:w="2977" w:type="dxa"/>
            <w:vMerge w:val="continue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false"/>
              <w:spacing w:before="60" w:after="60"/>
              <w:jc w:val="left"/>
              <w:outlineLvl w:val="2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937" w:type="dxa"/>
            <w:gridSpan w:val="2"/>
            <w:vMerge w:val="continue"/>
            <w:tcBorders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false"/>
              <w:spacing w:before="60" w:after="60"/>
              <w:jc w:val="left"/>
              <w:outlineLvl w:val="2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numPr>
                <w:ilvl w:val="1"/>
                <w:numId w:val="8"/>
              </w:numPr>
              <w:suppressAutoHyphens w:val="false"/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671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fals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2977" w:type="dxa"/>
            <w:vMerge w:val="continue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false"/>
              <w:spacing w:before="60" w:after="60"/>
              <w:jc w:val="left"/>
              <w:outlineLvl w:val="2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937" w:type="dxa"/>
            <w:gridSpan w:val="2"/>
            <w:vMerge w:val="continue"/>
            <w:tcBorders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uppressAutoHyphens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numPr>
                <w:ilvl w:val="2"/>
                <w:numId w:val="8"/>
              </w:numPr>
              <w:suppressAutoHyphens w:val="false"/>
              <w:spacing w:before="60" w:after="60"/>
              <w:ind w:left="1224" w:hanging="1199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uppressAutoHyphens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Документация, описывающая результат оказания услуг</w:t>
            </w:r>
          </w:p>
        </w:tc>
        <w:tc>
          <w:tcPr>
            <w:tcW w:w="3403" w:type="dxa"/>
            <w:tcBorders/>
            <w:vAlign w:val="center"/>
          </w:tcPr>
          <w:p>
            <w:pPr>
              <w:pStyle w:val="Normal"/>
              <w:widowControl/>
              <w:suppressAutoHyphens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 позднее 5-го числа следующего за отчетным месяцем Исполнитель представляет Заказчику Счет, Акт выполненных работ, Заказ-наряды на услуги, оказанные в отчётном периоде, ведомость транспортных средств, в отношении которых оказывались услуги.  Если в течение 3 (трех) дней после получения документов Заказчик не предъявляет претензий по количеству и качеству работ, Акт оказанных услуг считается подписанным и принятым.</w:t>
            </w:r>
          </w:p>
        </w:tc>
        <w:tc>
          <w:tcPr>
            <w:tcW w:w="2977" w:type="dxa"/>
            <w:vMerge w:val="continue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false"/>
              <w:spacing w:before="60" w:after="60"/>
              <w:jc w:val="left"/>
              <w:outlineLvl w:val="2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937" w:type="dxa"/>
            <w:gridSpan w:val="2"/>
            <w:vMerge w:val="continue"/>
            <w:tcBorders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false"/>
              <w:spacing w:before="60" w:after="60"/>
              <w:jc w:val="left"/>
              <w:outlineLvl w:val="2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8"/>
              </w:numPr>
              <w:suppressAutoHyphens w:val="false"/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671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false"/>
              <w:spacing w:before="4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соблюдению положений нормативной и иной обязательной для исполнителя документации, определяемой видами услуг (помимо указанных в других разделах ТТ)</w:t>
            </w:r>
          </w:p>
        </w:tc>
        <w:tc>
          <w:tcPr>
            <w:tcW w:w="2977" w:type="dxa"/>
            <w:vMerge w:val="continue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false"/>
              <w:spacing w:before="60" w:after="60"/>
              <w:jc w:val="left"/>
              <w:outlineLvl w:val="2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937" w:type="dxa"/>
            <w:gridSpan w:val="2"/>
            <w:vMerge w:val="continue"/>
            <w:tcBorders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uppressAutoHyphens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>
          <w:trHeight w:val="337" w:hRule="atLeast"/>
        </w:trPr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numPr>
                <w:ilvl w:val="1"/>
                <w:numId w:val="8"/>
              </w:numPr>
              <w:suppressAutoHyphens w:val="false"/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false"/>
              <w:spacing w:before="60" w:after="60"/>
              <w:jc w:val="left"/>
              <w:outlineLvl w:val="2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Нормативная документация </w:t>
            </w:r>
          </w:p>
        </w:tc>
        <w:tc>
          <w:tcPr>
            <w:tcW w:w="3403" w:type="dxa"/>
            <w:tcBorders/>
          </w:tcPr>
          <w:p>
            <w:pPr>
              <w:pStyle w:val="Normal"/>
              <w:widowControl/>
              <w:suppressAutoHyphens w:val="false"/>
              <w:spacing w:before="0" w:after="0"/>
              <w:ind w:right="-24" w:hanging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 xml:space="preserve">Исполнитель обязан оказать услуги в соответствии с требованиями действующего законодательства, в т.ч. государственных стандартов, норм, правил и технических условий, регламентирующих данный вид деятельности, в объеме и в сроки, предусмотренные Контрактом. </w:t>
            </w:r>
          </w:p>
          <w:p>
            <w:pPr>
              <w:pStyle w:val="Normal"/>
              <w:widowControl/>
              <w:suppressAutoHyphens w:val="false"/>
              <w:spacing w:before="0" w:after="0"/>
              <w:ind w:right="-24" w:firstLine="85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 xml:space="preserve">Работы должны быть выполнены в соответствии с </w:t>
            </w:r>
            <w:hyperlink r:id="rId5">
              <w:r>
                <w:rPr>
                  <w:rFonts w:eastAsia="Calibri" w:cs="Times New Roman"/>
                  <w:color w:val="0000FF"/>
                  <w:kern w:val="0"/>
                  <w:sz w:val="24"/>
                  <w:szCs w:val="24"/>
                  <w:u w:val="single"/>
                  <w:lang w:val="ru-RU" w:eastAsia="ru-RU" w:bidi="ar-SA"/>
                </w:rPr>
                <w:t>ГОСТ 33997-2016</w:t>
              </w:r>
            </w:hyperlink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 xml:space="preserve"> "Колесные транспортные средства. Требования к безопасности в эксплуатации и методы проверки", постановлением Правительства РФ от 11.04.2001 № 290 «Правила оказания услуг (выполнения работ) по техническому обслуживанию и ремонту автотранспортных средств», соблюдением требованием экологических, санитарно-гигиенических, противопожарных и других норм и правил.</w:t>
            </w:r>
          </w:p>
        </w:tc>
        <w:tc>
          <w:tcPr>
            <w:tcW w:w="2977" w:type="dxa"/>
            <w:vMerge w:val="continue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false"/>
              <w:spacing w:before="60" w:after="60"/>
              <w:jc w:val="left"/>
              <w:outlineLvl w:val="2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937" w:type="dxa"/>
            <w:gridSpan w:val="2"/>
            <w:vMerge w:val="continue"/>
            <w:tcBorders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false"/>
              <w:spacing w:before="60" w:after="60"/>
              <w:jc w:val="left"/>
              <w:outlineLvl w:val="2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numPr>
                <w:ilvl w:val="1"/>
                <w:numId w:val="8"/>
              </w:numPr>
              <w:suppressAutoHyphens w:val="false"/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fals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Применяемые методы и технологии</w:t>
            </w:r>
          </w:p>
        </w:tc>
        <w:tc>
          <w:tcPr>
            <w:tcW w:w="340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fals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Применяемые методы и технологии должны соответствовать требованиям экологических, санитарно-гигиенических, противопожарных и других норм, действующих на территории Российской Федерации, и обеспечивать безопасную для жизни и здоровья людей эксплуатацию автотранспортных средств.</w:t>
            </w:r>
          </w:p>
        </w:tc>
        <w:tc>
          <w:tcPr>
            <w:tcW w:w="2977" w:type="dxa"/>
            <w:vMerge w:val="continue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false"/>
              <w:spacing w:before="60" w:after="60"/>
              <w:jc w:val="left"/>
              <w:outlineLvl w:val="2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937" w:type="dxa"/>
            <w:gridSpan w:val="2"/>
            <w:vMerge w:val="continue"/>
            <w:tcBorders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false"/>
              <w:spacing w:before="60" w:after="60"/>
              <w:jc w:val="left"/>
              <w:outlineLvl w:val="2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8"/>
              </w:numPr>
              <w:suppressAutoHyphens w:val="false"/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671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false"/>
              <w:spacing w:before="2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ответственности и гарантиям исполнителя</w:t>
            </w:r>
          </w:p>
        </w:tc>
        <w:tc>
          <w:tcPr>
            <w:tcW w:w="2977" w:type="dxa"/>
            <w:vMerge w:val="continue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false"/>
              <w:spacing w:before="60" w:after="60"/>
              <w:jc w:val="left"/>
              <w:outlineLvl w:val="2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937" w:type="dxa"/>
            <w:gridSpan w:val="2"/>
            <w:vMerge w:val="continue"/>
            <w:tcBorders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uppressAutoHyphens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numPr>
                <w:ilvl w:val="1"/>
                <w:numId w:val="8"/>
              </w:numPr>
              <w:suppressAutoHyphens w:val="false"/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68" w:type="dxa"/>
            <w:vMerge w:val="restart"/>
            <w:tcBorders/>
          </w:tcPr>
          <w:p>
            <w:pPr>
              <w:pStyle w:val="Normal"/>
              <w:widowControl/>
              <w:suppressAutoHyphens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Гарантии исполнителя</w:t>
            </w:r>
          </w:p>
        </w:tc>
        <w:tc>
          <w:tcPr>
            <w:tcW w:w="3403" w:type="dxa"/>
            <w:tcBorders/>
          </w:tcPr>
          <w:p>
            <w:pPr>
              <w:pStyle w:val="Normal"/>
              <w:widowControl/>
              <w:suppressAutoHyphens w:val="false"/>
              <w:spacing w:before="0" w:after="0"/>
              <w:ind w:right="-24" w:firstLine="85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Исполнитель несет полную материальную ответственность за причинение ущерба имуществу Заказчика в ходе оказания услуг по вине Исполнителя.</w:t>
            </w:r>
          </w:p>
          <w:p>
            <w:pPr>
              <w:pStyle w:val="Normal"/>
              <w:widowControl/>
              <w:suppressAutoHyphens w:val="false"/>
              <w:spacing w:before="0" w:after="0"/>
              <w:ind w:right="-24" w:firstLine="85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Исполнитель гарантирует полную сохранность всего имущества Заказчика в период выполнения Исполнителем работ.</w:t>
            </w:r>
          </w:p>
        </w:tc>
        <w:tc>
          <w:tcPr>
            <w:tcW w:w="2977" w:type="dxa"/>
            <w:vMerge w:val="continue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false"/>
              <w:spacing w:before="60" w:after="60"/>
              <w:jc w:val="left"/>
              <w:outlineLvl w:val="2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937" w:type="dxa"/>
            <w:gridSpan w:val="2"/>
            <w:vMerge w:val="continue"/>
            <w:tcBorders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false"/>
              <w:spacing w:before="4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numPr>
                <w:ilvl w:val="1"/>
                <w:numId w:val="8"/>
              </w:numPr>
              <w:suppressAutoHyphens w:val="false"/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68" w:type="dxa"/>
            <w:vMerge w:val="continue"/>
            <w:tcBorders/>
          </w:tcPr>
          <w:p>
            <w:pPr>
              <w:pStyle w:val="Normal"/>
              <w:widowControl/>
              <w:suppressAutoHyphens w:val="false"/>
              <w:spacing w:before="40" w:after="0"/>
              <w:jc w:val="left"/>
              <w:rPr>
                <w:b/>
                <w:bCs/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403" w:type="dxa"/>
            <w:tcBorders/>
          </w:tcPr>
          <w:p>
            <w:pPr>
              <w:pStyle w:val="Normal"/>
              <w:widowControl/>
              <w:suppressAutoHyphens w:val="false"/>
              <w:spacing w:before="0" w:after="0"/>
              <w:ind w:firstLine="85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Срок гарантии на оказанные услуги 1 месяц или 2 тыс. км. пробега. Под гарантийным обслуживанием подразумевается восстановление герметичности колеса и устранение дисбаланса, при наличии данных неисправностей по причинам, не связанным с неправильной эксплуатацией в гарантийный период.</w:t>
            </w:r>
          </w:p>
          <w:p>
            <w:pPr>
              <w:pStyle w:val="Normal"/>
              <w:widowControl/>
              <w:suppressAutoHyphens w:val="false"/>
              <w:spacing w:before="0" w:after="0"/>
              <w:ind w:firstLine="85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 xml:space="preserve">Срок устранения недостатков, в пределах гарантийного срока, составляет </w:t>
            </w:r>
            <w:r>
              <w:rPr>
                <w:rFonts w:eastAsia="Calibri" w:cs="Times New Roman"/>
                <w:bCs/>
                <w:kern w:val="0"/>
                <w:sz w:val="24"/>
                <w:szCs w:val="24"/>
                <w:lang w:val="ru-RU" w:eastAsia="ru-RU" w:bidi="ar-SA"/>
              </w:rPr>
              <w:t>не</w:t>
            </w:r>
            <w:r>
              <w:rPr>
                <w:rFonts w:eastAsia="Calibri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более 1 дня с момента извещения Исполнителя об обнаружении дефектов.</w:t>
            </w:r>
          </w:p>
          <w:p>
            <w:pPr>
              <w:pStyle w:val="Normal"/>
              <w:widowControl/>
              <w:suppressAutoHyphens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Гарантийный срок исчисляется с момента подписания представителем Заказчика акта оказанных услуг (выполненных работ).</w:t>
            </w:r>
          </w:p>
        </w:tc>
        <w:tc>
          <w:tcPr>
            <w:tcW w:w="2977" w:type="dxa"/>
            <w:vMerge w:val="continue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false"/>
              <w:spacing w:before="60" w:after="60"/>
              <w:jc w:val="left"/>
              <w:outlineLvl w:val="2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937" w:type="dxa"/>
            <w:gridSpan w:val="2"/>
            <w:vMerge w:val="continue"/>
            <w:tcBorders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uppressAutoHyphens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8"/>
              </w:numPr>
              <w:suppressAutoHyphens w:val="false"/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671" w:type="dxa"/>
            <w:gridSpan w:val="2"/>
            <w:tcBorders/>
            <w:vAlign w:val="center"/>
          </w:tcPr>
          <w:p>
            <w:pPr>
              <w:pStyle w:val="Normal"/>
              <w:keepNext w:val="true"/>
              <w:widowControl/>
              <w:suppressAutoHyphens w:val="fals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исполнителю (и соисполнителям) и его обязательствам, влияющим на исполнение договора</w:t>
            </w:r>
          </w:p>
        </w:tc>
        <w:tc>
          <w:tcPr>
            <w:tcW w:w="2977" w:type="dxa"/>
            <w:vMerge w:val="continue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false"/>
              <w:spacing w:before="60" w:after="60"/>
              <w:jc w:val="left"/>
              <w:outlineLvl w:val="2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937" w:type="dxa"/>
            <w:gridSpan w:val="2"/>
            <w:vMerge w:val="continue"/>
            <w:tcBorders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uppressAutoHyphens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numPr>
                <w:ilvl w:val="1"/>
                <w:numId w:val="8"/>
              </w:numPr>
              <w:suppressAutoHyphens w:val="false"/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uppressAutoHyphens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исполнителю</w:t>
            </w:r>
          </w:p>
        </w:tc>
        <w:tc>
          <w:tcPr>
            <w:tcW w:w="3403" w:type="dxa"/>
            <w:tcBorders/>
          </w:tcPr>
          <w:p>
            <w:pPr>
              <w:pStyle w:val="Normal"/>
              <w:widowControl/>
              <w:suppressAutoHyphens w:val="false"/>
              <w:spacing w:before="0" w:after="0"/>
              <w:ind w:firstLine="631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 Участник должен располагать собственными и (или) арендуемыми ремонтными мастерскими в черте города Петропавловск-Камчатский.</w:t>
            </w:r>
          </w:p>
          <w:p>
            <w:pPr>
              <w:pStyle w:val="Normal"/>
              <w:widowControl/>
              <w:suppressAutoHyphens w:val="false"/>
              <w:spacing w:before="0" w:after="0"/>
              <w:ind w:firstLine="631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2.Участник должен располагать (собственность и/или аренда) следующим минимальным набором оборудования:</w:t>
            </w:r>
          </w:p>
          <w:p>
            <w:pPr>
              <w:pStyle w:val="Normal"/>
              <w:widowControl/>
              <w:suppressAutoHyphens w:val="false"/>
              <w:spacing w:before="0" w:after="0"/>
              <w:ind w:firstLine="631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а) оборудование для ремонта колесных дисков, шин:</w:t>
            </w:r>
          </w:p>
          <w:p>
            <w:pPr>
              <w:pStyle w:val="Normal"/>
              <w:widowControl/>
              <w:suppressAutoHyphens w:val="false"/>
              <w:spacing w:before="0" w:after="0"/>
              <w:ind w:firstLine="631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стенд разборки и сборки колес;</w:t>
            </w:r>
          </w:p>
          <w:p>
            <w:pPr>
              <w:pStyle w:val="Normal"/>
              <w:widowControl/>
              <w:suppressAutoHyphens w:val="false"/>
              <w:spacing w:before="0" w:after="0"/>
              <w:ind w:firstLine="631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стенд для балансировки;</w:t>
            </w:r>
          </w:p>
          <w:p>
            <w:pPr>
              <w:pStyle w:val="Normal"/>
              <w:widowControl/>
              <w:suppressAutoHyphens w:val="false"/>
              <w:spacing w:before="0" w:after="0"/>
              <w:ind w:firstLine="631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б) шиномонтажное оборудование (станок).</w:t>
            </w:r>
          </w:p>
          <w:p>
            <w:pPr>
              <w:pStyle w:val="Normal"/>
              <w:widowControl/>
              <w:suppressAutoHyphens w:val="false"/>
              <w:spacing w:before="0" w:after="0"/>
              <w:ind w:firstLine="631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3. Участник должен иметь сертификаты, подтверждающие обладание ресурсами и знаниями, необходимыми для осуществления качественного шиномонтажа и ремонта колесных дисков и шин.</w:t>
            </w:r>
          </w:p>
          <w:p>
            <w:pPr>
              <w:pStyle w:val="Normal"/>
              <w:widowControl/>
              <w:suppressAutoHyphens w:val="false"/>
              <w:spacing w:before="0" w:after="0"/>
              <w:ind w:firstLine="631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4. Участник должен иметь собственные оборотные средства, необходимые для выполнения работ – его материалами, силами и средствами.</w:t>
            </w:r>
          </w:p>
          <w:p>
            <w:pPr>
              <w:pStyle w:val="Normal"/>
              <w:widowControl/>
              <w:suppressAutoHyphens w:val="false"/>
              <w:spacing w:before="0" w:after="0"/>
              <w:ind w:firstLine="631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5. Участник должен быть обеспечен персоналом, численностью и квалификацией достаточными для полного, своевременного и качественного выполнения работ.</w:t>
            </w:r>
          </w:p>
        </w:tc>
        <w:tc>
          <w:tcPr>
            <w:tcW w:w="2977" w:type="dxa"/>
            <w:vMerge w:val="continue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false"/>
              <w:spacing w:before="60" w:after="60"/>
              <w:jc w:val="left"/>
              <w:outlineLvl w:val="2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937" w:type="dxa"/>
            <w:gridSpan w:val="2"/>
            <w:vMerge w:val="continue"/>
            <w:tcBorders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false"/>
              <w:spacing w:before="60" w:after="60"/>
              <w:jc w:val="left"/>
              <w:outlineLvl w:val="2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8"/>
              </w:numPr>
              <w:suppressAutoHyphens w:val="false"/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671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fals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Прочие требования к оказываемым услугам </w:t>
            </w:r>
          </w:p>
        </w:tc>
        <w:tc>
          <w:tcPr>
            <w:tcW w:w="2977" w:type="dxa"/>
            <w:vMerge w:val="continue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false"/>
              <w:spacing w:before="60" w:after="60"/>
              <w:jc w:val="left"/>
              <w:outlineLvl w:val="2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937" w:type="dxa"/>
            <w:gridSpan w:val="2"/>
            <w:vMerge w:val="continue"/>
            <w:tcBorders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uppressAutoHyphens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numPr>
                <w:ilvl w:val="1"/>
                <w:numId w:val="8"/>
              </w:numPr>
              <w:suppressAutoHyphens w:val="false"/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false"/>
              <w:spacing w:before="60" w:after="60"/>
              <w:jc w:val="left"/>
              <w:outlineLvl w:val="2"/>
              <w:rPr>
                <w:rFonts w:eastAsia="Calibri"/>
                <w:sz w:val="24"/>
                <w:szCs w:val="24"/>
                <w:lang w:val="x-none" w:eastAsia="x-none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x-none" w:eastAsia="x-none" w:bidi="ar-SA"/>
              </w:rPr>
              <w:t>Прочие требования</w:t>
            </w:r>
          </w:p>
        </w:tc>
        <w:tc>
          <w:tcPr>
            <w:tcW w:w="3403" w:type="dxa"/>
            <w:tcBorders/>
            <w:vAlign w:val="center"/>
          </w:tcPr>
          <w:p>
            <w:pPr>
              <w:pStyle w:val="Normal"/>
              <w:widowControl/>
              <w:suppressAutoHyphens w:val="false"/>
              <w:spacing w:before="0" w:after="0"/>
              <w:ind w:firstLine="85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Возможность внеочередной постановки автомобилей на шиномонтажное обслуживание.</w:t>
            </w:r>
          </w:p>
          <w:p>
            <w:pPr>
              <w:pStyle w:val="Normal"/>
              <w:widowControl/>
              <w:suppressAutoHyphens w:val="false"/>
              <w:spacing w:before="0" w:after="0"/>
              <w:ind w:firstLine="85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Возможность нахождения представителя Заказчика на станциях технического обслуживания для контроля за соблюдением технологического процесса оказания услуг.</w:t>
            </w:r>
          </w:p>
        </w:tc>
        <w:tc>
          <w:tcPr>
            <w:tcW w:w="2977" w:type="dxa"/>
            <w:vMerge w:val="continue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false"/>
              <w:spacing w:before="60" w:after="60"/>
              <w:jc w:val="left"/>
              <w:outlineLvl w:val="2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x-none" w:bidi="ar-SA"/>
              </w:rPr>
            </w:r>
          </w:p>
        </w:tc>
        <w:tc>
          <w:tcPr>
            <w:tcW w:w="2937" w:type="dxa"/>
            <w:gridSpan w:val="2"/>
            <w:vMerge w:val="continue"/>
            <w:tcBorders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false"/>
              <w:spacing w:before="60" w:after="60"/>
              <w:jc w:val="left"/>
              <w:outlineLvl w:val="2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x-none" w:bidi="ar-SA"/>
              </w:rPr>
            </w:r>
          </w:p>
        </w:tc>
      </w:tr>
    </w:tbl>
    <w:p>
      <w:pPr>
        <w:sectPr>
          <w:headerReference w:type="default" r:id="rId6"/>
          <w:headerReference w:type="first" r:id="rId7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  <w:pStyle w:val="Normal"/>
        <w:suppressAutoHyphens w:val="false"/>
        <w:jc w:val="center"/>
        <w:rPr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</w:r>
    </w:p>
    <w:p>
      <w:pPr>
        <w:pStyle w:val="Heading1"/>
        <w:numPr>
          <w:ilvl w:val="0"/>
          <w:numId w:val="3"/>
        </w:numPr>
        <w:ind w:left="142" w:hanging="0"/>
        <w:jc w:val="center"/>
        <w:rPr>
          <w:bCs/>
          <w:sz w:val="24"/>
          <w:szCs w:val="24"/>
        </w:rPr>
      </w:pPr>
      <w:bookmarkStart w:id="29" w:name="_Toc142558697"/>
      <w:bookmarkStart w:id="30" w:name="_Toc53393312"/>
      <w:bookmarkStart w:id="31" w:name="_Toc53395937"/>
      <w:r>
        <w:rPr>
          <w:sz w:val="24"/>
          <w:szCs w:val="24"/>
        </w:rPr>
        <w:t>Требования к документации по ценообразованию</w:t>
      </w:r>
      <w:bookmarkEnd w:id="30"/>
      <w:bookmarkEnd w:id="31"/>
      <w:r>
        <w:rPr>
          <w:sz w:val="24"/>
          <w:szCs w:val="24"/>
        </w:rPr>
        <w:t xml:space="preserve"> на этапе закупки</w:t>
      </w:r>
      <w:bookmarkEnd w:id="29"/>
    </w:p>
    <w:p>
      <w:pPr>
        <w:pStyle w:val="Normal"/>
        <w:numPr>
          <w:ilvl w:val="1"/>
          <w:numId w:val="3"/>
        </w:numPr>
        <w:suppressAutoHyphens w:val="false"/>
        <w:spacing w:before="60" w:after="0"/>
        <w:jc w:val="both"/>
        <w:rPr>
          <w:bCs/>
          <w:iCs/>
          <w:sz w:val="24"/>
          <w:szCs w:val="24"/>
          <w:lang w:eastAsia="x-none"/>
        </w:rPr>
      </w:pPr>
      <w:r>
        <w:rPr>
          <w:bCs/>
          <w:iCs/>
          <w:sz w:val="24"/>
          <w:szCs w:val="24"/>
          <w:lang w:eastAsia="x-none"/>
        </w:rPr>
        <w:t>В обоснование стоимости своей заявки Участник предоставляет Коммерческое предложение по форме с указанием понижающего коэффициента.</w:t>
      </w:r>
    </w:p>
    <w:p>
      <w:pPr>
        <w:pStyle w:val="Normal"/>
        <w:numPr>
          <w:ilvl w:val="1"/>
          <w:numId w:val="3"/>
        </w:numPr>
        <w:suppressAutoHyphens w:val="false"/>
        <w:spacing w:before="60" w:after="0"/>
        <w:jc w:val="both"/>
        <w:rPr>
          <w:bCs/>
          <w:iCs/>
          <w:sz w:val="24"/>
          <w:szCs w:val="24"/>
          <w:lang w:eastAsia="x-none"/>
        </w:rPr>
      </w:pPr>
      <w:bookmarkStart w:id="32" w:name="_Toc135753788"/>
      <w:bookmarkStart w:id="33" w:name="_Toc142558186"/>
      <w:bookmarkStart w:id="34" w:name="_Toc142558699"/>
      <w:r>
        <w:rPr>
          <w:sz w:val="24"/>
          <w:szCs w:val="24"/>
        </w:rPr>
        <w:t xml:space="preserve">Стоимость за единицу продукции (услуги) должна включать в себя налоги, сборы, пошлины и другие обязательные платежи, стоимость расходных материалов, используемых при оказании услуг, расходы на содержание, эксплуатацию, перебазировку спецоборудования и инструментов, и прочие расходы, связанные с оказанием услуг, предусмотренные Проектом договора (Приложение №2 к </w:t>
      </w:r>
      <w:bookmarkEnd w:id="32"/>
      <w:bookmarkEnd w:id="33"/>
      <w:bookmarkEnd w:id="34"/>
      <w:r>
        <w:rPr>
          <w:sz w:val="24"/>
          <w:szCs w:val="24"/>
        </w:rPr>
        <w:t>Запросу технико-коммерческих предложений).</w:t>
      </w:r>
    </w:p>
    <w:p>
      <w:pPr>
        <w:pStyle w:val="Normal"/>
        <w:numPr>
          <w:ilvl w:val="1"/>
          <w:numId w:val="3"/>
        </w:numPr>
        <w:suppressAutoHyphens w:val="false"/>
        <w:spacing w:before="60" w:after="0"/>
        <w:jc w:val="both"/>
        <w:rPr>
          <w:iCs/>
          <w:sz w:val="24"/>
          <w:szCs w:val="24"/>
          <w:lang w:eastAsia="x-none"/>
        </w:rPr>
      </w:pPr>
      <w:r>
        <w:rPr>
          <w:bCs/>
          <w:iCs/>
          <w:sz w:val="24"/>
          <w:szCs w:val="24"/>
          <w:lang w:eastAsia="x-none"/>
        </w:rPr>
        <w:t>Дополнительные документы по ценообразованию (сметная документация) в состав заявки Участника не включаются.</w:t>
      </w:r>
    </w:p>
    <w:p>
      <w:pPr>
        <w:pStyle w:val="Heading1"/>
        <w:numPr>
          <w:ilvl w:val="0"/>
          <w:numId w:val="0"/>
        </w:numPr>
        <w:ind w:left="0" w:hanging="0"/>
        <w:rPr/>
      </w:pPr>
      <w:r>
        <w:rPr/>
      </w:r>
    </w:p>
    <w:p>
      <w:pPr>
        <w:pStyle w:val="Normal"/>
        <w:numPr>
          <w:ilvl w:val="0"/>
          <w:numId w:val="10"/>
        </w:numPr>
        <w:suppressAutoHyphens w:val="false"/>
        <w:spacing w:before="0" w:after="120"/>
        <w:ind w:left="0" w:hanging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Требования к документации по ценообразованию на этапе заключения (исполнения) договора.</w:t>
      </w:r>
    </w:p>
    <w:p>
      <w:pPr>
        <w:pStyle w:val="Normal"/>
        <w:numPr>
          <w:ilvl w:val="1"/>
          <w:numId w:val="10"/>
        </w:numPr>
        <w:suppressAutoHyphens w:val="false"/>
        <w:spacing w:before="0" w:after="12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 результатам настоящей закупки заключается договор с предельной ценой, равной начальной (максимальной) цене договора, а также с единичными расценками (ценой за единицу продукции по каждому наименованию работ), предложенными в заявке Победителем.</w:t>
      </w:r>
    </w:p>
    <w:p>
      <w:pPr>
        <w:pStyle w:val="Normal"/>
        <w:numPr>
          <w:ilvl w:val="1"/>
          <w:numId w:val="10"/>
        </w:numPr>
        <w:suppressAutoHyphens w:val="false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Порядок формирования на этапе исполнения договора стоимости выполняемых услуг по заявке заказчика установлен в Проекте договора (Приложение № 2 к Запросу технико-коммерческих предложений)».</w:t>
      </w:r>
    </w:p>
    <w:p>
      <w:pPr>
        <w:pStyle w:val="Normal"/>
        <w:rPr>
          <w:bCs/>
          <w:iCs/>
          <w:sz w:val="24"/>
          <w:szCs w:val="24"/>
          <w:lang w:eastAsia="x-none"/>
        </w:rPr>
      </w:pPr>
      <w:r>
        <w:rPr>
          <w:bCs/>
          <w:iCs/>
          <w:sz w:val="24"/>
          <w:szCs w:val="24"/>
          <w:lang w:eastAsia="x-none"/>
        </w:rPr>
      </w:r>
    </w:p>
    <w:p>
      <w:pPr>
        <w:pStyle w:val="Normal"/>
        <w:jc w:val="both"/>
        <w:rPr>
          <w:iCs/>
          <w:caps/>
          <w:sz w:val="24"/>
          <w:szCs w:val="24"/>
        </w:rPr>
      </w:pPr>
      <w:r>
        <w:rPr>
          <w:iCs/>
          <w:caps/>
          <w:sz w:val="24"/>
          <w:szCs w:val="24"/>
        </w:rPr>
      </w:r>
    </w:p>
    <w:p>
      <w:pPr>
        <w:pStyle w:val="Normal"/>
        <w:jc w:val="both"/>
        <w:rPr>
          <w:iCs/>
          <w:caps/>
          <w:sz w:val="24"/>
          <w:szCs w:val="24"/>
        </w:rPr>
      </w:pPr>
      <w:r>
        <w:rPr>
          <w:iCs/>
          <w:caps/>
          <w:sz w:val="24"/>
          <w:szCs w:val="24"/>
        </w:rPr>
      </w:r>
    </w:p>
    <w:p>
      <w:pPr>
        <w:pStyle w:val="Normal"/>
        <w:jc w:val="both"/>
        <w:rPr>
          <w:bCs/>
          <w:iCs/>
          <w:sz w:val="24"/>
          <w:szCs w:val="24"/>
          <w:lang w:eastAsia="x-none"/>
        </w:rPr>
      </w:pPr>
      <w:r>
        <w:rPr>
          <w:bCs/>
          <w:iCs/>
          <w:sz w:val="24"/>
          <w:szCs w:val="24"/>
          <w:lang w:eastAsia="x-none"/>
        </w:rPr>
      </w:r>
    </w:p>
    <w:p>
      <w:pPr>
        <w:pStyle w:val="Normal"/>
        <w:jc w:val="both"/>
        <w:rPr>
          <w:bCs/>
          <w:iCs/>
          <w:sz w:val="24"/>
          <w:szCs w:val="24"/>
          <w:lang w:eastAsia="x-none"/>
        </w:rPr>
      </w:pPr>
      <w:r>
        <w:rPr>
          <w:bCs/>
          <w:iCs/>
          <w:sz w:val="24"/>
          <w:szCs w:val="24"/>
          <w:lang w:eastAsia="x-none"/>
        </w:rPr>
        <w:t>Приложения:</w:t>
      </w:r>
    </w:p>
    <w:p>
      <w:pPr>
        <w:pStyle w:val="ListParagraph"/>
        <w:numPr>
          <w:ilvl w:val="6"/>
          <w:numId w:val="7"/>
        </w:numPr>
        <w:ind w:left="0" w:firstLine="709"/>
        <w:jc w:val="both"/>
        <w:rPr>
          <w:bCs/>
          <w:iCs/>
          <w:lang w:eastAsia="x-none"/>
        </w:rPr>
      </w:pPr>
      <w:r>
        <w:rPr>
          <w:bCs/>
          <w:iCs/>
          <w:lang w:eastAsia="x-none"/>
        </w:rPr>
        <w:t>Формы КП, структуры НМЦ</w:t>
      </w:r>
      <w:bookmarkStart w:id="35" w:name="_GoBack"/>
      <w:bookmarkEnd w:id="35"/>
    </w:p>
    <w:p>
      <w:pPr>
        <w:pStyle w:val="Normal"/>
        <w:jc w:val="both"/>
        <w:rPr>
          <w:iCs/>
          <w:caps/>
          <w:sz w:val="24"/>
          <w:szCs w:val="24"/>
        </w:rPr>
      </w:pPr>
      <w:r>
        <w:rPr>
          <w:iCs/>
          <w:caps/>
          <w:sz w:val="24"/>
          <w:szCs w:val="24"/>
        </w:rPr>
      </w:r>
    </w:p>
    <w:p>
      <w:pPr>
        <w:pStyle w:val="Normal"/>
        <w:jc w:val="both"/>
        <w:rPr>
          <w:iCs/>
          <w:caps/>
          <w:sz w:val="24"/>
          <w:szCs w:val="24"/>
        </w:rPr>
      </w:pPr>
      <w:r>
        <w:rPr>
          <w:iCs/>
          <w:caps/>
          <w:sz w:val="24"/>
          <w:szCs w:val="24"/>
        </w:rPr>
      </w:r>
    </w:p>
    <w:p>
      <w:pPr>
        <w:pStyle w:val="Normal"/>
        <w:jc w:val="both"/>
        <w:rPr>
          <w:iCs/>
          <w:caps/>
          <w:sz w:val="24"/>
          <w:szCs w:val="24"/>
        </w:rPr>
      </w:pPr>
      <w:r>
        <w:rPr>
          <w:iCs/>
          <w:caps/>
          <w:sz w:val="24"/>
          <w:szCs w:val="24"/>
        </w:rPr>
      </w:r>
    </w:p>
    <w:p>
      <w:pPr>
        <w:pStyle w:val="Normal"/>
        <w:jc w:val="both"/>
        <w:rPr>
          <w:iCs/>
          <w:caps/>
          <w:sz w:val="24"/>
          <w:szCs w:val="24"/>
        </w:rPr>
      </w:pPr>
      <w:r>
        <w:rPr>
          <w:iCs/>
          <w:caps/>
          <w:sz w:val="24"/>
          <w:szCs w:val="24"/>
        </w:rPr>
      </w:r>
    </w:p>
    <w:p>
      <w:pPr>
        <w:pStyle w:val="Normal"/>
        <w:jc w:val="both"/>
        <w:rPr>
          <w:iCs/>
          <w:caps/>
          <w:sz w:val="24"/>
          <w:szCs w:val="24"/>
        </w:rPr>
      </w:pPr>
      <w:r>
        <w:rPr>
          <w:iCs/>
          <w:caps/>
          <w:sz w:val="24"/>
          <w:szCs w:val="24"/>
        </w:rPr>
      </w:r>
    </w:p>
    <w:p>
      <w:pPr>
        <w:pStyle w:val="Normal"/>
        <w:jc w:val="both"/>
        <w:rPr>
          <w:iCs/>
          <w:caps/>
          <w:sz w:val="24"/>
          <w:szCs w:val="24"/>
        </w:rPr>
      </w:pPr>
      <w:r>
        <w:rPr>
          <w:iCs/>
          <w:caps/>
          <w:sz w:val="24"/>
          <w:szCs w:val="24"/>
        </w:rPr>
      </w:r>
    </w:p>
    <w:p>
      <w:pPr>
        <w:pStyle w:val="Normal"/>
        <w:jc w:val="both"/>
        <w:rPr>
          <w:iCs/>
          <w:caps/>
          <w:sz w:val="24"/>
          <w:szCs w:val="24"/>
        </w:rPr>
      </w:pPr>
      <w:r>
        <w:rPr>
          <w:iCs/>
          <w:caps/>
          <w:sz w:val="24"/>
          <w:szCs w:val="24"/>
        </w:rPr>
      </w:r>
    </w:p>
    <w:p>
      <w:pPr>
        <w:pStyle w:val="Normal"/>
        <w:jc w:val="both"/>
        <w:rPr>
          <w:iCs/>
          <w:caps/>
          <w:sz w:val="24"/>
          <w:szCs w:val="24"/>
        </w:rPr>
      </w:pPr>
      <w:r>
        <w:rPr>
          <w:iCs/>
          <w:caps/>
          <w:sz w:val="24"/>
          <w:szCs w:val="24"/>
        </w:rPr>
      </w:r>
    </w:p>
    <w:p>
      <w:pPr>
        <w:pStyle w:val="Normal"/>
        <w:jc w:val="both"/>
        <w:rPr>
          <w:iCs/>
          <w:caps/>
          <w:sz w:val="24"/>
          <w:szCs w:val="24"/>
        </w:rPr>
      </w:pPr>
      <w:r>
        <w:rPr>
          <w:iCs/>
          <w:caps/>
          <w:sz w:val="24"/>
          <w:szCs w:val="24"/>
        </w:rPr>
      </w:r>
    </w:p>
    <w:p>
      <w:pPr>
        <w:pStyle w:val="Normal"/>
        <w:jc w:val="both"/>
        <w:rPr>
          <w:iCs/>
          <w:caps/>
          <w:sz w:val="24"/>
          <w:szCs w:val="24"/>
        </w:rPr>
      </w:pPr>
      <w:r>
        <w:rPr>
          <w:iCs/>
          <w:caps/>
          <w:sz w:val="24"/>
          <w:szCs w:val="24"/>
        </w:rPr>
      </w:r>
    </w:p>
    <w:p>
      <w:pPr>
        <w:pStyle w:val="Normal"/>
        <w:jc w:val="both"/>
        <w:rPr>
          <w:iCs/>
          <w:caps/>
          <w:sz w:val="24"/>
          <w:szCs w:val="24"/>
        </w:rPr>
      </w:pPr>
      <w:r>
        <w:rPr>
          <w:iCs/>
          <w:caps/>
          <w:sz w:val="24"/>
          <w:szCs w:val="24"/>
        </w:rPr>
      </w:r>
    </w:p>
    <w:p>
      <w:pPr>
        <w:pStyle w:val="Normal"/>
        <w:jc w:val="both"/>
        <w:rPr>
          <w:bCs/>
          <w:iCs/>
          <w:sz w:val="24"/>
          <w:szCs w:val="24"/>
          <w:lang w:eastAsia="x-none"/>
        </w:rPr>
      </w:pPr>
      <w:r>
        <w:rPr>
          <w:bCs/>
          <w:iCs/>
          <w:sz w:val="24"/>
          <w:szCs w:val="24"/>
          <w:lang w:eastAsia="x-none"/>
        </w:rPr>
      </w:r>
    </w:p>
    <w:p>
      <w:pPr>
        <w:pStyle w:val="Normal"/>
        <w:jc w:val="both"/>
        <w:rPr>
          <w:bCs/>
          <w:iCs/>
          <w:sz w:val="24"/>
          <w:szCs w:val="24"/>
          <w:lang w:eastAsia="x-none"/>
        </w:rPr>
      </w:pPr>
      <w:r>
        <w:rPr>
          <w:bCs/>
          <w:iCs/>
          <w:sz w:val="24"/>
          <w:szCs w:val="24"/>
          <w:lang w:eastAsia="x-none"/>
        </w:rPr>
      </w:r>
    </w:p>
    <w:p>
      <w:pPr>
        <w:pStyle w:val="Normal"/>
        <w:jc w:val="both"/>
        <w:rPr>
          <w:bCs/>
          <w:iCs/>
          <w:sz w:val="24"/>
          <w:szCs w:val="24"/>
          <w:lang w:eastAsia="x-none"/>
        </w:rPr>
      </w:pPr>
      <w:r>
        <w:rPr>
          <w:bCs/>
          <w:iCs/>
          <w:sz w:val="24"/>
          <w:szCs w:val="24"/>
          <w:lang w:eastAsia="x-none"/>
        </w:rPr>
      </w:r>
    </w:p>
    <w:p>
      <w:pPr>
        <w:pStyle w:val="Normal"/>
        <w:jc w:val="both"/>
        <w:rPr>
          <w:bCs/>
          <w:iCs/>
          <w:sz w:val="24"/>
          <w:szCs w:val="24"/>
          <w:lang w:eastAsia="x-none"/>
        </w:rPr>
      </w:pPr>
      <w:r>
        <w:rPr>
          <w:bCs/>
          <w:iCs/>
          <w:sz w:val="24"/>
          <w:szCs w:val="24"/>
          <w:lang w:eastAsia="x-none"/>
        </w:rPr>
      </w:r>
    </w:p>
    <w:p>
      <w:pPr>
        <w:pStyle w:val="Normal"/>
        <w:ind w:left="7788" w:hanging="0"/>
        <w:jc w:val="both"/>
        <w:rPr>
          <w:bCs/>
          <w:iCs/>
          <w:sz w:val="24"/>
          <w:szCs w:val="24"/>
          <w:lang w:eastAsia="x-none"/>
        </w:rPr>
      </w:pPr>
      <w:r>
        <w:rPr>
          <w:bCs/>
          <w:iCs/>
          <w:sz w:val="24"/>
          <w:szCs w:val="24"/>
          <w:lang w:eastAsia="x-none"/>
        </w:rPr>
      </w:r>
    </w:p>
    <w:p>
      <w:pPr>
        <w:pStyle w:val="Normal"/>
        <w:ind w:left="7788" w:hanging="0"/>
        <w:jc w:val="both"/>
        <w:rPr>
          <w:bCs/>
          <w:iCs/>
          <w:sz w:val="24"/>
          <w:szCs w:val="24"/>
          <w:lang w:eastAsia="x-none"/>
        </w:rPr>
      </w:pPr>
      <w:r>
        <w:rPr>
          <w:bCs/>
          <w:iCs/>
          <w:sz w:val="24"/>
          <w:szCs w:val="24"/>
          <w:lang w:eastAsia="x-none"/>
        </w:rPr>
      </w:r>
    </w:p>
    <w:p>
      <w:pPr>
        <w:pStyle w:val="Normal"/>
        <w:ind w:left="7788" w:hanging="0"/>
        <w:jc w:val="both"/>
        <w:rPr>
          <w:bCs/>
          <w:iCs/>
          <w:sz w:val="24"/>
          <w:szCs w:val="24"/>
          <w:lang w:eastAsia="x-none"/>
        </w:rPr>
      </w:pPr>
      <w:r>
        <w:rPr>
          <w:bCs/>
          <w:iCs/>
          <w:sz w:val="24"/>
          <w:szCs w:val="24"/>
          <w:lang w:eastAsia="x-none"/>
        </w:rPr>
      </w:r>
    </w:p>
    <w:p>
      <w:pPr>
        <w:pStyle w:val="Normal"/>
        <w:ind w:left="7788" w:hanging="0"/>
        <w:jc w:val="both"/>
        <w:rPr>
          <w:bCs/>
          <w:iCs/>
          <w:sz w:val="24"/>
          <w:szCs w:val="24"/>
          <w:lang w:eastAsia="x-none"/>
        </w:rPr>
      </w:pPr>
      <w:r>
        <w:rPr>
          <w:bCs/>
          <w:iCs/>
          <w:sz w:val="24"/>
          <w:szCs w:val="24"/>
          <w:lang w:eastAsia="x-none"/>
        </w:rPr>
      </w:r>
    </w:p>
    <w:p>
      <w:pPr>
        <w:pStyle w:val="Normal"/>
        <w:ind w:left="7788" w:hanging="0"/>
        <w:jc w:val="both"/>
        <w:rPr>
          <w:bCs/>
          <w:iCs/>
          <w:sz w:val="24"/>
          <w:szCs w:val="24"/>
          <w:lang w:eastAsia="x-none"/>
        </w:rPr>
      </w:pPr>
      <w:r>
        <w:rPr>
          <w:bCs/>
          <w:iCs/>
          <w:sz w:val="24"/>
          <w:szCs w:val="24"/>
          <w:lang w:eastAsia="x-none"/>
        </w:rPr>
      </w:r>
    </w:p>
    <w:p>
      <w:pPr>
        <w:pStyle w:val="Normal"/>
        <w:ind w:left="7788" w:hanging="0"/>
        <w:jc w:val="both"/>
        <w:rPr>
          <w:bCs/>
          <w:iCs/>
          <w:sz w:val="24"/>
          <w:szCs w:val="24"/>
          <w:lang w:eastAsia="x-none"/>
        </w:rPr>
      </w:pPr>
      <w:r>
        <w:rPr>
          <w:bCs/>
          <w:iCs/>
          <w:sz w:val="24"/>
          <w:szCs w:val="24"/>
          <w:lang w:eastAsia="x-none"/>
        </w:rPr>
      </w:r>
    </w:p>
    <w:p>
      <w:pPr>
        <w:pStyle w:val="Normal"/>
        <w:ind w:left="7788" w:hanging="0"/>
        <w:jc w:val="both"/>
        <w:rPr>
          <w:bCs/>
          <w:iCs/>
          <w:sz w:val="24"/>
          <w:szCs w:val="24"/>
          <w:lang w:eastAsia="x-none"/>
        </w:rPr>
      </w:pPr>
      <w:r>
        <w:rPr>
          <w:bCs/>
          <w:iCs/>
          <w:sz w:val="24"/>
          <w:szCs w:val="24"/>
          <w:lang w:eastAsia="x-none"/>
        </w:rPr>
      </w:r>
    </w:p>
    <w:p>
      <w:pPr>
        <w:sectPr>
          <w:headerReference w:type="default" r:id="rId8"/>
          <w:headerReference w:type="first" r:id="rId9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extDirection w:val="lrTb"/>
          <w:docGrid w:type="default" w:linePitch="381" w:charSpace="0"/>
        </w:sectPr>
        <w:pStyle w:val="Normal"/>
        <w:ind w:left="7788" w:hanging="0"/>
        <w:jc w:val="both"/>
        <w:rPr>
          <w:bCs/>
          <w:iCs/>
          <w:sz w:val="24"/>
          <w:szCs w:val="24"/>
          <w:lang w:eastAsia="x-none"/>
        </w:rPr>
      </w:pPr>
      <w:r>
        <w:rPr>
          <w:bCs/>
          <w:iCs/>
          <w:sz w:val="24"/>
          <w:szCs w:val="24"/>
          <w:lang w:eastAsia="x-none"/>
        </w:rPr>
      </w:r>
    </w:p>
    <w:p>
      <w:pPr>
        <w:pStyle w:val="Normal"/>
        <w:ind w:left="12744" w:hanging="0"/>
        <w:jc w:val="both"/>
        <w:rPr>
          <w:bCs/>
          <w:iCs/>
          <w:sz w:val="24"/>
          <w:szCs w:val="24"/>
          <w:lang w:eastAsia="x-none"/>
        </w:rPr>
      </w:pPr>
      <w:r>
        <w:rPr>
          <w:bCs/>
          <w:iCs/>
          <w:sz w:val="24"/>
          <w:szCs w:val="24"/>
          <w:lang w:eastAsia="x-none"/>
        </w:rPr>
        <w:t>Приложение №1</w:t>
      </w:r>
    </w:p>
    <w:p>
      <w:pPr>
        <w:pStyle w:val="Normal"/>
        <w:jc w:val="center"/>
        <w:rPr>
          <w:b/>
          <w:bCs/>
          <w:iCs/>
          <w:sz w:val="24"/>
          <w:szCs w:val="24"/>
          <w:lang w:eastAsia="x-none"/>
        </w:rPr>
      </w:pPr>
      <w:r>
        <w:rPr>
          <w:b/>
          <w:bCs/>
          <w:iCs/>
          <w:sz w:val="24"/>
          <w:szCs w:val="24"/>
          <w:lang w:eastAsia="x-none"/>
        </w:rPr>
        <w:t>Формы КП, структуры НМЦ</w:t>
      </w:r>
    </w:p>
    <w:p>
      <w:pPr>
        <w:pStyle w:val="Normal"/>
        <w:jc w:val="center"/>
        <w:rPr>
          <w:b/>
          <w:bCs/>
          <w:iCs/>
          <w:sz w:val="24"/>
          <w:szCs w:val="24"/>
          <w:lang w:eastAsia="x-none"/>
        </w:rPr>
      </w:pPr>
      <w:r>
        <w:rPr/>
        <w:drawing>
          <wp:inline distT="0" distB="0" distL="0" distR="0">
            <wp:extent cx="8889365" cy="5632450"/>
            <wp:effectExtent l="0" t="0" r="0" b="0"/>
            <wp:docPr id="3" name="Рисунок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9365" cy="563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both"/>
        <w:rPr>
          <w:iCs/>
          <w:caps/>
          <w:sz w:val="24"/>
          <w:szCs w:val="24"/>
        </w:rPr>
      </w:pPr>
      <w:r>
        <w:rPr/>
      </w:r>
    </w:p>
    <w:sectPr>
      <w:headerReference w:type="default" r:id="rId11"/>
      <w:headerReference w:type="first" r:id="rId12"/>
      <w:type w:val="nextPage"/>
      <w:pgSz w:orient="landscape" w:w="16838" w:h="11906"/>
      <w:pgMar w:left="992" w:right="1134" w:gutter="0" w:header="680" w:top="1134" w:footer="0" w:bottom="851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" wp14:anchorId="36E7EFDB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36E7EFDB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12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24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23</w:t>
    </w:r>
    <w:r>
      <w:rPr/>
      <w:fldChar w:fldCharType="end"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 w:val="false"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6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4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  <w:rPr/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78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uiPriority="99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a6e9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numPr>
        <w:ilvl w:val="0"/>
      </w:numPr>
      <w:tabs>
        <w:tab w:val="clear" w:pos="708"/>
        <w:tab w:val="left" w:pos="0" w:leader="none"/>
      </w:tabs>
      <w:ind w:left="5038" w:hanging="0"/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850da"/>
    <w:pPr>
      <w:keepNext w:val="true"/>
      <w:numPr>
        <w:ilvl w:val="2"/>
        <w:numId w:val="3"/>
      </w:numPr>
      <w:suppressAutoHyphens w:val="false"/>
      <w:spacing w:before="120" w:after="60"/>
      <w:ind w:left="709" w:hanging="709"/>
      <w:jc w:val="both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0"/>
        <w:numId w:val="0"/>
      </w:numPr>
      <w:tabs>
        <w:tab w:val="clear" w:pos="708"/>
        <w:tab w:val="left" w:pos="0" w:leader="none"/>
      </w:tabs>
      <w:ind w:left="432" w:hanging="432"/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850da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a50a40"/>
    <w:rPr>
      <w:color w:val="954F72"/>
      <w:u w:val="single"/>
    </w:rPr>
  </w:style>
  <w:style w:type="character" w:styleId="Style14" w:customStyle="1">
    <w:name w:val="Ссылка указателя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" w:customStyle="1">
    <w:name w:val="index heading1111"/>
    <w:basedOn w:val="Title"/>
    <w:qFormat/>
    <w:pPr/>
    <w:rPr/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c517de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6b6b70"/>
    <w:pPr>
      <w:ind w:left="280" w:hanging="0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6b6b70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111" w:customStyle="1">
    <w:name w:val="caption11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311" w:customStyle="1">
    <w:name w:val="Список 3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eastAsia="Calibri" w:ascii="Times New Roman" w:hAnsi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left" w:pos="0" w:leader="none"/>
        <w:tab w:val="left" w:pos="567" w:leader="none"/>
      </w:tabs>
      <w:spacing w:before="480" w:after="240"/>
      <w:ind w:left="567" w:hanging="567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Msonormal" w:customStyle="1">
    <w:name w:val="msonormal"/>
    <w:basedOn w:val="Normal"/>
    <w:qFormat/>
    <w:rsid w:val="00a50a40"/>
    <w:pPr>
      <w:spacing w:beforeAutospacing="1" w:afterAutospacing="1"/>
    </w:pPr>
    <w:rPr>
      <w:sz w:val="24"/>
      <w:szCs w:val="24"/>
    </w:rPr>
  </w:style>
  <w:style w:type="paragraph" w:styleId="Font5" w:customStyle="1">
    <w:name w:val="font5"/>
    <w:basedOn w:val="Normal"/>
    <w:qFormat/>
    <w:rsid w:val="00a50a40"/>
    <w:pPr>
      <w:spacing w:beforeAutospacing="1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styleId="Font6" w:customStyle="1">
    <w:name w:val="font6"/>
    <w:basedOn w:val="Normal"/>
    <w:qFormat/>
    <w:rsid w:val="00a50a40"/>
    <w:pPr>
      <w:spacing w:beforeAutospacing="1" w:afterAutospacing="1"/>
    </w:pPr>
    <w:rPr>
      <w:rFonts w:ascii="Tahoma" w:hAnsi="Tahoma" w:cs="Tahoma"/>
      <w:color w:val="000000"/>
      <w:sz w:val="18"/>
      <w:szCs w:val="18"/>
    </w:rPr>
  </w:style>
  <w:style w:type="paragraph" w:styleId="Xl66" w:customStyle="1">
    <w:name w:val="xl66"/>
    <w:basedOn w:val="Normal"/>
    <w:qFormat/>
    <w:rsid w:val="00a50a4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sz w:val="24"/>
      <w:szCs w:val="24"/>
    </w:rPr>
  </w:style>
  <w:style w:type="paragraph" w:styleId="Xl67" w:customStyle="1">
    <w:name w:val="xl67"/>
    <w:basedOn w:val="Normal"/>
    <w:qFormat/>
    <w:rsid w:val="00a50a4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68" w:customStyle="1">
    <w:name w:val="xl68"/>
    <w:basedOn w:val="Normal"/>
    <w:qFormat/>
    <w:rsid w:val="00a50a4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sz w:val="24"/>
      <w:szCs w:val="24"/>
    </w:rPr>
  </w:style>
  <w:style w:type="paragraph" w:styleId="Xl69" w:customStyle="1">
    <w:name w:val="xl69"/>
    <w:basedOn w:val="Normal"/>
    <w:qFormat/>
    <w:rsid w:val="00a50a4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70" w:customStyle="1">
    <w:name w:val="xl70"/>
    <w:basedOn w:val="Normal"/>
    <w:qFormat/>
    <w:rsid w:val="00a50a4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sz w:val="24"/>
      <w:szCs w:val="24"/>
    </w:rPr>
  </w:style>
  <w:style w:type="paragraph" w:styleId="Xl71" w:customStyle="1">
    <w:name w:val="xl71"/>
    <w:basedOn w:val="Normal"/>
    <w:qFormat/>
    <w:rsid w:val="00a50a40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sz w:val="24"/>
      <w:szCs w:val="24"/>
    </w:rPr>
  </w:style>
  <w:style w:type="paragraph" w:styleId="Xl72" w:customStyle="1">
    <w:name w:val="xl72"/>
    <w:basedOn w:val="Normal"/>
    <w:qFormat/>
    <w:rsid w:val="00a50a40"/>
    <w:pPr>
      <w:pBdr>
        <w:top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73" w:customStyle="1">
    <w:name w:val="xl73"/>
    <w:basedOn w:val="Normal"/>
    <w:qFormat/>
    <w:rsid w:val="00a50a40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74" w:customStyle="1">
    <w:name w:val="xl74"/>
    <w:basedOn w:val="Normal"/>
    <w:qFormat/>
    <w:rsid w:val="00a50a4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4"/>
      <w:szCs w:val="24"/>
    </w:rPr>
  </w:style>
  <w:style w:type="paragraph" w:styleId="Xl75" w:customStyle="1">
    <w:name w:val="xl75"/>
    <w:basedOn w:val="Normal"/>
    <w:qFormat/>
    <w:rsid w:val="00a50a40"/>
    <w:pPr>
      <w:spacing w:beforeAutospacing="1" w:afterAutospacing="1"/>
      <w:jc w:val="center"/>
    </w:pPr>
    <w:rPr>
      <w:sz w:val="24"/>
      <w:szCs w:val="24"/>
    </w:rPr>
  </w:style>
  <w:style w:type="paragraph" w:styleId="Xl76" w:customStyle="1">
    <w:name w:val="xl76"/>
    <w:basedOn w:val="Normal"/>
    <w:qFormat/>
    <w:rsid w:val="00a50a4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styleId="Xl77" w:customStyle="1">
    <w:name w:val="xl77"/>
    <w:basedOn w:val="Normal"/>
    <w:qFormat/>
    <w:rsid w:val="00a50a4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styleId="Xl78" w:customStyle="1">
    <w:name w:val="xl78"/>
    <w:basedOn w:val="Normal"/>
    <w:qFormat/>
    <w:rsid w:val="00a50a40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79" w:customStyle="1">
    <w:name w:val="xl79"/>
    <w:basedOn w:val="Normal"/>
    <w:qFormat/>
    <w:rsid w:val="00a50a40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80" w:customStyle="1">
    <w:name w:val="xl80"/>
    <w:basedOn w:val="Normal"/>
    <w:qFormat/>
    <w:rsid w:val="00a50a40"/>
    <w:pPr>
      <w:pBdr>
        <w:top w:val="single" w:sz="8" w:space="0" w:color="000000"/>
        <w:left w:val="single" w:sz="4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81" w:customStyle="1">
    <w:name w:val="xl81"/>
    <w:basedOn w:val="Normal"/>
    <w:qFormat/>
    <w:rsid w:val="00a50a4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styleId="Xl82" w:customStyle="1">
    <w:name w:val="xl82"/>
    <w:basedOn w:val="Normal"/>
    <w:qFormat/>
    <w:rsid w:val="005a453e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83" w:customStyle="1">
    <w:name w:val="xl83"/>
    <w:basedOn w:val="Normal"/>
    <w:qFormat/>
    <w:rsid w:val="005a453e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84" w:customStyle="1">
    <w:name w:val="xl84"/>
    <w:basedOn w:val="Normal"/>
    <w:qFormat/>
    <w:rsid w:val="005a453e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center"/>
    </w:pPr>
    <w:rPr>
      <w:sz w:val="24"/>
      <w:szCs w:val="24"/>
    </w:rPr>
  </w:style>
  <w:style w:type="paragraph" w:styleId="Style33" w:customStyle="1">
    <w:name w:val="Содержимое врезки"/>
    <w:basedOn w:val="Normal"/>
    <w:qFormat/>
    <w:pPr/>
    <w:rPr/>
  </w:style>
  <w:style w:type="paragraph" w:styleId="Style34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5" w:customStyle="1">
    <w:name w:val="Заголовок таблицы"/>
    <w:basedOn w:val="Style34"/>
    <w:qFormat/>
    <w:pPr>
      <w:jc w:val="center"/>
    </w:pPr>
    <w:rPr>
      <w:b/>
      <w:bCs/>
    </w:rPr>
  </w:style>
  <w:style w:type="paragraph" w:styleId="Font0" w:customStyle="1">
    <w:name w:val="font0"/>
    <w:basedOn w:val="Normal"/>
    <w:qFormat/>
    <w:rsid w:val="00037e4f"/>
    <w:pPr>
      <w:suppressAutoHyphens w:val="false"/>
      <w:spacing w:beforeAutospacing="1" w:afterAutospacing="1"/>
    </w:pPr>
    <w:rPr>
      <w:rFonts w:ascii="Calibri" w:hAnsi="Calibri" w:cs="Calibri"/>
      <w:color w:val="000000"/>
      <w:sz w:val="22"/>
      <w:szCs w:val="22"/>
    </w:rPr>
  </w:style>
  <w:style w:type="numbering" w:styleId="NoList" w:default="1">
    <w:name w:val="No List"/>
    <w:uiPriority w:val="99"/>
    <w:semiHidden/>
    <w:unhideWhenUsed/>
    <w:qFormat/>
  </w:style>
  <w:style w:type="numbering" w:styleId="19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8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b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e">
    <w:name w:val="Сетка таблицы2"/>
    <w:basedOn w:val="a5"/>
    <w:uiPriority w:val="39"/>
    <w:rsid w:val="003e0d2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yperlink" Target="garantf1://71771854.0" TargetMode="Externa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header" Target="header7.xml"/><Relationship Id="rId10" Type="http://schemas.openxmlformats.org/officeDocument/2006/relationships/image" Target="media/image1.wmf"/><Relationship Id="rId11" Type="http://schemas.openxmlformats.org/officeDocument/2006/relationships/header" Target="header8.xml"/><Relationship Id="rId12" Type="http://schemas.openxmlformats.org/officeDocument/2006/relationships/header" Target="header9.xml"/><Relationship Id="rId13" Type="http://schemas.openxmlformats.org/officeDocument/2006/relationships/numbering" Target="numbering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<Relationship Id="rId1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3FF0CE-FD74-4544-81B5-ED5D78A94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3539</TotalTime>
  <Application>AlterOffice/3.4.0.9$Linux_X86_64 LibreOffice_project/b8daf9e823b1a5463a2f48435ddc2e8696e7d4fc</Application>
  <AppVersion>15.0000</AppVersion>
  <Pages>26</Pages>
  <Words>3292</Words>
  <Characters>22338</Characters>
  <CharactersWithSpaces>24885</CharactersWithSpaces>
  <Paragraphs>978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2021-04-04T11:05:00Z</dcterms:created>
  <dc:creator>Быстров Олег Геннадьевич</dc:creator>
  <dc:description/>
  <dc:language>ru-RU</dc:language>
  <cp:lastModifiedBy>fedorovsa@corp.gidroogk.com</cp:lastModifiedBy>
  <cp:lastPrinted>2026-05-26T07:59:00Z</cp:lastPrinted>
  <dcterms:modified xsi:type="dcterms:W3CDTF">2026-08-20T14:21:38Z</dcterms:modified>
  <cp:revision>126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