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>
      <w:pPr>
        <w:pStyle w:val="Normal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>АО «ТК РусГидро»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sz w:val="24"/>
          <w:szCs w:val="24"/>
        </w:rPr>
        <w:t>_____________ В.А. Изотов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>«____»______________ 2025г.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color w:val="000000"/>
        </w:rPr>
      </w:pPr>
      <w:r>
        <w:rPr>
          <w:rFonts w:eastAsia="Calibri"/>
          <w:b/>
          <w:color w:val="000000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color w:val="000000"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</w:r>
    </w:p>
    <w:p>
      <w:pPr>
        <w:pStyle w:val="Normal"/>
        <w:rPr>
          <w:rFonts w:eastAsia="Calibri"/>
          <w:b/>
          <w:i/>
          <w:i/>
          <w:color w:val="000000"/>
          <w:sz w:val="26"/>
          <w:szCs w:val="26"/>
        </w:rPr>
      </w:pPr>
      <w:r>
        <w:rPr>
          <w:rFonts w:eastAsia="Calibri"/>
          <w:b/>
          <w:i/>
          <w:color w:val="000000"/>
          <w:sz w:val="26"/>
          <w:szCs w:val="26"/>
        </w:rPr>
      </w:r>
    </w:p>
    <w:p>
      <w:pPr>
        <w:pStyle w:val="Normal"/>
        <w:jc w:val="center"/>
        <w:rPr>
          <w:color w:val="000000"/>
        </w:rPr>
      </w:pPr>
      <w:r>
        <w:rPr>
          <w:rFonts w:eastAsia="Calibri"/>
          <w:b/>
          <w:i/>
          <w:color w:val="000000"/>
        </w:rPr>
        <w:t xml:space="preserve">ОКПД 2: 22.11.1 Поставка шин для грузовых машин и специального транспорта транспортных участков </w:t>
      </w:r>
    </w:p>
    <w:p>
      <w:pPr>
        <w:pStyle w:val="Normal"/>
        <w:jc w:val="center"/>
        <w:rPr>
          <w:color w:val="000000"/>
        </w:rPr>
      </w:pPr>
      <w:r>
        <w:rPr>
          <w:rFonts w:eastAsia="Calibri"/>
          <w:b/>
          <w:i/>
          <w:color w:val="000000"/>
        </w:rPr>
        <w:t>Южного филиала АО ТК «РусГидро»</w:t>
      </w:r>
    </w:p>
    <w:p>
      <w:pPr>
        <w:pStyle w:val="Normal"/>
        <w:jc w:val="center"/>
        <w:rPr>
          <w:rFonts w:eastAsia="Calibri"/>
          <w:b/>
          <w:i/>
          <w:i/>
          <w:color w:val="000000"/>
        </w:rPr>
      </w:pPr>
      <w:r>
        <w:rPr>
          <w:rFonts w:eastAsia="Calibri"/>
          <w:b/>
          <w:i/>
          <w:color w:val="000000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>
          <w:color w:val="000000"/>
        </w:rPr>
      </w:pPr>
      <w:r>
        <w:rPr>
          <w:rFonts w:eastAsia="Calibri"/>
          <w:i/>
          <w:color w:val="000000"/>
          <w:sz w:val="26"/>
          <w:szCs w:val="26"/>
        </w:rPr>
        <w:t>Лот № 6053-ЭКСП ПРОД-2027-ТК_Южный_филиал</w:t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jc w:val="center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spacing w:before="0" w:after="0"/>
            <w:rPr>
              <w:sz w:val="26"/>
              <w:szCs w:val="26"/>
            </w:rPr>
          </w:pPr>
          <w:r>
            <w:fldChar w:fldCharType="begin"/>
          </w:r>
          <w:r>
            <w:rPr>
              <w:webHidden/>
              <w:rStyle w:val="Style14"/>
              <w:sz w:val="26"/>
              <w:szCs w:val="26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sz w:val="26"/>
              <w:szCs w:val="26"/>
              <w:vanish w:val="false"/>
            </w:rPr>
            <w:fldChar w:fldCharType="separate"/>
          </w:r>
          <w:hyperlink w:anchor="_Toc75446566">
            <w:r>
              <w:rPr>
                <w:webHidden/>
                <w:rStyle w:val="Style14"/>
                <w:vanish w:val="false"/>
                <w:sz w:val="26"/>
                <w:szCs w:val="26"/>
              </w:rPr>
              <w:t>1.</w:t>
            </w:r>
            <w:r>
              <w:rPr>
                <w:rStyle w:val="Style14"/>
                <w:rFonts w:eastAsia="新細明體" w:cs="Arial" w:cstheme="minorBidi" w:eastAsiaTheme="minorEastAsia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Общие сведения</w:t>
            </w:r>
            <w:r>
              <w:rPr>
                <w:rStyle w:val="Style14"/>
                <w:b w:val="false"/>
                <w:bCs w:val="false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6"/>
                <w:szCs w:val="26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sz w:val="26"/>
              <w:szCs w:val="26"/>
            </w:rPr>
          </w:pPr>
          <w:hyperlink w:anchor="_Toc75446568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1.1.</w:t>
            </w:r>
            <w:r>
              <w:rPr>
                <w:rStyle w:val="Style14"/>
                <w:rFonts w:eastAsia="新細明體" w:cs="Arial" w:cstheme="minorBidi" w:eastAsiaTheme="minorEastAsia"/>
                <w:sz w:val="26"/>
                <w:szCs w:val="26"/>
              </w:rPr>
              <w:tab/>
              <w:t>Обозначения и сокращения</w:t>
            </w:r>
            <w:r>
              <w:rPr>
                <w:rStyle w:val="Style14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6"/>
                <w:szCs w:val="26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sz w:val="26"/>
              <w:szCs w:val="26"/>
            </w:rPr>
          </w:pPr>
          <w:hyperlink w:anchor="_Toc75446568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1.2.</w:t>
            </w:r>
            <w:r>
              <w:rPr>
                <w:rStyle w:val="Style14"/>
                <w:rFonts w:eastAsia="新細明體" w:cs="Arial" w:cstheme="minorBidi" w:eastAsiaTheme="minorEastAsia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Наименование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6"/>
                <w:szCs w:val="26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sz w:val="26"/>
              <w:szCs w:val="26"/>
            </w:rPr>
          </w:pPr>
          <w:hyperlink w:anchor="_Toc75446569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1.3.</w:t>
            </w:r>
            <w:r>
              <w:rPr>
                <w:rStyle w:val="Style14"/>
                <w:rFonts w:eastAsia="新細明體" w:cs="Arial" w:cstheme="minorBidi" w:eastAsiaTheme="minorEastAsia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Цель использования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6"/>
                <w:szCs w:val="26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spacing w:before="0" w:after="0"/>
            <w:rPr>
              <w:sz w:val="26"/>
              <w:szCs w:val="26"/>
            </w:rPr>
          </w:pPr>
          <w:hyperlink w:anchor="_Toc75446573">
            <w:r>
              <w:rPr>
                <w:webHidden/>
                <w:rStyle w:val="Style14"/>
                <w:vanish w:val="false"/>
                <w:sz w:val="26"/>
                <w:szCs w:val="26"/>
              </w:rPr>
              <w:t>2.</w:t>
            </w:r>
            <w:r>
              <w:rPr>
                <w:rStyle w:val="Style14"/>
                <w:rFonts w:eastAsia="新細明體" w:cs="Arial" w:cstheme="minorBidi" w:eastAsiaTheme="minorEastAsia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iCs/>
                <w:sz w:val="26"/>
                <w:szCs w:val="26"/>
              </w:rPr>
              <w:t>Требования к продукции</w:t>
            </w:r>
            <w:r>
              <w:rPr>
                <w:rStyle w:val="Style14"/>
                <w:b w:val="false"/>
                <w:bCs w:val="false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6"/>
                <w:szCs w:val="26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sz w:val="26"/>
              <w:szCs w:val="26"/>
            </w:rPr>
          </w:pPr>
          <w:hyperlink w:anchor="_Toc75446574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2.1.</w:t>
            </w:r>
            <w:r>
              <w:rPr>
                <w:rStyle w:val="Style14"/>
                <w:rFonts w:eastAsia="新細明體" w:cs="Arial" w:cstheme="minorBidi" w:eastAsiaTheme="minorEastAsia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Требования к объемам и срокам поставки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6"/>
                <w:szCs w:val="26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sz w:val="26"/>
              <w:szCs w:val="26"/>
            </w:rPr>
          </w:pPr>
          <w:hyperlink w:anchor="_Toc75446574">
            <w:r>
              <w:rPr>
                <w:webHidden/>
                <w:rStyle w:val="Style14"/>
                <w:rFonts w:eastAsia="Times New Roman" w:cs="Calibri" w:cstheme="minorHAnsi"/>
                <w:vanish w:val="false"/>
                <w:color w:val="auto"/>
                <w:kern w:val="0"/>
                <w:sz w:val="26"/>
                <w:szCs w:val="26"/>
                <w:lang w:val="ru-RU" w:eastAsia="ru-RU" w:bidi="ar-SA"/>
              </w:rPr>
              <w:t>2.1.1</w:t>
              <w:tab/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6"/>
                <w:szCs w:val="26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sz w:val="26"/>
              <w:szCs w:val="26"/>
            </w:rPr>
          </w:pPr>
          <w:r>
            <w:rPr>
              <w:sz w:val="26"/>
              <w:szCs w:val="26"/>
            </w:rPr>
            <w:t xml:space="preserve">         </w:t>
          </w:r>
          <w:r>
            <w:rPr>
              <w:b/>
              <w:sz w:val="26"/>
              <w:szCs w:val="26"/>
            </w:rPr>
            <w:t>Таблица 1. Перечень и объем закупаемой продукции</w:t>
          </w:r>
          <w:r>
            <w:rPr>
              <w:sz w:val="26"/>
              <w:szCs w:val="26"/>
            </w:rPr>
            <w:t>…………...………………..</w:t>
          </w:r>
          <w:r>
            <w:rPr>
              <w:b/>
              <w:sz w:val="26"/>
              <w:szCs w:val="26"/>
            </w:rPr>
            <w:t>3</w:t>
          </w:r>
        </w:p>
        <w:p>
          <w:pPr>
            <w:pStyle w:val="TOC3"/>
            <w:rPr>
              <w:sz w:val="26"/>
              <w:szCs w:val="26"/>
            </w:rPr>
          </w:pPr>
          <w:hyperlink w:anchor="_Toc75446575">
            <w:r>
              <w:rPr>
                <w:webHidden/>
                <w:rStyle w:val="Style14"/>
                <w:vanish w:val="false"/>
                <w:sz w:val="26"/>
                <w:szCs w:val="26"/>
              </w:rPr>
              <w:t>2.2 Требования к срокам поставки продукции.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b/>
                <w:bCs/>
                <w:sz w:val="26"/>
                <w:szCs w:val="26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spacing w:before="0" w:after="0"/>
            <w:rPr>
              <w:sz w:val="26"/>
              <w:szCs w:val="26"/>
            </w:rPr>
          </w:pPr>
          <w:r>
            <w:rPr>
              <w:sz w:val="26"/>
              <w:szCs w:val="26"/>
            </w:rPr>
            <w:t xml:space="preserve">        </w:t>
          </w:r>
          <w:hyperlink w:anchor="_Toc75446576">
            <w:r>
              <w:rPr>
                <w:webHidden/>
                <w:rStyle w:val="Style14"/>
                <w:vanish w:val="false"/>
                <w:sz w:val="26"/>
                <w:szCs w:val="26"/>
              </w:rPr>
              <w:t xml:space="preserve"> </w:t>
            </w:r>
            <w:r>
              <w:rPr>
                <w:rStyle w:val="Style14"/>
                <w:sz w:val="26"/>
                <w:szCs w:val="26"/>
              </w:rPr>
              <w:t xml:space="preserve">Таблица 2. Требования по срокам поставки продукции. </w:t>
            </w:r>
            <w:r>
              <w:rPr>
                <w:rStyle w:val="Style14"/>
                <w:b w:val="false"/>
                <w:bCs w:val="false"/>
                <w:sz w:val="26"/>
                <w:szCs w:val="26"/>
              </w:rPr>
              <w:t>……………………...…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sz w:val="26"/>
                <w:szCs w:val="26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Heading4"/>
            <w:spacing w:before="0" w:after="0"/>
            <w:rPr>
              <w:sz w:val="26"/>
              <w:szCs w:val="26"/>
              <w:lang w:val="ru-RU"/>
            </w:rPr>
          </w:pPr>
          <w:r>
            <w:rPr>
              <w:sz w:val="26"/>
              <w:szCs w:val="26"/>
              <w:lang w:val="ru-RU"/>
            </w:rPr>
            <w:t xml:space="preserve">         </w:t>
          </w:r>
          <w:r>
            <w:rPr>
              <w:b w:val="false"/>
              <w:sz w:val="26"/>
              <w:szCs w:val="26"/>
            </w:rPr>
            <w:t>2.3 Требования к качеству продукции</w:t>
          </w:r>
          <w:r>
            <w:rPr>
              <w:b w:val="false"/>
              <w:sz w:val="26"/>
              <w:szCs w:val="26"/>
              <w:lang w:val="ru-RU"/>
            </w:rPr>
            <w:t xml:space="preserve">………………………………………………… </w:t>
          </w:r>
          <w:r>
            <w:rPr>
              <w:sz w:val="26"/>
              <w:szCs w:val="26"/>
              <w:lang w:val="ru-RU"/>
            </w:rPr>
            <w:t>4</w:t>
          </w:r>
        </w:p>
        <w:p>
          <w:pPr>
            <w:pStyle w:val="Heading3"/>
            <w:spacing w:before="0" w:after="0"/>
            <w:rPr>
              <w:sz w:val="26"/>
              <w:szCs w:val="26"/>
              <w:lang w:val="ru-RU"/>
            </w:rPr>
          </w:pPr>
          <w:r>
            <w:rPr>
              <w:sz w:val="26"/>
              <w:szCs w:val="26"/>
              <w:lang w:val="ru-RU"/>
            </w:rPr>
            <w:t xml:space="preserve">         </w:t>
          </w:r>
          <w:r>
            <w:rPr>
              <w:sz w:val="26"/>
              <w:szCs w:val="26"/>
              <w:lang w:val="ru-RU"/>
            </w:rPr>
            <w:t>Таблица 3. Требования к продукции</w:t>
          </w:r>
          <w:r>
            <w:rPr>
              <w:rFonts w:eastAsia="新細明體" w:eastAsiaTheme="minorEastAsia"/>
              <w:sz w:val="26"/>
              <w:szCs w:val="26"/>
            </w:rPr>
            <w:tab/>
            <w:t xml:space="preserve">         </w:t>
          </w:r>
        </w:p>
        <w:p>
          <w:pPr>
            <w:pStyle w:val="ListParagraph"/>
            <w:numPr>
              <w:ilvl w:val="0"/>
              <w:numId w:val="5"/>
            </w:numPr>
            <w:rPr>
              <w:b/>
              <w:bCs/>
              <w:color w:val="000000" w:themeColor="text1"/>
              <w:sz w:val="26"/>
              <w:szCs w:val="26"/>
            </w:rPr>
          </w:pPr>
          <w:r>
            <w:rPr>
              <w:b/>
              <w:bCs/>
              <w:color w:val="000000" w:themeColor="text1"/>
              <w:sz w:val="26"/>
              <w:szCs w:val="26"/>
            </w:rPr>
            <w:t xml:space="preserve">   </w:t>
          </w:r>
          <w:r>
            <w:rPr>
              <w:bCs/>
              <w:color w:val="000000" w:themeColor="text1"/>
              <w:sz w:val="26"/>
              <w:szCs w:val="26"/>
            </w:rPr>
            <w:t>Требования к документации по ценообразованию на этапе закупки…………….....</w:t>
          </w:r>
          <w:r>
            <w:rPr>
              <w:b/>
              <w:bCs/>
              <w:color w:val="000000" w:themeColor="text1"/>
              <w:sz w:val="26"/>
              <w:szCs w:val="26"/>
            </w:rPr>
            <w:t>10</w:t>
          </w:r>
          <w:r>
            <w:rPr>
              <w:sz w:val="26"/>
              <w:b/>
              <w:szCs w:val="26"/>
              <w:bCs/>
              <w:color w:val="000000"/>
            </w:rPr>
            <w:fldChar w:fldCharType="end"/>
          </w:r>
        </w:p>
      </w:sdtContent>
    </w:sdt>
    <w:p>
      <w:pPr>
        <w:pStyle w:val="ListParagraph"/>
        <w:ind w:left="1080" w:hang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rPr/>
      </w:pPr>
      <w:r>
        <w:rPr/>
        <w:t xml:space="preserve">                                                                                                                                             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  <w:lang w:val="x-none"/>
        </w:rPr>
      </w:pPr>
      <w:r>
        <w:rPr>
          <w:rFonts w:eastAsia="Calibri"/>
          <w:b/>
          <w:i/>
          <w:sz w:val="24"/>
          <w:szCs w:val="24"/>
          <w:lang w:val="x-none"/>
        </w:rPr>
        <w:t xml:space="preserve">                                                                            </w:t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 xml:space="preserve">                                                                                         </w:t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 xml:space="preserve">                                                                                                             </w:t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br w:type="page"/>
      </w:r>
    </w:p>
    <w:p>
      <w:pPr>
        <w:pStyle w:val="Heading1"/>
        <w:ind w:left="0" w:hanging="0"/>
        <w:jc w:val="center"/>
        <w:rPr/>
      </w:pPr>
      <w:r>
        <w:rPr/>
        <w:t xml:space="preserve">1. </w:t>
      </w:r>
      <w:bookmarkStart w:id="0" w:name="_Toc51339692"/>
      <w:bookmarkStart w:id="1" w:name="_Toc75446566"/>
      <w:r>
        <w:rPr/>
        <w:t>Общие сведения</w:t>
      </w:r>
      <w:bookmarkEnd w:id="0"/>
      <w:bookmarkEnd w:id="1"/>
    </w:p>
    <w:p>
      <w:pPr>
        <w:pStyle w:val="Normal"/>
        <w:ind w:left="0" w:hanging="0"/>
        <w:jc w:val="center"/>
        <w:rPr/>
      </w:pPr>
      <w:r>
        <w:rPr/>
      </w:r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75446567"/>
      <w:r>
        <w:rPr/>
        <w:t>Обозначения и сокращения</w:t>
      </w:r>
      <w:bookmarkEnd w:id="2"/>
      <w:bookmarkEnd w:id="3"/>
      <w:r>
        <w:rPr/>
        <w:t>.</w:t>
      </w:r>
    </w:p>
    <w:p>
      <w:pPr>
        <w:pStyle w:val="Normal"/>
        <w:rPr>
          <w:rStyle w:val="Style8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x-none" w:eastAsia="x-none" w:bidi="ar-SA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left"/>
              <w:rPr/>
            </w:pPr>
            <w:r>
              <w:rPr>
                <w:rStyle w:val="Style8"/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x-none" w:eastAsia="x-none" w:bidi="ar-SA"/>
              </w:rPr>
              <w:t>Межгосударственный стандарт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ГОСТ Р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left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Национальный стандарт Российской Федерации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jc w:val="both"/>
        <w:rPr>
          <w:lang w:val="ru-RU"/>
        </w:rPr>
      </w:pPr>
      <w:r>
        <w:rPr/>
        <w:t xml:space="preserve">1.2. </w:t>
      </w:r>
      <w:bookmarkStart w:id="4" w:name="_Toc46743506"/>
      <w:bookmarkStart w:id="5" w:name="_Toc75446568"/>
      <w:r>
        <w:rPr/>
        <w:t>Наименование закупаемой продукции</w:t>
      </w:r>
      <w:bookmarkEnd w:id="4"/>
      <w:bookmarkEnd w:id="5"/>
      <w:r>
        <w:rPr>
          <w:lang w:val="ru-RU"/>
        </w:rPr>
        <w:t>.</w:t>
      </w:r>
    </w:p>
    <w:p>
      <w:pPr>
        <w:pStyle w:val="Heading4"/>
        <w:jc w:val="both"/>
        <w:rPr>
          <w:rStyle w:val="Style8"/>
          <w:bCs w:val="false"/>
          <w:i w:val="false"/>
          <w:i w:val="false"/>
          <w:color w:val="000000"/>
          <w:shd w:fill="auto" w:val="clear"/>
          <w:lang w:val="ru-RU"/>
        </w:rPr>
      </w:pPr>
      <w:r>
        <w:rPr>
          <w:rStyle w:val="Style8"/>
          <w:b/>
          <w:bCs w:val="false"/>
          <w:i w:val="false"/>
          <w:color w:val="000000"/>
          <w:shd w:fill="auto" w:val="clear"/>
        </w:rPr>
        <w:t>ОКПД 2: 22.11.1 Поставка шин для грузовых машин и специального транспорта транспортных участков Южного филиала АО ТК «РусГидро»</w:t>
      </w:r>
      <w:r>
        <w:rPr>
          <w:rStyle w:val="Style8"/>
          <w:b/>
          <w:bCs w:val="false"/>
          <w:i w:val="false"/>
          <w:color w:val="000000"/>
          <w:shd w:fill="auto" w:val="clear"/>
          <w:lang w:val="ru-RU"/>
        </w:rPr>
        <w:t>.</w:t>
      </w:r>
    </w:p>
    <w:p>
      <w:pPr>
        <w:pStyle w:val="Heading4"/>
        <w:jc w:val="both"/>
        <w:rPr/>
      </w:pPr>
      <w:r>
        <w:rPr/>
        <w:t xml:space="preserve">1.3. </w:t>
      </w:r>
      <w:bookmarkStart w:id="6" w:name="_Toc75446569"/>
      <w:bookmarkStart w:id="7" w:name="_Toc46743507"/>
      <w:r>
        <w:rPr/>
        <w:t xml:space="preserve">Цель </w:t>
      </w:r>
      <w:bookmarkEnd w:id="7"/>
      <w:r>
        <w:rPr/>
        <w:t>использования закупаемой продукции</w:t>
      </w:r>
      <w:r>
        <w:rPr>
          <w:lang w:val="ru-RU"/>
        </w:rPr>
        <w:t>.</w:t>
      </w:r>
      <w:r>
        <w:rPr/>
        <w:t xml:space="preserve"> </w:t>
      </w:r>
      <w:bookmarkEnd w:id="6"/>
      <w:r>
        <w:rPr/>
        <w:t xml:space="preserve"> </w:t>
      </w:r>
    </w:p>
    <w:p>
      <w:pPr>
        <w:pStyle w:val="Heading4"/>
        <w:jc w:val="both"/>
        <w:rPr/>
      </w:pPr>
      <w:bookmarkStart w:id="8" w:name="_Toc75446572"/>
      <w:r>
        <w:rPr>
          <w:b w:val="false"/>
          <w:bCs w:val="false"/>
        </w:rPr>
        <w:t xml:space="preserve">Автомобильные шины закупаются для доукомплектования транспортного средств шинами в целях обеспечения бесперебойной работы транспортных средств для нужд </w:t>
      </w:r>
      <w:r>
        <w:rPr>
          <w:b w:val="false"/>
          <w:bCs w:val="false"/>
          <w:lang w:val="ru-RU"/>
        </w:rPr>
        <w:t>Южного</w:t>
      </w:r>
      <w:r>
        <w:rPr>
          <w:b w:val="false"/>
          <w:bCs w:val="false"/>
        </w:rPr>
        <w:t xml:space="preserve"> филиала </w:t>
        <w:br/>
        <w:t>АО «ТК РусГидро».</w:t>
      </w:r>
      <w:bookmarkStart w:id="9" w:name="_Toc51339693"/>
      <w:bookmarkStart w:id="10" w:name="_Toc75446573"/>
      <w:bookmarkEnd w:id="8"/>
    </w:p>
    <w:p>
      <w:pPr>
        <w:pStyle w:val="Heading1"/>
        <w:ind w:left="0" w:hanging="0"/>
        <w:jc w:val="center"/>
        <w:rPr/>
      </w:pPr>
      <w:r>
        <w:rPr/>
        <w:t>2. Требования к продукции</w:t>
      </w:r>
      <w:bookmarkEnd w:id="9"/>
      <w:bookmarkEnd w:id="10"/>
    </w:p>
    <w:p>
      <w:pPr>
        <w:pStyle w:val="Heading4"/>
        <w:rPr/>
      </w:pPr>
      <w:r>
        <w:rPr/>
        <w:t xml:space="preserve">2.1. </w:t>
      </w:r>
      <w:bookmarkStart w:id="11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1"/>
      <w:r>
        <w:rPr>
          <w:lang w:val="ru-RU"/>
        </w:rPr>
        <w:t>.</w:t>
      </w:r>
    </w:p>
    <w:p>
      <w:pPr>
        <w:pStyle w:val="Heading4"/>
        <w:rPr/>
      </w:pPr>
      <w:r>
        <w:rPr/>
        <w:t xml:space="preserve">2.1.1. </w:t>
      </w:r>
      <w:bookmarkStart w:id="12" w:name="_Toc75446574_Копия_1"/>
      <w:r>
        <w:rPr>
          <w:sz w:val="24"/>
          <w:szCs w:val="24"/>
        </w:rPr>
        <w:t>Перечень и объем закупаемой продукции</w:t>
      </w:r>
      <w:bookmarkEnd w:id="12"/>
      <w:r>
        <w:rPr>
          <w:lang w:val="ru-RU"/>
        </w:rPr>
        <w:t>.</w:t>
      </w:r>
    </w:p>
    <w:p>
      <w:pPr>
        <w:pStyle w:val="Heading1"/>
        <w:ind w:left="0" w:hanging="0"/>
        <w:rPr>
          <w:sz w:val="24"/>
          <w:szCs w:val="24"/>
          <w:lang w:val="ru-RU"/>
        </w:rPr>
      </w:pPr>
      <w:bookmarkStart w:id="13" w:name="_Toc75446576"/>
      <w:bookmarkStart w:id="14" w:name="_Toc51339695"/>
      <w:r>
        <w:rPr>
          <w:sz w:val="24"/>
          <w:szCs w:val="24"/>
        </w:rPr>
        <w:t xml:space="preserve">Таблица 1. Перечень </w:t>
      </w:r>
      <w:bookmarkEnd w:id="14"/>
      <w:r>
        <w:rPr>
          <w:sz w:val="24"/>
          <w:szCs w:val="24"/>
        </w:rPr>
        <w:t>и объем закупаемой продукции</w:t>
      </w:r>
      <w:bookmarkEnd w:id="13"/>
      <w:r>
        <w:rPr>
          <w:sz w:val="24"/>
          <w:szCs w:val="24"/>
          <w:lang w:val="ru-RU"/>
        </w:rPr>
        <w:t>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10065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13"/>
        <w:gridCol w:w="6375"/>
        <w:gridCol w:w="1483"/>
        <w:gridCol w:w="1493"/>
      </w:tblGrid>
      <w:tr>
        <w:trPr>
          <w:trHeight w:val="514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256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>
                <w:color w:val="000000"/>
              </w:rPr>
              <w:t>1.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шина бескамерная 275/70/22.5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</w:tr>
      <w:tr>
        <w:trPr>
          <w:trHeight w:val="446" w:hRule="atLeast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шина бескамерная 185/75/16 с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446" w:hRule="atLeast"/>
        </w:trPr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шина бескамерная 11.00 R22,5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</w:tr>
      <w:tr>
        <w:trPr>
          <w:trHeight w:val="446" w:hRule="atLeast"/>
        </w:trPr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шина камерная 8.25 R20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</w:tr>
      <w:tr>
        <w:trPr>
          <w:trHeight w:val="446" w:hRule="atLeast"/>
        </w:trPr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шина камерная 10.00 R20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446" w:hRule="atLeast"/>
        </w:trPr>
        <w:tc>
          <w:tcPr>
            <w:tcW w:w="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шина бескамерная 245/70 R19,5</w:t>
            </w:r>
          </w:p>
        </w:tc>
        <w:tc>
          <w:tcPr>
            <w:tcW w:w="14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12</w:t>
            </w:r>
          </w:p>
        </w:tc>
      </w:tr>
    </w:tbl>
    <w:p>
      <w:pPr>
        <w:pStyle w:val="Heading3"/>
        <w:rPr/>
      </w:pPr>
      <w:r>
        <w:rPr/>
      </w:r>
    </w:p>
    <w:p>
      <w:pPr>
        <w:pStyle w:val="Heading3"/>
        <w:rPr/>
      </w:pPr>
      <w:r>
        <w:rPr/>
        <w:t xml:space="preserve">2.2 </w:t>
      </w:r>
      <w:bookmarkStart w:id="15" w:name="_Toc75446578"/>
      <w:bookmarkStart w:id="16" w:name="_Toc51339696"/>
      <w:r>
        <w:rPr/>
        <w:t xml:space="preserve">Требования </w:t>
      </w:r>
      <w:bookmarkEnd w:id="16"/>
      <w:r>
        <w:rPr/>
        <w:t>к срокам поставки продукции</w:t>
      </w:r>
      <w:r>
        <w:rPr>
          <w:lang w:val="ru-RU"/>
        </w:rPr>
        <w:t>.</w:t>
      </w:r>
      <w:r>
        <w:rPr/>
        <w:t xml:space="preserve"> </w:t>
      </w:r>
      <w:bookmarkEnd w:id="15"/>
    </w:p>
    <w:p>
      <w:pPr>
        <w:pStyle w:val="Heading1"/>
        <w:ind w:left="0" w:hanging="0"/>
        <w:rPr>
          <w:sz w:val="24"/>
          <w:szCs w:val="24"/>
          <w:lang w:val="ru-RU"/>
        </w:rPr>
      </w:pPr>
      <w:bookmarkStart w:id="17" w:name="_Toc75446579"/>
      <w:bookmarkStart w:id="18" w:name="_Toc50125127"/>
      <w:bookmarkStart w:id="19" w:name="_Toc51339697"/>
      <w:bookmarkStart w:id="20" w:name="_Toc50125126_Копия_1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 xml:space="preserve">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sz w:val="24"/>
          <w:szCs w:val="24"/>
          <w:lang w:val="ru-RU"/>
        </w:rPr>
        <w:t>поставки продукции</w:t>
      </w:r>
      <w:bookmarkEnd w:id="17"/>
      <w:r>
        <w:rPr>
          <w:sz w:val="24"/>
          <w:szCs w:val="24"/>
          <w:lang w:val="ru-RU"/>
        </w:rPr>
        <w:t xml:space="preserve">. 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tbl>
      <w:tblPr>
        <w:tblW w:w="1006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13"/>
        <w:gridCol w:w="3624"/>
        <w:gridCol w:w="2438"/>
        <w:gridCol w:w="3487"/>
      </w:tblGrid>
      <w:tr>
        <w:trPr/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2" w:name="_Toc46743510"/>
            <w:r>
              <w:rPr>
                <w:sz w:val="24"/>
                <w:szCs w:val="24"/>
              </w:rPr>
              <w:t>4</w:t>
            </w:r>
            <w:bookmarkEnd w:id="22"/>
          </w:p>
        </w:tc>
      </w:tr>
      <w:tr>
        <w:trPr>
          <w:trHeight w:val="417" w:hRule="atLeast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Heading4"/>
              <w:widowControl w:val="false"/>
              <w:spacing w:before="120" w:after="0"/>
              <w:jc w:val="both"/>
              <w:rPr/>
            </w:pPr>
            <w:r>
              <w:rPr>
                <w:rStyle w:val="Style8"/>
                <w:b w:val="false"/>
                <w:bCs w:val="false"/>
                <w:i w:val="false"/>
                <w:color w:val="000000"/>
                <w:shd w:fill="auto" w:val="clear"/>
              </w:rPr>
              <w:t>ОКПД 2: 22.11.1 Поставка шин для грузовых машин и специального транспорта транспортных участков Южного филиала АО ТК "РусГидро"</w:t>
            </w:r>
            <w:r>
              <w:rPr>
                <w:rStyle w:val="Style8"/>
                <w:b w:val="false"/>
                <w:bCs w:val="false"/>
                <w:i w:val="false"/>
                <w:color w:val="000000"/>
                <w:shd w:fill="auto" w:val="clear"/>
                <w:lang w:val="ru-RU"/>
              </w:rPr>
              <w:t>.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2"/>
                <w:lang w:val="x-none"/>
              </w:rPr>
            </w:pPr>
            <w:r>
              <w:rPr>
                <w:bCs/>
                <w:sz w:val="24"/>
                <w:szCs w:val="22"/>
                <w:lang w:val="x-none"/>
              </w:rPr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 момента (даты) поступления денежных средств (авансового платежа) на расчетный счет Поставщика.</w:t>
            </w:r>
          </w:p>
        </w:tc>
        <w:tc>
          <w:tcPr>
            <w:tcW w:w="3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1134" w:leader="none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Сроки поставки Товара в течение 30 (тридцати) календарных дней с момента (даты) поступления денежных средств (авансового платежа) на расчетный счет Поставщика.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239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rPr/>
      </w:pPr>
      <w:r>
        <w:rPr/>
        <w:t xml:space="preserve">2.3 </w:t>
      </w:r>
      <w:bookmarkStart w:id="23" w:name="_Toc51339698"/>
      <w:bookmarkStart w:id="24" w:name="_Toc75446581"/>
      <w:bookmarkStart w:id="25" w:name="_Toc46743511"/>
      <w:r>
        <w:rPr/>
        <w:t xml:space="preserve">Требования к </w:t>
      </w:r>
      <w:bookmarkEnd w:id="25"/>
      <w:r>
        <w:rPr/>
        <w:t>качеству продукции</w:t>
      </w:r>
      <w:bookmarkEnd w:id="24"/>
    </w:p>
    <w:p>
      <w:pPr>
        <w:pStyle w:val="Heading1"/>
        <w:ind w:left="0" w:hanging="0"/>
        <w:rPr>
          <w:sz w:val="24"/>
          <w:szCs w:val="24"/>
        </w:rPr>
      </w:pPr>
      <w:bookmarkStart w:id="26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6"/>
      <w:r>
        <w:rPr>
          <w:sz w:val="24"/>
          <w:szCs w:val="24"/>
        </w:rPr>
        <w:t xml:space="preserve"> </w:t>
      </w:r>
      <w:bookmarkEnd w:id="23"/>
    </w:p>
    <w:p>
      <w:pPr>
        <w:pStyle w:val="Normal"/>
        <w:tabs>
          <w:tab w:val="clear" w:pos="709"/>
          <w:tab w:val="left" w:pos="851" w:leader="none"/>
        </w:tabs>
        <w:jc w:val="both"/>
        <w:rPr>
          <w:sz w:val="26"/>
          <w:szCs w:val="26"/>
        </w:rPr>
      </w:pPr>
      <w:r>
        <w:rPr>
          <w:sz w:val="24"/>
          <w:szCs w:val="26"/>
        </w:rPr>
        <w:t xml:space="preserve">Наименование: </w:t>
      </w:r>
      <w:r>
        <w:rPr>
          <w:rStyle w:val="Style8"/>
          <w:rFonts w:eastAsia="Times New Roman" w:cs="Times New Roman"/>
          <w:color w:val="000000"/>
          <w:kern w:val="0"/>
          <w:sz w:val="24"/>
          <w:szCs w:val="26"/>
          <w:shd w:fill="auto" w:val="clear"/>
          <w:lang w:val="ru-RU" w:eastAsia="ru-RU" w:bidi="ar-SA"/>
        </w:rPr>
        <w:t>ОКПД 2: 22.11.1 Поставка шин для грузовых машин и специального транспорта транспортных участков Южного филиала АО ТК «РусГидро».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1c"/>
        <w:tblW w:w="15255" w:type="dxa"/>
        <w:jc w:val="left"/>
        <w:tblInd w:w="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12"/>
        <w:gridCol w:w="2550"/>
        <w:gridCol w:w="3913"/>
        <w:gridCol w:w="1639"/>
        <w:gridCol w:w="2611"/>
        <w:gridCol w:w="3405"/>
        <w:gridCol w:w="224"/>
      </w:tblGrid>
      <w:tr>
        <w:trPr>
          <w:trHeight w:val="311" w:hRule="atLeast"/>
        </w:trPr>
        <w:tc>
          <w:tcPr>
            <w:tcW w:w="91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25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91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заказчика</w:t>
            </w:r>
          </w:p>
        </w:tc>
        <w:tc>
          <w:tcPr>
            <w:tcW w:w="425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34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Предложения участника по характеристикам и параметрам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70" w:hRule="atLeast"/>
        </w:trPr>
        <w:tc>
          <w:tcPr>
            <w:tcW w:w="91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</w:rPr>
            </w:r>
          </w:p>
        </w:tc>
        <w:tc>
          <w:tcPr>
            <w:tcW w:w="25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</w:p>
        </w:tc>
        <w:tc>
          <w:tcPr>
            <w:tcW w:w="391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40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70" w:hRule="atLeast"/>
        </w:trPr>
        <w:tc>
          <w:tcPr>
            <w:tcW w:w="91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91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70" w:hRule="atLeast"/>
        </w:trPr>
        <w:tc>
          <w:tcPr>
            <w:tcW w:w="91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6463" w:type="dxa"/>
            <w:gridSpan w:val="2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63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61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340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70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1.1</w:t>
            </w:r>
          </w:p>
        </w:tc>
        <w:tc>
          <w:tcPr>
            <w:tcW w:w="255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Технические характеристики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1.1.1.</w:t>
            </w:r>
          </w:p>
        </w:tc>
        <w:tc>
          <w:tcPr>
            <w:tcW w:w="255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Автомобильная шина бескамерная 275/70/22.5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Ширина профиля: 275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Индекс нагрузки для одинарных/сд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военных: не менее 148/145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color w:val="000000"/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Индекс скорости: не ниже M — 130 км/ч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color w:val="000000"/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Исполнение: бескамерная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Максимальная нагрузка: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3150/2900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sz w:val="20"/>
                <w:szCs w:val="20"/>
              </w:rPr>
              <w:t>ГОСТ Р 52899-2007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sz w:val="20"/>
                <w:szCs w:val="20"/>
              </w:rPr>
              <w:t>ОСЬ ПРИМЕНЕНИЯ: универсальная.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1.1.2.</w:t>
            </w:r>
          </w:p>
        </w:tc>
        <w:tc>
          <w:tcPr>
            <w:tcW w:w="255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Автомобильная шина бескамерная 185/75/16 с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Индекс нагрузки для одинарных/сдвоенных: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  104/102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Исполнение: бескамерная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Максимальная нагрузка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 900/850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sz w:val="20"/>
                <w:szCs w:val="20"/>
              </w:rPr>
              <w:t xml:space="preserve">ГОСТ Р 52899-2007     </w:t>
            </w: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   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указание характерист</w:t>
            </w:r>
            <w:bookmarkStart w:id="27" w:name="_GoBack"/>
            <w:bookmarkEnd w:id="27"/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ик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1.1.3.</w:t>
            </w:r>
          </w:p>
        </w:tc>
        <w:tc>
          <w:tcPr>
            <w:tcW w:w="255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 xml:space="preserve">Автомобильная шина бескамерная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11.00 R22,5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Ширина профиля: 290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Индекс нагрузки для одинарных/сдвоенных: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148/145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Индекс скорости: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ниже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L — 120 км/ч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Исполнение: бескамерная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Максимальная нагрузка: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3150/2900                                                              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sz w:val="20"/>
                <w:szCs w:val="20"/>
              </w:rPr>
              <w:t>ГОСТ 5513-97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1.1.4.</w:t>
            </w:r>
          </w:p>
        </w:tc>
        <w:tc>
          <w:tcPr>
            <w:tcW w:w="255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Автомобильная шина камерная 8.25R20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Норма слойности — не менее 14PR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Ширина профиля: 230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Индекс нагрузки для одинарных/сдвоенных: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133/131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Индекс скорости: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ниже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К - 110км/ч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Исполнение: камерная                                                                         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Максимальная нагрузка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2060/1950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ГОСТ 5513-97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1.1.5.</w:t>
            </w:r>
          </w:p>
        </w:tc>
        <w:tc>
          <w:tcPr>
            <w:tcW w:w="255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Автомобильная шина камерная 10.00 R20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Норма слойности -  не менее 16PR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Ширина профиля: 275                                                           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Индекс нагрузки для одинарных/сдвоенных: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 146/143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Индекс скорости: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ниже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K- 110км/ч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Исполнение: 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Максимальная нагрузка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3000/2725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ГОСТ 5513-97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Calibri" w:cs="Times New Roman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1.1.6.</w:t>
            </w:r>
          </w:p>
        </w:tc>
        <w:tc>
          <w:tcPr>
            <w:tcW w:w="255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color w:val="auto"/>
                <w:kern w:val="0"/>
                <w:sz w:val="20"/>
                <w:szCs w:val="20"/>
                <w:lang w:val="ru-RU" w:eastAsia="en-US" w:bidi="ar-SA"/>
              </w:rPr>
              <w:t>Автомобильная шина бескамерная 245/70 R19,5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Ширина профиля: 245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Индекс нагрузки для одинарных/сд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военных: не менее 136/134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Индекс скорости: не ниже M — 130 км/ч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Исполнение: бескамерная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Максимальная нагрузка: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2240/2120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sz w:val="20"/>
                <w:szCs w:val="20"/>
                <w:shd w:fill="auto" w:val="clear"/>
              </w:rPr>
              <w:t xml:space="preserve">ГОСТ  </w:t>
            </w:r>
            <w:r>
              <w:rPr>
                <w:rFonts w:eastAsia="Calibri" w:cs="Times New Roman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52899-2007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highlight w:val="none"/>
                <w:shd w:fill="auto" w:val="clear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ОСЬ ПРИМЕНЕНИЯ: универсальная.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164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646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безопасности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34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91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2.1</w:t>
            </w:r>
          </w:p>
        </w:tc>
        <w:tc>
          <w:tcPr>
            <w:tcW w:w="255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Безопасность продукции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 xml:space="preserve">Качество и безопасность товара должны соответствовать требованиям: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ГОСТ 5513-97 «Шины пневматические для грузовых автомобилей, прицепов к ним, автобусов и троллейбусов. Технические условия»;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ГОСТ Р 52899-2007 «Шины пневматические для грузовых механических транспортных средств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и прицепов»;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 xml:space="preserve">Технического регламента Таможенного союза </w:t>
            </w:r>
            <w:r>
              <w:rPr>
                <w:rFonts w:eastAsia="Calibri" w:cs="Times New Roman"/>
                <w:b w:val="false"/>
                <w:bCs w:val="false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 ТС 018/2011 «О безопасности колесных транспортных средств».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сертификат соответствия</w:t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688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646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34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424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3.1</w:t>
            </w:r>
          </w:p>
        </w:tc>
        <w:tc>
          <w:tcPr>
            <w:tcW w:w="255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Место поставки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Российская Федерация, Ставропольский край, г. Невинномысск, ул. Водопроводная 360А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34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447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3.2</w:t>
            </w:r>
          </w:p>
        </w:tc>
        <w:tc>
          <w:tcPr>
            <w:tcW w:w="25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упаковке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Маркировка и (или) упаковка продукции должна соответствовать Распоряжению Правительства РФ от 28 апреля 2018 г. N 792-р. Обеспечивать Заказчику возможность идентифицировать продукцию.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233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 xml:space="preserve">4. </w:t>
            </w:r>
          </w:p>
        </w:tc>
        <w:tc>
          <w:tcPr>
            <w:tcW w:w="646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эксплуатации, обеспечению и утилизации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34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91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4.1</w:t>
            </w:r>
          </w:p>
        </w:tc>
        <w:tc>
          <w:tcPr>
            <w:tcW w:w="255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Требования к эксплуатации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Продукция должна обеспечивать взаимодействие с транспортным средством Заказчика, а именно при установке на автомобиль продукция должна обеспечивать устойчивую, надёжную и безопасную работу агрегатов и узлов автомобиля.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Продукция должна быть не прошедшей ремонт, в том числе восстановление и замену составных частей, восстановление потребительских свойств.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Год изготовления  товара – не ранее 2025.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572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646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34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688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5.1</w:t>
            </w:r>
          </w:p>
        </w:tc>
        <w:tc>
          <w:tcPr>
            <w:tcW w:w="2550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Срок гарантии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Гарантийный срок на Товар, поставленный по Договору, равен гарантийному сроку производителя и начинает течь с даты подписания Сторонами Накладной ТОРГ-12/УПД.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Calibri" w:cs="Times New Roman"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 xml:space="preserve">Гарантийный срок может быть продлен в соответствии с условиями Договора.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562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 xml:space="preserve">6. </w:t>
            </w:r>
          </w:p>
        </w:tc>
        <w:tc>
          <w:tcPr>
            <w:tcW w:w="646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340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688" w:hRule="atLeast"/>
        </w:trPr>
        <w:tc>
          <w:tcPr>
            <w:tcW w:w="91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6.1</w:t>
            </w:r>
          </w:p>
        </w:tc>
        <w:tc>
          <w:tcPr>
            <w:tcW w:w="2550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391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Поставщик передает Заказчику товарную накладную (ТОРГ-12)/УПД, счет-фактуру</w:t>
            </w:r>
          </w:p>
        </w:tc>
        <w:tc>
          <w:tcPr>
            <w:tcW w:w="163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61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340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numPr>
          <w:ilvl w:val="0"/>
          <w:numId w:val="6"/>
        </w:num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Требования к документации по ценообразованию на этапе закупки</w:t>
      </w:r>
    </w:p>
    <w:p>
      <w:pPr>
        <w:pStyle w:val="Normal"/>
        <w:spacing w:before="0" w:after="0"/>
        <w:ind w:left="1080" w:hanging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ListParagraph"/>
        <w:numPr>
          <w:ilvl w:val="1"/>
          <w:numId w:val="6"/>
        </w:numPr>
        <w:ind w:left="0" w:firstLine="454"/>
        <w:jc w:val="both"/>
        <w:rPr>
          <w:i w:val="false"/>
          <w:i w:val="false"/>
          <w:iCs w:val="false"/>
        </w:rPr>
      </w:pPr>
      <w:r>
        <w:rPr>
          <w:rFonts w:eastAsia="Times New Roman"/>
          <w:bCs/>
          <w:i w:val="false"/>
          <w:iCs w:val="false"/>
          <w:color w:val="000000" w:themeColor="text1"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28" w:name="_Hlk88325985"/>
      <w:r>
        <w:rPr>
          <w:rFonts w:eastAsia="Times New Roman"/>
          <w:bCs/>
          <w:i w:val="false"/>
          <w:iCs w:val="false"/>
          <w:color w:val="000000" w:themeColor="text1"/>
          <w:sz w:val="24"/>
          <w:szCs w:val="24"/>
          <w:lang w:eastAsia="x-none"/>
        </w:rPr>
        <w:t>(с учетом прилагаемой к ней инструкции по заполнению)</w:t>
      </w:r>
      <w:bookmarkEnd w:id="28"/>
      <w:r>
        <w:rPr>
          <w:rFonts w:eastAsia="Times New Roman"/>
          <w:bCs/>
          <w:i w:val="false"/>
          <w:iCs w:val="false"/>
          <w:color w:val="000000" w:themeColor="text1"/>
          <w:sz w:val="24"/>
          <w:szCs w:val="24"/>
          <w:lang w:eastAsia="x-none"/>
        </w:rPr>
        <w:t>, приведенной в Документации о закупке</w:t>
      </w:r>
      <w:r>
        <w:rPr>
          <w:i w:val="false"/>
          <w:iCs w:val="false"/>
          <w:color w:val="000000" w:themeColor="text1"/>
          <w:lang w:eastAsia="x-none"/>
        </w:rPr>
        <w:t>.</w:t>
      </w:r>
    </w:p>
    <w:p>
      <w:pPr>
        <w:pStyle w:val="ListParagraph"/>
        <w:numPr>
          <w:ilvl w:val="1"/>
          <w:numId w:val="6"/>
        </w:numPr>
        <w:ind w:left="0" w:firstLine="426"/>
        <w:jc w:val="both"/>
        <w:rPr>
          <w:i w:val="false"/>
          <w:i w:val="false"/>
          <w:iCs w:val="false"/>
        </w:rPr>
      </w:pPr>
      <w:bookmarkStart w:id="29" w:name="_Hlk88327292"/>
      <w:r>
        <w:rPr>
          <w:bCs/>
          <w:i w:val="false"/>
          <w:iCs w:val="false"/>
          <w:color w:val="000000" w:themeColor="text1"/>
          <w:sz w:val="24"/>
          <w:szCs w:val="24"/>
          <w:lang w:eastAsia="x-none"/>
        </w:rPr>
        <w:t>Дополнительные документы по ценообразованию</w:t>
      </w:r>
      <w:bookmarkEnd w:id="29"/>
      <w:r>
        <w:rPr>
          <w:bCs/>
          <w:i w:val="false"/>
          <w:iCs w:val="false"/>
          <w:color w:val="000000" w:themeColor="text1"/>
          <w:sz w:val="24"/>
          <w:szCs w:val="24"/>
          <w:lang w:eastAsia="x-none"/>
        </w:rPr>
        <w:t xml:space="preserve"> в состав заявки не включаются</w:t>
      </w:r>
      <w:r>
        <w:rPr>
          <w:i w:val="false"/>
          <w:iCs w:val="false"/>
          <w:color w:val="000000" w:themeColor="text1"/>
          <w:lang w:eastAsia="x-none"/>
        </w:rPr>
        <w:t>.</w:t>
      </w:r>
    </w:p>
    <w:p>
      <w:pPr>
        <w:pStyle w:val="Normal"/>
        <w:tabs>
          <w:tab w:val="clear" w:pos="709"/>
          <w:tab w:val="left" w:pos="851" w:leader="none"/>
        </w:tabs>
        <w:spacing w:before="0" w:after="120"/>
        <w:ind w:left="410" w:hanging="0"/>
        <w:jc w:val="both"/>
        <w:rPr>
          <w:iCs/>
          <w:color w:val="000000" w:themeColor="text1"/>
          <w:sz w:val="24"/>
          <w:szCs w:val="24"/>
          <w:shd w:fill="FFFF00" w:val="clear"/>
          <w:lang w:eastAsia="x-none"/>
        </w:rPr>
      </w:pPr>
      <w:r>
        <w:rPr>
          <w:iCs/>
          <w:color w:val="000000" w:themeColor="text1"/>
          <w:sz w:val="24"/>
          <w:szCs w:val="24"/>
          <w:shd w:fill="FFFF00" w:val="clear"/>
          <w:lang w:eastAsia="x-none"/>
        </w:rPr>
      </w:r>
    </w:p>
    <w:p>
      <w:pPr>
        <w:pStyle w:val="Normal"/>
        <w:tabs>
          <w:tab w:val="clear" w:pos="709"/>
          <w:tab w:val="left" w:pos="851" w:leader="none"/>
        </w:tabs>
        <w:spacing w:before="0" w:after="120"/>
        <w:ind w:left="410" w:hanging="0"/>
        <w:jc w:val="both"/>
        <w:rPr>
          <w:iCs/>
          <w:color w:val="000000" w:themeColor="text1"/>
          <w:sz w:val="24"/>
          <w:szCs w:val="24"/>
          <w:shd w:fill="FFFF00" w:val="clear"/>
          <w:lang w:eastAsia="x-none"/>
        </w:rPr>
      </w:pPr>
      <w:r>
        <w:rPr>
          <w:iCs/>
          <w:color w:val="000000" w:themeColor="text1"/>
          <w:sz w:val="24"/>
          <w:szCs w:val="24"/>
          <w:shd w:fill="FFFF00" w:val="clear"/>
          <w:lang w:eastAsia="x-none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  <w:shd w:fill="auto" w:val="clear"/>
        </w:rPr>
        <w:t>Специалист по МТО 2 категории  ГМТС</w:t>
        <w:tab/>
        <w:t xml:space="preserve">                                                                      Н.Н. Щигарев</w:t>
      </w:r>
    </w:p>
    <w:p>
      <w:pPr>
        <w:pStyle w:val="Normal"/>
        <w:tabs>
          <w:tab w:val="clear" w:pos="709"/>
          <w:tab w:val="left" w:pos="851" w:leader="none"/>
        </w:tabs>
        <w:spacing w:before="0" w:after="120"/>
        <w:ind w:left="410" w:hanging="0"/>
        <w:jc w:val="both"/>
        <w:rPr>
          <w:iCs/>
          <w:color w:val="000000" w:themeColor="text1"/>
          <w:sz w:val="24"/>
          <w:szCs w:val="24"/>
          <w:shd w:fill="FFFF00" w:val="clear"/>
          <w:lang w:eastAsia="x-none"/>
        </w:rPr>
      </w:pPr>
      <w:r>
        <w:rPr>
          <w:iCs/>
          <w:color w:val="000000" w:themeColor="text1"/>
          <w:sz w:val="24"/>
          <w:szCs w:val="24"/>
          <w:shd w:fill="FFFF00" w:val="clear"/>
          <w:lang w:eastAsia="x-none"/>
        </w:rPr>
      </w:r>
    </w:p>
    <w:p>
      <w:pPr>
        <w:pStyle w:val="Normal"/>
        <w:tabs>
          <w:tab w:val="clear" w:pos="709"/>
          <w:tab w:val="left" w:pos="851" w:leader="none"/>
        </w:tabs>
        <w:spacing w:before="0" w:after="120"/>
        <w:ind w:left="410" w:hanging="0"/>
        <w:jc w:val="both"/>
        <w:rPr>
          <w:iCs/>
          <w:color w:val="000000" w:themeColor="text1"/>
          <w:sz w:val="24"/>
          <w:szCs w:val="24"/>
          <w:shd w:fill="FFFF00" w:val="clear"/>
          <w:lang w:eastAsia="x-none"/>
        </w:rPr>
      </w:pPr>
      <w:r>
        <w:rPr>
          <w:iCs/>
          <w:color w:val="000000" w:themeColor="text1"/>
          <w:sz w:val="24"/>
          <w:szCs w:val="24"/>
          <w:shd w:fill="FFFF00" w:val="clear"/>
          <w:lang w:eastAsia="x-none"/>
        </w:rPr>
      </w:r>
    </w:p>
    <w:p>
      <w:pPr>
        <w:pStyle w:val="Normal"/>
        <w:ind w:right="-2" w:hanging="0"/>
        <w:jc w:val="both"/>
        <w:rPr>
          <w:bCs/>
          <w:sz w:val="24"/>
          <w:szCs w:val="24"/>
        </w:rPr>
      </w:pPr>
      <w:r>
        <w:rPr>
          <w:b w:val="false"/>
          <w:bCs w:val="false"/>
          <w:iCs/>
          <w:sz w:val="24"/>
          <w:szCs w:val="24"/>
          <w:lang w:eastAsia="x-none"/>
        </w:rPr>
        <w:t>Руководитель ГКЭОиРТС                                                                                               Ю.А. Патычек</w:t>
      </w:r>
    </w:p>
    <w:sectPr>
      <w:headerReference w:type="default" r:id="rId8"/>
      <w:headerReference w:type="first" r:id="rId9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  <w:r>
      <w:rPr/>
      <w:t xml:space="preserve">                                                                                                                            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8394c"/>
    <w:pPr>
      <w:keepNext w:val="true"/>
      <w:spacing w:before="120" w:after="0"/>
      <w:ind w:left="30" w:hanging="3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8394c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9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Style38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BA4AA-4C09-474D-A776-9E380B840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Application>AlterOffice/3.4.0.9$Linux_X86_64 LibreOffice_project/b8daf9e823b1a5463a2f48435ddc2e8696e7d4fc</Application>
  <AppVersion>15.0000</AppVersion>
  <Pages>9</Pages>
  <Words>1059</Words>
  <Characters>7227</Characters>
  <CharactersWithSpaces>9592</CharactersWithSpaces>
  <Paragraphs>266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2025-01-30T07:18:00Z</dcterms:created>
  <dc:creator>Быстров Олег Геннадьевич</dc:creator>
  <dc:description/>
  <dc:language>ru-RU</dc:language>
  <cp:lastModifiedBy>schigarevnn@corp.gidroogk.com</cp:lastModifiedBy>
  <cp:lastPrinted>2025-06-23T13:42:57Z</cp:lastPrinted>
  <dcterms:modified xsi:type="dcterms:W3CDTF">2026-08-20T13:36:57Z</dcterms:modified>
  <cp:revision>50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