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 №_________________</w:t>
      </w:r>
    </w:p>
    <w:p>
      <w:pPr>
        <w:pStyle w:val="Normal"/>
        <w:shd w:val="clear" w:color="auto" w:fill="FFFFFF"/>
        <w:rPr>
          <w:b/>
          <w:bCs/>
          <w:sz w:val="12"/>
          <w:szCs w:val="12"/>
        </w:rPr>
      </w:pPr>
      <w:r>
        <w:rPr>
          <w:b/>
          <w:bCs/>
          <w:sz w:val="12"/>
          <w:szCs w:val="12"/>
        </w:rPr>
      </w:r>
    </w:p>
    <w:p>
      <w:pPr>
        <w:pStyle w:val="Normal"/>
        <w:shd w:val="clear" w:color="auto" w:fill="FFFFFF"/>
        <w:tabs>
          <w:tab w:val="clear" w:pos="709"/>
          <w:tab w:val="right" w:pos="9639" w:leader="none"/>
        </w:tabs>
        <w:jc w:val="right"/>
        <w:rPr>
          <w:bCs/>
          <w:sz w:val="24"/>
          <w:szCs w:val="24"/>
        </w:rPr>
      </w:pPr>
      <w:r>
        <w:rPr>
          <w:bCs/>
          <w:sz w:val="24"/>
          <w:szCs w:val="24"/>
        </w:rPr>
        <w:t>г. Пятигорск</w:t>
        <w:tab/>
        <w:t xml:space="preserve">   «___» _________ 20__ г.</w:t>
      </w:r>
    </w:p>
    <w:p>
      <w:pPr>
        <w:pStyle w:val="Normal"/>
        <w:shd w:val="clear" w:color="auto" w:fill="FFFFFF"/>
        <w:tabs>
          <w:tab w:val="clear" w:pos="709"/>
          <w:tab w:val="right" w:pos="9639" w:leader="none"/>
        </w:tabs>
        <w:jc w:val="right"/>
        <w:rPr>
          <w:bCs/>
          <w:sz w:val="12"/>
          <w:szCs w:val="12"/>
        </w:rPr>
      </w:pPr>
      <w:r>
        <w:rPr>
          <w:bCs/>
          <w:sz w:val="12"/>
          <w:szCs w:val="12"/>
        </w:rPr>
      </w:r>
    </w:p>
    <w:p>
      <w:pPr>
        <w:pStyle w:val="Normal"/>
        <w:ind w:firstLine="709"/>
        <w:jc w:val="both"/>
        <w:rPr>
          <w:spacing w:val="10"/>
          <w:sz w:val="24"/>
          <w:szCs w:val="24"/>
        </w:rPr>
      </w:pPr>
      <w:r>
        <w:rPr>
          <w:b/>
          <w:sz w:val="24"/>
          <w:szCs w:val="24"/>
        </w:rPr>
        <w:t xml:space="preserve">Акционерное общество «Транспортная компания РусГидро» </w:t>
      </w:r>
      <w:r>
        <w:rPr>
          <w:sz w:val="24"/>
          <w:szCs w:val="24"/>
        </w:rPr>
        <w:t>(АО «ТК РусГидро»)</w:t>
      </w:r>
      <w:r>
        <w:rPr>
          <w:spacing w:val="2"/>
          <w:sz w:val="24"/>
          <w:szCs w:val="24"/>
        </w:rPr>
        <w:t xml:space="preserve"> (далее – </w:t>
      </w:r>
      <w:r>
        <w:rPr>
          <w:sz w:val="24"/>
          <w:szCs w:val="24"/>
        </w:rPr>
        <w:t>«Покупатель»), в лице _________________________________</w:t>
      </w:r>
      <w:r>
        <w:rPr>
          <w:spacing w:val="4"/>
          <w:sz w:val="24"/>
          <w:szCs w:val="24"/>
        </w:rPr>
        <w:t>, действующего на основании __________________________________,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по результатам проведенной Покупателем конкурентной процедуры </w:t>
      </w:r>
      <w:r>
        <w:rPr>
          <w:bCs/>
          <w:sz w:val="24"/>
          <w:szCs w:val="24"/>
        </w:rPr>
        <w:t>по лоту № ____________</w:t>
      </w:r>
      <w:r>
        <w:rPr>
          <w:sz w:val="24"/>
          <w:szCs w:val="24"/>
        </w:rPr>
        <w:t xml:space="preserve"> и на основании протокола от «___» _________ г. №_______,</w:t>
      </w:r>
    </w:p>
    <w:p>
      <w:pPr>
        <w:pStyle w:val="Normal"/>
        <w:ind w:firstLine="709"/>
        <w:jc w:val="both"/>
        <w:rPr>
          <w:b w:val="false"/>
          <w:bCs w:val="false"/>
        </w:rPr>
      </w:pPr>
      <w:r>
        <w:rPr>
          <w:b w:val="false"/>
          <w:bCs w:val="false"/>
          <w:spacing w:val="10"/>
          <w:sz w:val="24"/>
          <w:szCs w:val="24"/>
        </w:rPr>
        <w:t>заключили настоящий договор поставки (далее – «Договор») о нижеследующем:</w:t>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jc w:val="center"/>
        <w:rPr>
          <w:sz w:val="12"/>
          <w:szCs w:val="12"/>
        </w:rPr>
      </w:pPr>
      <w:r>
        <w:rPr>
          <w:sz w:val="12"/>
          <w:szCs w:val="12"/>
        </w:rPr>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№ТОРГ-2 «Акт об установленном расхождении по количеству и качеству при приемке товарно-материальных ценностей» и № ТОРГ-3 «Акт об установленном расхождении 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документ, оформляемый по унифицированной форме №ТОРГ-12 «Товарная накладная», утвержденной постановлением Госкомстата РФ от 25.12.1998 №132, подписываемый Сторонами после завершения приемки Товара по количеству, качеству и комплектности.</w:t>
      </w:r>
    </w:p>
    <w:p>
      <w:pPr>
        <w:sectPr>
          <w:headerReference w:type="default" r:id="rId2"/>
          <w:type w:val="nextPage"/>
          <w:pgSz w:w="11906" w:h="16838"/>
          <w:pgMar w:left="1560" w:right="851" w:gutter="0" w:header="709" w:top="1135" w:footer="0" w:bottom="1135"/>
          <w:pgNumType w:fmt="decimal"/>
          <w:formProt w:val="false"/>
          <w:textDirection w:val="lrTb"/>
          <w:docGrid w:type="default" w:linePitch="360" w:charSpace="8192"/>
        </w:sect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Style w:val="Style12"/>
          <w:rFonts w:eastAsia="Times New Roman" w:cs="Times New Roman"/>
          <w:b w:val="false"/>
          <w:bCs w:val="false"/>
          <w:color w:val="000000"/>
          <w:kern w:val="0"/>
          <w:sz w:val="24"/>
          <w:szCs w:val="26"/>
          <w:shd w:fill="auto" w:val="clear"/>
          <w:lang w:val="ru-RU" w:eastAsia="ru-RU" w:bidi="ar-SA"/>
        </w:rPr>
        <w:t>шины для грузовых машин и спец</w:t>
      </w:r>
      <w:r>
        <w:rPr>
          <w:rStyle w:val="Style12"/>
          <w:rFonts w:eastAsia="Times New Roman" w:cs="Times New Roman"/>
          <w:b w:val="false"/>
          <w:bCs w:val="false"/>
          <w:color w:val="000000"/>
          <w:kern w:val="0"/>
          <w:sz w:val="24"/>
          <w:szCs w:val="26"/>
          <w:shd w:fill="auto" w:val="clear"/>
          <w:lang w:val="ru-RU" w:eastAsia="ru-RU" w:bidi="ar-SA"/>
        </w:rPr>
        <w:t>иального</w:t>
      </w:r>
      <w:r>
        <w:rPr>
          <w:rStyle w:val="Style12"/>
          <w:rFonts w:eastAsia="Times New Roman" w:cs="Times New Roman"/>
          <w:b w:val="false"/>
          <w:bCs w:val="false"/>
          <w:color w:val="000000"/>
          <w:kern w:val="0"/>
          <w:sz w:val="24"/>
          <w:szCs w:val="26"/>
          <w:shd w:fill="auto" w:val="clear"/>
          <w:lang w:val="ru-RU" w:eastAsia="ru-RU" w:bidi="ar-SA"/>
        </w:rPr>
        <w:t xml:space="preserve"> транспорта </w:t>
      </w:r>
      <w:r>
        <w:rPr>
          <w:bCs/>
          <w:sz w:val="24"/>
          <w:szCs w:val="24"/>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Южного филиала АО «ТК РусГидро».</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rFonts w:eastAsia="Calibri" w:cs="Times New Roman"/>
          <w:bCs/>
          <w:iCs/>
          <w:color w:val="000000" w:themeColor="text1"/>
          <w:kern w:val="0"/>
          <w:sz w:val="24"/>
          <w:szCs w:val="24"/>
          <w:shd w:fill="auto" w:val="clear"/>
          <w:lang w:val="ru-RU" w:eastAsia="en-US" w:bidi="ar-SA"/>
        </w:rPr>
        <w:t xml:space="preserve">Российская Федерация, Ставропольский край, г. Невинномысск, ул. Водопроводная 360А </w:t>
      </w:r>
      <w:r>
        <w:rPr>
          <w:sz w:val="24"/>
          <w:szCs w:val="24"/>
        </w:rPr>
        <w:t>(далее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 xml:space="preserve">Срок поставки Товара: </w:t>
      </w:r>
      <w:r>
        <w:rPr>
          <w:rFonts w:eastAsia="Times New Roman" w:cs="Times New Roman"/>
          <w:bCs/>
          <w:color w:val="auto"/>
          <w:kern w:val="0"/>
          <w:sz w:val="24"/>
          <w:szCs w:val="24"/>
          <w:lang w:val="ru-RU" w:eastAsia="ru-RU" w:bidi="ar-SA"/>
        </w:rPr>
        <w:t>в течение 30 (тридцати) календарных дней с момента (даты) поступления денежных средств (авансового платежа) на расчетный счет Поставщика.</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твердой</w:t>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highlight w:val="lightGray"/>
          <w:vertAlign w:val="superscript"/>
        </w:rPr>
        <w:footnoteReference w:id="2"/>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rPr>
      </w:pPr>
      <w:r>
        <w:rPr>
          <w:sz w:val="24"/>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2.4.1, 2.4.4 Договора.</w:t>
      </w:r>
    </w:p>
    <w:p>
      <w:pPr>
        <w:pStyle w:val="ListParagraph"/>
        <w:numPr>
          <w:ilvl w:val="2"/>
          <w:numId w:val="2"/>
        </w:numPr>
        <w:tabs>
          <w:tab w:val="clear" w:pos="709"/>
        </w:tabs>
        <w:ind w:left="0" w:firstLine="709"/>
        <w:jc w:val="both"/>
        <w:rPr>
          <w:sz w:val="24"/>
        </w:rPr>
      </w:pPr>
      <w:r>
        <w:rPr>
          <w:sz w:val="24"/>
        </w:rPr>
        <w:t xml:space="preserve">Окончательный платеж в размере 70 (семидесяти) процентов от стоимости Товара выплачивается Поставщику в течение </w:t>
      </w:r>
      <w:r>
        <w:rPr>
          <w:sz w:val="24"/>
          <w:highlight w:val="lightGray"/>
        </w:rPr>
        <w:t>20 (двадцати) календарных дней</w:t>
      </w:r>
      <w:r>
        <w:rPr>
          <w:rStyle w:val="FootnoteReference"/>
          <w:sz w:val="24"/>
          <w:highlight w:val="lightGray"/>
        </w:rPr>
        <w:footnoteReference w:id="3"/>
      </w:r>
      <w:r>
        <w:rPr>
          <w:sz w:val="24"/>
          <w:highlight w:val="lightGray"/>
        </w:rPr>
        <w:t xml:space="preserve"> / 7 (семи) рабочих дней</w:t>
      </w:r>
      <w:r>
        <w:rPr>
          <w:rStyle w:val="FootnoteReference"/>
          <w:sz w:val="24"/>
          <w:highlight w:val="lightGray"/>
        </w:rPr>
        <w:footnoteReference w:id="4"/>
      </w:r>
      <w:r>
        <w:rPr>
          <w:sz w:val="24"/>
        </w:rPr>
        <w:t xml:space="preserve"> с даты подписания Сторонами накладной ТОРГ-12 на основании счета, выставленного Поставщиком, и с учетом пункта 2.4.4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ind w:firstLine="709"/>
        <w:jc w:val="both"/>
        <w:rPr>
          <w:sz w:val="12"/>
          <w:szCs w:val="12"/>
        </w:rPr>
      </w:pPr>
      <w:r>
        <w:rPr>
          <w:sz w:val="12"/>
          <w:szCs w:val="12"/>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bCs/>
          <w:sz w:val="24"/>
          <w:szCs w:val="24"/>
          <w:highlight w:val="lightGray"/>
        </w:rPr>
        <w:t>и Рабочей</w:t>
      </w:r>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 в </w:t>
      </w:r>
      <w:r>
        <w:rPr>
          <w:sz w:val="24"/>
          <w:szCs w:val="24"/>
          <w:highlight w:val="lightGray"/>
        </w:rPr>
        <w:t>__(____)</w:t>
      </w:r>
      <w:r>
        <w:rPr>
          <w:sz w:val="24"/>
          <w:szCs w:val="24"/>
        </w:rPr>
        <w:t xml:space="preserve"> экз.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w:t>
      </w:r>
      <w:r>
        <w:rPr>
          <w:sz w:val="24"/>
          <w:szCs w:val="24"/>
          <w:highlight w:val="lightGray"/>
        </w:rPr>
        <w:t>и перемещение Товара (в том числе по территории Покупателя)</w:t>
      </w:r>
      <w:r>
        <w:rPr>
          <w:rStyle w:val="FootnoteReference"/>
          <w:sz w:val="24"/>
          <w:szCs w:val="24"/>
          <w:highlight w:val="lightGray"/>
          <w:vertAlign w:val="superscript"/>
        </w:rPr>
        <w:footnoteReference w:id="5"/>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2" w:name="_Ref361396594"/>
      <w:r>
        <w:rPr>
          <w:sz w:val="24"/>
          <w:szCs w:val="24"/>
        </w:rPr>
        <w:t>Датой поставки Товара является дата подписания Сторонами накладной ТОРГ-12.</w:t>
      </w:r>
      <w:bookmarkEnd w:id="2"/>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w:t>
      </w:r>
      <w:r>
        <w:rPr>
          <w:sz w:val="24"/>
          <w:szCs w:val="24"/>
          <w:highlight w:val="lightGray"/>
        </w:rPr>
        <w:t>10 (десяти)</w:t>
      </w:r>
      <w:r>
        <w:rPr>
          <w:sz w:val="24"/>
          <w:szCs w:val="24"/>
        </w:rPr>
        <w:t xml:space="preserve"> рабочих дней с даты подписания Покупателем транспортных документов. В случае отсутствия замечаний Покупатель подписывает накладную ТОРГ-12.</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
        </w:numPr>
        <w:tabs>
          <w:tab w:val="left" w:pos="709" w:leader="none"/>
          <w:tab w:val="left" w:pos="1134" w:leader="none"/>
        </w:tabs>
        <w:ind w:left="0" w:firstLine="709"/>
        <w:jc w:val="both"/>
        <w:rPr>
          <w:sz w:val="24"/>
          <w:szCs w:val="24"/>
        </w:rPr>
      </w:pPr>
      <w:r>
        <w:rPr>
          <w:sz w:val="24"/>
          <w:szCs w:val="24"/>
        </w:rPr>
        <w:t>Гарантийный срок на Товар, поставленный по Договору, равен гарантийному сроку производителя и начинает течь с даты подписания Сторонами накладной ТОРГ-12.</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0"/>
          <w:numId w:val="0"/>
        </w:numPr>
        <w:shd w:val="clear" w:color="auto" w:fill="FFFFFF"/>
        <w:tabs>
          <w:tab w:val="clear" w:pos="709"/>
          <w:tab w:val="left" w:pos="1134" w:leader="none"/>
        </w:tabs>
        <w:ind w:left="0"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безотзывной и безусловной (гарантия 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предусматривать, что для истребования суммы обеспечения Покупатель направляет Банку-Гаранту только письменное требование о предъявлении суммы обеспечения к оплате</w:t>
      </w:r>
      <w:r>
        <w:rPr>
          <w:sz w:val="24"/>
          <w:szCs w:val="24"/>
        </w:rPr>
        <w:t xml:space="preserve"> </w:t>
      </w:r>
      <w:r>
        <w:rPr>
          <w:bCs/>
          <w:sz w:val="24"/>
          <w:szCs w:val="24"/>
        </w:rPr>
        <w:t>как полностью, так и частично, с указанием 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Покупателем 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6"/>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с выставленными счетами Поставщика составляет 5 000 000 (Пять миллионов) рублей 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rPr>
      </w:pPr>
      <w:r>
        <w:rPr>
          <w:sz w:val="24"/>
          <w:szCs w:val="24"/>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sz w:val="24"/>
          <w:szCs w:val="24"/>
          <w:highlight w:val="lightGray"/>
        </w:rPr>
        <w:footnoteReference w:id="7"/>
      </w:r>
      <w:r>
        <w:rPr>
          <w:sz w:val="24"/>
          <w:szCs w:val="24"/>
          <w:highlight w:val="lightGray"/>
        </w:rPr>
        <w:t>.</w:t>
      </w:r>
    </w:p>
    <w:p>
      <w:pPr>
        <w:pStyle w:val="ListParagraph"/>
        <w:widowControl/>
        <w:numPr>
          <w:ilvl w:val="1"/>
          <w:numId w:val="2"/>
        </w:numPr>
        <w:shd w:val="clear" w:color="auto" w:fill="FFFFFF"/>
        <w:tabs>
          <w:tab w:val="clear" w:pos="709"/>
        </w:tabs>
        <w:ind w:left="0" w:firstLine="709"/>
        <w:jc w:val="both"/>
        <w:rPr>
          <w:bCs/>
          <w:sz w:val="24"/>
          <w:szCs w:val="24"/>
        </w:rPr>
      </w:pPr>
      <w:r>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12"/>
          <w:szCs w:val="12"/>
        </w:rPr>
      </w:pPr>
      <w:r>
        <w:rPr>
          <w:bCs/>
          <w:sz w:val="12"/>
          <w:szCs w:val="12"/>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4"/>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4"/>
        </w:numPr>
        <w:ind w:left="0" w:firstLine="709"/>
        <w:jc w:val="both"/>
        <w:rPr>
          <w:sz w:val="24"/>
          <w:szCs w:val="24"/>
        </w:rPr>
      </w:pPr>
      <w:r>
        <w:rPr>
          <w:sz w:val="24"/>
          <w:szCs w:val="24"/>
        </w:rPr>
        <w:t>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numPr>
          <w:ilvl w:val="2"/>
          <w:numId w:val="14"/>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4"/>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одной десятой) процента с даты, установленной для возврата аванса</w:t>
      </w:r>
      <w:r>
        <w:rPr>
          <w:sz w:val="24"/>
          <w:szCs w:val="24"/>
        </w:rPr>
        <w:t>.</w:t>
      </w:r>
    </w:p>
    <w:p>
      <w:pPr>
        <w:pStyle w:val="ListParagraph"/>
        <w:widowControl/>
        <w:numPr>
          <w:ilvl w:val="1"/>
          <w:numId w:val="14"/>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4"/>
        </w:numPr>
        <w:shd w:val="clear" w:color="auto" w:fill="FFFFFF"/>
        <w:tabs>
          <w:tab w:val="clear" w:pos="709"/>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4"/>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widowControl/>
        <w:numPr>
          <w:ilvl w:val="1"/>
          <w:numId w:val="14"/>
        </w:numPr>
        <w:shd w:val="clear" w:color="auto" w:fill="FFFFFF"/>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14"/>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4"/>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4"/>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4"/>
        </w:numPr>
        <w:shd w:val="clear" w:color="auto" w:fill="FFFFFF"/>
        <w:ind w:left="0" w:firstLine="709"/>
        <w:jc w:val="both"/>
        <w:rPr>
          <w:bCs/>
          <w:sz w:val="24"/>
          <w:szCs w:val="24"/>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0"/>
          <w:numId w:val="0"/>
        </w:numPr>
        <w:shd w:val="clear" w:color="auto" w:fill="FFFFFF"/>
        <w:ind w:left="0" w:hanging="0"/>
        <w:jc w:val="both"/>
        <w:rPr>
          <w:bCs/>
          <w:sz w:val="24"/>
          <w:szCs w:val="24"/>
        </w:rPr>
      </w:pPr>
      <w:r>
        <w:rPr>
          <w:bCs/>
          <w:sz w:val="24"/>
          <w:szCs w:val="24"/>
        </w:rPr>
      </w:r>
    </w:p>
    <w:p>
      <w:pPr>
        <w:pStyle w:val="ListParagraph"/>
        <w:widowControl/>
        <w:numPr>
          <w:ilvl w:val="0"/>
          <w:numId w:val="2"/>
        </w:numPr>
        <w:shd w:val="clear" w:color="auto" w:fill="FFFFFF"/>
        <w:tabs>
          <w:tab w:val="clear" w:pos="709"/>
          <w:tab w:val="left" w:pos="0" w:leader="none"/>
        </w:tabs>
        <w:bidi w:val="0"/>
        <w:spacing w:before="0" w:after="0"/>
        <w:ind w:left="0" w:right="0" w:hanging="0"/>
        <w:contextualSpacing/>
        <w:jc w:val="center"/>
        <w:rPr>
          <w:b/>
          <w:bCs/>
          <w:sz w:val="24"/>
          <w:szCs w:val="24"/>
        </w:rPr>
      </w:pPr>
      <w:r>
        <w:rPr>
          <w:b/>
          <w:bCs/>
          <w:sz w:val="24"/>
          <w:szCs w:val="24"/>
        </w:rPr>
        <w:t>Конфиденциальность</w:t>
      </w:r>
    </w:p>
    <w:p>
      <w:pPr>
        <w:pStyle w:val="ListParagraph"/>
        <w:widowControl/>
        <w:numPr>
          <w:ilvl w:val="0"/>
          <w:numId w:val="0"/>
        </w:numPr>
        <w:shd w:val="clear" w:color="auto" w:fill="FFFFFF"/>
        <w:tabs>
          <w:tab w:val="clear" w:pos="709"/>
          <w:tab w:val="left" w:pos="0"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не публиковать и не </w:t>
      </w:r>
      <w:r>
        <w:rPr>
          <w:sz w:val="24"/>
          <w:szCs w:val="24"/>
        </w:rPr>
        <w:t>раскрывать</w:t>
      </w:r>
      <w:r>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highlight w:val="lightGray"/>
        </w:rPr>
        <w:t>Ставропольского края</w:t>
      </w:r>
      <w:r>
        <w:rPr>
          <w:bCs/>
          <w:sz w:val="24"/>
          <w:szCs w:val="24"/>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12"/>
          <w:szCs w:val="12"/>
        </w:rPr>
      </w:pPr>
      <w:r>
        <w:rPr>
          <w:bCs/>
          <w:sz w:val="12"/>
          <w:szCs w:val="12"/>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12"/>
          <w:szCs w:val="12"/>
        </w:rPr>
      </w:pPr>
      <w:r>
        <w:rPr>
          <w:b/>
          <w:bCs/>
          <w:sz w:val="12"/>
          <w:szCs w:val="12"/>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shd w:val="clear" w:color="auto" w:fill="FFFFFF"/>
        <w:jc w:val="both"/>
        <w:rPr>
          <w:sz w:val="12"/>
          <w:szCs w:val="12"/>
        </w:rPr>
      </w:pPr>
      <w:r>
        <w:rPr>
          <w:sz w:val="12"/>
          <w:szCs w:val="12"/>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Normal"/>
        <w:widowControl/>
        <w:numPr>
          <w:ilvl w:val="0"/>
          <w:numId w:val="0"/>
        </w:numPr>
        <w:shd w:val="clear" w:color="auto" w:fill="FFFFFF"/>
        <w:spacing w:lineRule="auto" w:line="259" w:before="0" w:after="0"/>
        <w:ind w:left="360" w:hanging="0"/>
        <w:contextualSpacing/>
        <w:jc w:val="center"/>
        <w:rPr>
          <w:sz w:val="12"/>
          <w:szCs w:val="12"/>
        </w:rPr>
      </w:pPr>
      <w:r>
        <w:rPr>
          <w:sz w:val="12"/>
          <w:szCs w:val="12"/>
        </w:rPr>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sz w:val="24"/>
            <w:szCs w:val="24"/>
          </w:rPr>
          <w:t>№ 18162/09</w:t>
        </w:r>
      </w:hyperlink>
      <w:r>
        <w:rPr>
          <w:bCs/>
          <w:sz w:val="24"/>
          <w:szCs w:val="24"/>
        </w:rPr>
        <w:t xml:space="preserve"> 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5">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Поставщик 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12"/>
          <w:szCs w:val="12"/>
        </w:rPr>
      </w:pPr>
      <w:r>
        <w:rPr>
          <w:sz w:val="12"/>
          <w:szCs w:val="12"/>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12"/>
          <w:szCs w:val="12"/>
        </w:rPr>
      </w:pPr>
      <w:r>
        <w:rPr>
          <w:bCs/>
          <w:sz w:val="12"/>
          <w:szCs w:val="12"/>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r>
        <w:rPr>
          <w:sz w:val="24"/>
          <w:szCs w:val="24"/>
          <w:highlight w:val="lightGray"/>
        </w:rPr>
        <w:t>В соответствии с пунктом 2 статьи 425 ГК РФ, условия Договора применяются к отношениям Сторон, возникшим с __________</w:t>
      </w:r>
      <w:r>
        <w:rPr>
          <w:sz w:val="24"/>
          <w:szCs w:val="24"/>
        </w:rPr>
        <w:t>.</w:t>
      </w:r>
    </w:p>
    <w:p>
      <w:pPr>
        <w:pStyle w:val="Normal"/>
        <w:widowControl/>
        <w:numPr>
          <w:ilvl w:val="1"/>
          <w:numId w:val="2"/>
        </w:numPr>
        <w:tabs>
          <w:tab w:val="clear" w:pos="709"/>
          <w:tab w:val="left" w:pos="142" w:leader="none"/>
          <w:tab w:val="left" w:pos="1418" w:leader="none"/>
        </w:tabs>
        <w:snapToGrid w:val="false"/>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8"/>
      </w:r>
      <w:r>
        <w:rPr>
          <w:sz w:val="24"/>
          <w:szCs w:val="24"/>
          <w:highlight w:val="lightGray"/>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наличия любых расхождений между содержанием Договора 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sz w:val="24"/>
          <w:szCs w:val="24"/>
          <w:highlight w:val="lightGray"/>
        </w:rPr>
        <w:t>14.8</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Уступка (передача), в том числе в залог, прав (требований) к Покупателю 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9"/>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0"/>
      </w:r>
      <w:r>
        <w:rPr>
          <w:sz w:val="24"/>
          <w:szCs w:val="24"/>
          <w:highlight w:val="lightGray"/>
        </w:rPr>
        <w:t>.</w:t>
      </w:r>
    </w:p>
    <w:p>
      <w:pPr>
        <w:pStyle w:val="Normal"/>
        <w:shd w:val="clear" w:color="auto" w:fill="FFFFFF"/>
        <w:ind w:firstLine="567"/>
        <w:jc w:val="both"/>
        <w:rPr>
          <w:sz w:val="12"/>
          <w:szCs w:val="12"/>
        </w:rPr>
      </w:pPr>
      <w:r>
        <w:rPr>
          <w:sz w:val="12"/>
          <w:szCs w:val="12"/>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Список приложений</w:t>
      </w:r>
    </w:p>
    <w:p>
      <w:pPr>
        <w:pStyle w:val="Normal"/>
        <w:widowControl/>
        <w:numPr>
          <w:ilvl w:val="0"/>
          <w:numId w:val="0"/>
        </w:numPr>
        <w:shd w:val="clear" w:color="auto" w:fill="FFFFFF"/>
        <w:tabs>
          <w:tab w:val="clear" w:pos="709"/>
          <w:tab w:val="left" w:pos="284" w:leader="none"/>
        </w:tabs>
        <w:spacing w:lineRule="auto" w:line="259" w:before="0" w:after="0"/>
        <w:ind w:left="360" w:hanging="0"/>
        <w:contextualSpacing/>
        <w:jc w:val="center"/>
        <w:rPr>
          <w:sz w:val="12"/>
          <w:szCs w:val="12"/>
        </w:rPr>
      </w:pPr>
      <w:r>
        <w:rPr>
          <w:sz w:val="12"/>
          <w:szCs w:val="12"/>
        </w:rPr>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12"/>
          <w:szCs w:val="12"/>
        </w:rPr>
      </w:pPr>
      <w:r>
        <w:rPr>
          <w:b/>
          <w:bCs/>
          <w:sz w:val="12"/>
          <w:szCs w:val="12"/>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1"/>
        <w:gridCol w:w="30"/>
        <w:gridCol w:w="5078"/>
      </w:tblGrid>
      <w:tr>
        <w:trPr/>
        <w:tc>
          <w:tcPr>
            <w:tcW w:w="4811" w:type="dxa"/>
            <w:gridSpan w:val="2"/>
            <w:tcBorders/>
          </w:tcPr>
          <w:p>
            <w:pPr>
              <w:pStyle w:val="Normal"/>
              <w:widowControl w:val="false"/>
              <w:rPr>
                <w:b/>
                <w:bCs/>
              </w:rPr>
            </w:pPr>
            <w:r>
              <w:rPr>
                <w:b/>
                <w:bCs/>
                <w:sz w:val="24"/>
                <w:szCs w:val="24"/>
              </w:rPr>
              <w:t>ПОКУПАТЕЛЬ:</w:t>
            </w:r>
          </w:p>
        </w:tc>
        <w:tc>
          <w:tcPr>
            <w:tcW w:w="5078" w:type="dxa"/>
            <w:tcBorders/>
          </w:tcPr>
          <w:p>
            <w:pPr>
              <w:pStyle w:val="Normal"/>
              <w:widowControl w:val="false"/>
              <w:rPr>
                <w:b/>
                <w:bCs/>
              </w:rPr>
            </w:pPr>
            <w:r>
              <w:rPr>
                <w:b/>
                <w:bCs/>
                <w:sz w:val="24"/>
                <w:szCs w:val="24"/>
              </w:rPr>
              <w:t>ПОСТАВЩИК:</w:t>
            </w:r>
          </w:p>
        </w:tc>
      </w:tr>
      <w:tr>
        <w:trPr/>
        <w:tc>
          <w:tcPr>
            <w:tcW w:w="4811" w:type="dxa"/>
            <w:gridSpan w:val="2"/>
            <w:tcBorders/>
            <w:shd w:color="auto" w:fill="BFBFBF" w:val="clear"/>
          </w:tcPr>
          <w:p>
            <w:pPr>
              <w:pStyle w:val="NoSpacing"/>
              <w:widowControl w:val="false"/>
              <w:rPr>
                <w:b/>
                <w:bCs/>
              </w:rPr>
            </w:pPr>
            <w:r>
              <w:rPr>
                <w:rFonts w:cs="Times New Roman" w:ascii="Times New Roman" w:hAnsi="Times New Roman"/>
                <w:b/>
                <w:bCs/>
                <w:sz w:val="24"/>
                <w:szCs w:val="24"/>
              </w:rPr>
              <w:t>Акционерное общество «ТК РусГидро»</w:t>
            </w:r>
          </w:p>
          <w:p>
            <w:pPr>
              <w:pStyle w:val="NoSpacing"/>
              <w:widowControl w:val="false"/>
              <w:rPr>
                <w:b/>
                <w:bCs/>
              </w:rPr>
            </w:pPr>
            <w:r>
              <w:rPr>
                <w:rFonts w:cs="Times New Roman" w:ascii="Times New Roman" w:hAnsi="Times New Roman"/>
                <w:b/>
                <w:bCs/>
                <w:sz w:val="24"/>
                <w:szCs w:val="24"/>
              </w:rPr>
              <w:t>(АО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655619, Республика Хакасия, город Саяногорск, рабочий поселок Черемушки,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стр</w:t>
            </w:r>
            <w:r>
              <w:rPr>
                <w:rFonts w:cs="Times New Roman" w:ascii="Times New Roman" w:hAnsi="Times New Roman"/>
                <w:sz w:val="24"/>
                <w:szCs w:val="24"/>
              </w:rPr>
              <w:t>. 101.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190201001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ОГРН 1031900676356 ОКПО 42213224</w:t>
            </w:r>
          </w:p>
          <w:p>
            <w:pPr>
              <w:pStyle w:val="NoSpacing"/>
              <w:widowControl w:val="false"/>
              <w:rPr>
                <w:b/>
                <w:bCs/>
              </w:rPr>
            </w:pPr>
            <w:r>
              <w:rPr>
                <w:rFonts w:cs="Times New Roman" w:ascii="Times New Roman" w:hAnsi="Times New Roman"/>
                <w:b/>
                <w:bCs/>
                <w:sz w:val="24"/>
                <w:szCs w:val="24"/>
              </w:rPr>
              <w:t>Южный филиал 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357506, Российская Федерация, Ставропольский край, город-курорт Пятигорск, ул. Тургеневская, зд. 30.</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Телефон, факс: +7(86554)4-16-55</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263243001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ОКПО 21967982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Банковские реквизиты:</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р/с 40702810795000000002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в Банк ГПБ (АО), г. Москва</w:t>
            </w:r>
          </w:p>
          <w:p>
            <w:pPr>
              <w:pStyle w:val="NoSpacing"/>
              <w:widowControl w:val="false"/>
              <w:rPr/>
            </w:pPr>
            <w:r>
              <w:rPr>
                <w:rFonts w:cs="Times New Roman" w:ascii="Times New Roman" w:hAnsi="Times New Roman"/>
              </w:rPr>
              <w:t>БИК 044525823 к/с 30101810200000000823</w:t>
            </w:r>
          </w:p>
        </w:tc>
        <w:tc>
          <w:tcPr>
            <w:tcW w:w="5078" w:type="dxa"/>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1" w:type="dxa"/>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highlight w:val="lightGray"/>
              </w:rPr>
              <w:t xml:space="preserve">_______________ </w:t>
            </w:r>
          </w:p>
          <w:p>
            <w:pPr>
              <w:pStyle w:val="NoSpacing"/>
              <w:widowControl w:val="false"/>
              <w:rPr>
                <w:rFonts w:ascii="Times New Roman" w:hAnsi="Times New Roman" w:cs="Times New Roman"/>
                <w:sz w:val="24"/>
                <w:szCs w:val="24"/>
              </w:rPr>
            </w:pPr>
            <w:r>
              <w:rPr>
                <w:rFonts w:cs="Times New Roman" w:ascii="Times New Roman" w:hAnsi="Times New Roman"/>
                <w:sz w:val="24"/>
                <w:szCs w:val="24"/>
                <w:highlight w:val="lightGray"/>
              </w:rPr>
              <w:t>МП</w:t>
            </w:r>
          </w:p>
        </w:tc>
        <w:tc>
          <w:tcPr>
            <w:tcW w:w="5108" w:type="dxa"/>
            <w:gridSpan w:val="2"/>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__.__.________________</w:t>
            </w:r>
          </w:p>
          <w:p>
            <w:pPr>
              <w:pStyle w:val="Normal"/>
              <w:widowControl w:val="false"/>
              <w:rPr>
                <w:sz w:val="24"/>
                <w:szCs w:val="24"/>
              </w:rPr>
            </w:pPr>
            <w:r>
              <w:rPr>
                <w:sz w:val="24"/>
                <w:szCs w:val="24"/>
              </w:rPr>
              <w:t>МП</w:t>
            </w:r>
          </w:p>
        </w:tc>
      </w:tr>
    </w:tbl>
    <w:p>
      <w:pPr>
        <w:sectPr>
          <w:headerReference w:type="default" r:id="rId6"/>
          <w:headerReference w:type="first" r:id="rId7"/>
          <w:footerReference w:type="default" r:id="rId8"/>
          <w:footnotePr>
            <w:numFmt w:val="decimal"/>
          </w:footnotePr>
          <w:type w:val="nextPage"/>
          <w:pgSz w:w="11906" w:h="16838"/>
          <w:pgMar w:left="1560" w:right="851" w:gutter="0" w:header="709" w:top="1276" w:footer="709" w:bottom="1135"/>
          <w:pgNumType w:fmt="decimal"/>
          <w:formProt w:val="false"/>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10317" w:type="dxa"/>
        <w:jc w:val="left"/>
        <w:tblInd w:w="-714" w:type="dxa"/>
        <w:tblLayout w:type="fixed"/>
        <w:tblCellMar>
          <w:top w:w="0" w:type="dxa"/>
          <w:left w:w="108" w:type="dxa"/>
          <w:bottom w:w="0" w:type="dxa"/>
          <w:right w:w="108" w:type="dxa"/>
        </w:tblCellMar>
        <w:tblLook w:val="04a0" w:noHBand="0" w:noVBand="1" w:firstColumn="1" w:lastRow="0" w:lastColumn="0" w:firstRow="1"/>
      </w:tblPr>
      <w:tblGrid>
        <w:gridCol w:w="401"/>
        <w:gridCol w:w="624"/>
        <w:gridCol w:w="641"/>
        <w:gridCol w:w="633"/>
        <w:gridCol w:w="807"/>
        <w:gridCol w:w="758"/>
        <w:gridCol w:w="644"/>
        <w:gridCol w:w="767"/>
        <w:gridCol w:w="720"/>
        <w:gridCol w:w="384"/>
        <w:gridCol w:w="146"/>
        <w:gridCol w:w="676"/>
        <w:gridCol w:w="570"/>
        <w:gridCol w:w="541"/>
        <w:gridCol w:w="745"/>
        <w:gridCol w:w="1260"/>
      </w:tblGrid>
      <w:tr>
        <w:trPr>
          <w:trHeight w:val="526" w:hRule="atLeast"/>
        </w:trPr>
        <w:tc>
          <w:tcPr>
            <w:tcW w:w="4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1"/>
            </w:r>
          </w:p>
        </w:tc>
        <w:tc>
          <w:tcPr>
            <w:tcW w:w="7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2"/>
            </w:r>
          </w:p>
          <w:p>
            <w:pPr>
              <w:pStyle w:val="Normal"/>
              <w:widowControl w:val="false"/>
              <w:jc w:val="center"/>
              <w:rPr>
                <w:bCs/>
              </w:rPr>
            </w:pPr>
            <w:r>
              <w:rPr>
                <w:bCs/>
              </w:rPr>
            </w:r>
          </w:p>
        </w:tc>
        <w:tc>
          <w:tcPr>
            <w:tcW w:w="53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80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80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9"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lightGray"/>
              </w:rPr>
              <w:t>Итого стоимость всего Товара (с учетом доставки), руб. с НДС:</w:t>
            </w:r>
          </w:p>
        </w:tc>
        <w:tc>
          <w:tcPr>
            <w:tcW w:w="3938"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rPr>
          <w:i/>
          <w:i/>
          <w:sz w:val="22"/>
          <w:szCs w:val="22"/>
          <w:highlight w:val="lightGray"/>
        </w:rPr>
      </w:pPr>
      <w:r>
        <w:rPr>
          <w:i/>
          <w:sz w:val="22"/>
          <w:szCs w:val="22"/>
          <w:highlight w:val="lightGray"/>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i/>
          <w:i/>
          <w:sz w:val="22"/>
          <w:szCs w:val="22"/>
        </w:rPr>
      </w:pPr>
      <w:r>
        <w:rPr>
          <w:i/>
          <w:sz w:val="22"/>
          <w:szCs w:val="22"/>
          <w:highlight w:val="lightGray"/>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3</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13"/>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14"/>
      </w:r>
      <w:r>
        <w:rPr>
          <w:sz w:val="24"/>
          <w:szCs w:val="24"/>
        </w:rPr>
        <w:t>, а также соответствовать следующим критериям:</w:t>
      </w:r>
    </w:p>
    <w:p>
      <w:pPr>
        <w:pStyle w:val="Normal"/>
        <w:widowControl/>
        <w:numPr>
          <w:ilvl w:val="1"/>
          <w:numId w:val="12"/>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2"/>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widowControl/>
        <w:numPr>
          <w:ilvl w:val="1"/>
          <w:numId w:val="12"/>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30 млрд. рублей на 1 января текущего календарного года, опубликованного на официальном сайте ЦБ РФ в информационно-телекоммуникационной сети «Интернет» (</w:t>
      </w:r>
      <w:r>
        <w:rPr>
          <w:sz w:val="24"/>
          <w:szCs w:val="24"/>
          <w:lang w:val="en-GB"/>
        </w:rPr>
        <w:t>www</w:t>
      </w:r>
      <w:r>
        <w:rPr>
          <w:sz w:val="24"/>
          <w:szCs w:val="24"/>
        </w:rPr>
        <w:t>.</w:t>
      </w:r>
      <w:r>
        <w:rPr>
          <w:sz w:val="24"/>
          <w:szCs w:val="24"/>
          <w:lang w:val="en-GB"/>
        </w:rPr>
        <w:t>cbr</w:t>
      </w:r>
      <w:r>
        <w:rPr>
          <w:sz w:val="24"/>
          <w:szCs w:val="24"/>
        </w:rPr>
        <w:t>.</w:t>
      </w:r>
      <w:r>
        <w:rPr>
          <w:sz w:val="24"/>
          <w:szCs w:val="24"/>
          <w:lang w:val="en-GB"/>
        </w:rPr>
        <w:t>ru</w:t>
      </w:r>
      <w:r>
        <w:rPr>
          <w:sz w:val="24"/>
          <w:szCs w:val="24"/>
        </w:rPr>
        <w:t xml:space="preserve">) по строке 000 «Расчет собственных средств (капитала) («Базель </w:t>
      </w:r>
      <w:r>
        <w:rPr>
          <w:sz w:val="24"/>
          <w:szCs w:val="24"/>
          <w:lang w:val="en-GB"/>
        </w:rPr>
        <w:t>III</w:t>
      </w:r>
      <w:r>
        <w:rPr>
          <w:sz w:val="24"/>
          <w:szCs w:val="24"/>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sz w:val="24"/>
          <w:szCs w:val="24"/>
          <w:lang w:val="en-GB"/>
        </w:rPr>
        <w:t>III</w:t>
      </w:r>
      <w:r>
        <w:rPr>
          <w:sz w:val="24"/>
          <w:szCs w:val="24"/>
        </w:rPr>
        <w:t>»)» (далее – Методика ЦБ РФ) или иным документом, его заменяющим (в случае изменения или отмены указанного Положения).</w:t>
      </w:r>
    </w:p>
    <w:p>
      <w:pPr>
        <w:pStyle w:val="Normal"/>
        <w:widowControl/>
        <w:numPr>
          <w:ilvl w:val="1"/>
          <w:numId w:val="12"/>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15"/>
      </w:r>
      <w:r>
        <w:rPr>
          <w:sz w:val="24"/>
          <w:szCs w:val="24"/>
        </w:rPr>
        <w:t xml:space="preserve">. </w:t>
      </w:r>
    </w:p>
    <w:p>
      <w:pPr>
        <w:pStyle w:val="Normal"/>
        <w:widowControl/>
        <w:numPr>
          <w:ilvl w:val="1"/>
          <w:numId w:val="12"/>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16"/>
      </w:r>
      <w:r>
        <w:rPr>
          <w:sz w:val="24"/>
          <w:szCs w:val="24"/>
        </w:rPr>
        <w:t>.</w:t>
      </w:r>
    </w:p>
    <w:p>
      <w:pPr>
        <w:pStyle w:val="Normal"/>
        <w:widowControl/>
        <w:numPr>
          <w:ilvl w:val="1"/>
          <w:numId w:val="12"/>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2"/>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2"/>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17"/>
      </w:r>
      <w:r>
        <w:rPr>
          <w:sz w:val="24"/>
          <w:szCs w:val="24"/>
        </w:rPr>
        <w:t>.</w:t>
      </w:r>
    </w:p>
    <w:p>
      <w:pPr>
        <w:pStyle w:val="Normal"/>
        <w:widowControl/>
        <w:numPr>
          <w:ilvl w:val="1"/>
          <w:numId w:val="12"/>
        </w:numPr>
        <w:tabs>
          <w:tab w:val="clear" w:pos="709"/>
          <w:tab w:val="left" w:pos="1134" w:leader="none"/>
        </w:tabs>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13"/>
        </w:numPr>
        <w:tabs>
          <w:tab w:val="clear" w:pos="709"/>
          <w:tab w:val="left" w:pos="1134" w:leader="none"/>
        </w:tabs>
        <w:ind w:lef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3"/>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3"/>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3"/>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widowControl/>
        <w:numPr>
          <w:ilvl w:val="1"/>
          <w:numId w:val="12"/>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tcPr>
          <w:p>
            <w:pPr>
              <w:pStyle w:val="Normal"/>
              <w:widowControl w:val="false"/>
              <w:ind w:right="-108" w:hanging="0"/>
              <w:jc w:val="both"/>
              <w:rPr>
                <w:color w:val="000000"/>
                <w:sz w:val="24"/>
                <w:szCs w:val="24"/>
                <w:lang w:val="en-GB"/>
              </w:rPr>
            </w:pPr>
            <w:r>
              <w:rPr>
                <w:b/>
                <w:i/>
                <w:color w:val="000000"/>
                <w:sz w:val="24"/>
                <w:szCs w:val="24"/>
                <w:lang w:val="en-GB"/>
              </w:rPr>
              <w:t>Lim</w:t>
            </w:r>
            <w:r>
              <w:rPr>
                <w:b/>
                <w:i/>
                <w:color w:val="000000"/>
                <w:sz w:val="24"/>
                <w:szCs w:val="24"/>
                <w:vertAlign w:val="subscript"/>
                <w:lang w:val="en-US"/>
              </w:rPr>
              <w:t xml:space="preserve">Ai </w:t>
            </w:r>
          </w:p>
        </w:tc>
        <w:tc>
          <w:tcPr>
            <w:tcW w:w="280" w:type="dxa"/>
            <w:tcBorders/>
          </w:tcPr>
          <w:p>
            <w:pPr>
              <w:pStyle w:val="Normal"/>
              <w:widowControl w:val="false"/>
              <w:ind w:left="317" w:right="-108" w:hanging="317"/>
              <w:jc w:val="both"/>
              <w:rPr>
                <w:color w:val="000000"/>
                <w:sz w:val="24"/>
                <w:szCs w:val="24"/>
                <w:lang w:val="en-GB"/>
              </w:rPr>
            </w:pPr>
            <w:r>
              <w:rPr>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Лимит риска для </w:t>
            </w:r>
            <w:r>
              <w:rPr>
                <w:sz w:val="24"/>
                <w:szCs w:val="24"/>
                <w:lang w:val="en-GB"/>
              </w:rPr>
              <w:t>i</w:t>
            </w:r>
            <w:r>
              <w:rPr>
                <w:sz w:val="24"/>
                <w:szCs w:val="24"/>
              </w:rPr>
              <w:t>-ой кредитной организации</w:t>
            </w:r>
            <w:r>
              <w:rPr>
                <w:rStyle w:val="FootnoteReference"/>
                <w:sz w:val="24"/>
                <w:szCs w:val="24"/>
                <w:vertAlign w:val="superscript"/>
                <w:lang w:val="en-GB"/>
              </w:rPr>
              <w:footnoteReference w:id="18"/>
            </w:r>
            <w:r>
              <w:rPr>
                <w:sz w:val="24"/>
                <w:szCs w:val="24"/>
                <w:vertAlign w:val="superscript"/>
              </w:rPr>
              <w:t>.</w:t>
            </w:r>
            <w:r>
              <w:rPr>
                <w:sz w:val="24"/>
                <w:szCs w:val="24"/>
              </w:rPr>
              <w:t xml:space="preserve"> </w:t>
            </w:r>
          </w:p>
        </w:tc>
      </w:tr>
      <w:tr>
        <w:trPr>
          <w:trHeight w:val="280" w:hRule="atLeast"/>
        </w:trPr>
        <w:tc>
          <w:tcPr>
            <w:tcW w:w="817" w:type="dxa"/>
            <w:tcBorders/>
          </w:tcPr>
          <w:p>
            <w:pPr>
              <w:pStyle w:val="Normal"/>
              <w:widowControl w:val="false"/>
              <w:ind w:right="-108" w:hanging="0"/>
              <w:jc w:val="both"/>
              <w:rPr>
                <w:b/>
                <w:i/>
                <w:i/>
                <w:color w:val="000000"/>
                <w:sz w:val="24"/>
                <w:szCs w:val="24"/>
                <w:vertAlign w:val="subscript"/>
                <w:lang w:val="en-GB"/>
              </w:rPr>
            </w:pPr>
            <w:r>
              <w:rPr>
                <w:b/>
                <w:i/>
                <w:color w:val="000000"/>
                <w:sz w:val="24"/>
                <w:szCs w:val="24"/>
                <w:lang w:val="en-GB"/>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hanging="0"/>
              <w:jc w:val="both"/>
              <w:rPr>
                <w:color w:val="000000"/>
                <w:sz w:val="24"/>
                <w:szCs w:val="24"/>
                <w:lang w:val="en-GB"/>
              </w:rPr>
            </w:pPr>
            <w:r>
              <w:rPr>
                <w:color w:val="000000"/>
                <w:sz w:val="24"/>
                <w:szCs w:val="24"/>
                <w:lang w:val="en-GB"/>
              </w:rPr>
            </w:r>
          </w:p>
        </w:tc>
        <w:tc>
          <w:tcPr>
            <w:tcW w:w="280" w:type="dxa"/>
            <w:tcBorders/>
          </w:tcPr>
          <w:p>
            <w:pPr>
              <w:pStyle w:val="Normal"/>
              <w:widowControl w:val="false"/>
              <w:ind w:right="-108" w:hanging="0"/>
              <w:jc w:val="both"/>
              <w:rPr>
                <w:color w:val="000000"/>
                <w:sz w:val="24"/>
                <w:szCs w:val="24"/>
                <w:lang w:val="en-GB"/>
              </w:rPr>
            </w:pPr>
            <w:r>
              <w:rPr>
                <w:sz w:val="24"/>
                <w:szCs w:val="24"/>
                <w:lang w:val="en-GB"/>
              </w:rPr>
              <w:t>-</w:t>
            </w:r>
            <w:r>
              <w:rPr>
                <w:color w:val="000000"/>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размер собственных средств (капитала) </w:t>
            </w:r>
            <w:r>
              <w:rPr>
                <w:sz w:val="24"/>
                <w:szCs w:val="24"/>
                <w:lang w:val="en-GB"/>
              </w:rPr>
              <w:t>i</w:t>
            </w:r>
            <w:r>
              <w:rPr>
                <w:sz w:val="24"/>
                <w:szCs w:val="24"/>
              </w:rPr>
              <w:t xml:space="preserve">-ой кредитной организации на 01 января текущего календарного года, опубликованный на официальном сайте ЦБ РФ </w:t>
              <w:br/>
              <w:t>в информационно-телекоммуникационной сети «Интернет» (</w:t>
            </w:r>
            <w:hyperlink r:id="rId9">
              <w:r>
                <w:rPr>
                  <w:sz w:val="24"/>
                  <w:szCs w:val="24"/>
                  <w:u w:val="single"/>
                  <w:lang w:val="en-GB"/>
                </w:rPr>
                <w:t>www</w:t>
              </w:r>
              <w:r>
                <w:rPr>
                  <w:sz w:val="24"/>
                  <w:szCs w:val="24"/>
                  <w:u w:val="single"/>
                </w:rPr>
                <w:t>.</w:t>
              </w:r>
              <w:r>
                <w:rPr>
                  <w:sz w:val="24"/>
                  <w:szCs w:val="24"/>
                  <w:u w:val="single"/>
                  <w:lang w:val="en-GB"/>
                </w:rPr>
                <w:t>cbr</w:t>
              </w:r>
              <w:r>
                <w:rPr>
                  <w:sz w:val="24"/>
                  <w:szCs w:val="24"/>
                  <w:u w:val="single"/>
                </w:rPr>
                <w:t>.</w:t>
              </w:r>
              <w:r>
                <w:rPr>
                  <w:sz w:val="24"/>
                  <w:szCs w:val="24"/>
                  <w:u w:val="single"/>
                  <w:lang w:val="en-GB"/>
                </w:rPr>
                <w:t>ru</w:t>
              </w:r>
            </w:hyperlink>
            <w:r>
              <w:rPr>
                <w:sz w:val="24"/>
                <w:szCs w:val="24"/>
              </w:rPr>
              <w:t xml:space="preserve">) </w:t>
              <w:br/>
              <w:t>по строке 000 «Расчет собственных средств (капитала) («Базель</w:t>
            </w:r>
            <w:r>
              <w:rPr>
                <w:sz w:val="24"/>
                <w:szCs w:val="24"/>
                <w:lang w:val="en-GB"/>
              </w:rPr>
              <w:t> III</w:t>
            </w:r>
            <w:r>
              <w:rPr>
                <w:sz w:val="24"/>
                <w:szCs w:val="24"/>
              </w:rPr>
              <w:t>»)», код формы 0409123;</w:t>
            </w:r>
          </w:p>
        </w:tc>
      </w:tr>
      <w:tr>
        <w:trPr>
          <w:trHeight w:val="993" w:hRule="atLeast"/>
        </w:trPr>
        <w:tc>
          <w:tcPr>
            <w:tcW w:w="817" w:type="dxa"/>
            <w:tcBorders/>
          </w:tcPr>
          <w:p>
            <w:pPr>
              <w:pStyle w:val="Normal"/>
              <w:widowControl w:val="false"/>
              <w:ind w:right="-108" w:hanging="0"/>
              <w:jc w:val="both"/>
              <w:rPr>
                <w:b/>
                <w:i/>
                <w:i/>
                <w:color w:val="000000"/>
                <w:sz w:val="24"/>
                <w:szCs w:val="24"/>
                <w:lang w:val="en-GB"/>
              </w:rPr>
            </w:pPr>
            <w:r>
              <w:rPr>
                <w:b/>
                <w:i/>
                <w:color w:val="000000"/>
                <w:sz w:val="24"/>
                <w:szCs w:val="24"/>
                <w:lang w:val="en-GB"/>
              </w:rPr>
              <w:t>r</w:t>
            </w:r>
            <w:r>
              <w:rPr>
                <w:b/>
                <w:i/>
                <w:color w:val="000000"/>
                <w:sz w:val="24"/>
                <w:szCs w:val="24"/>
                <w:vertAlign w:val="subscript"/>
                <w:lang w:val="en-GB"/>
              </w:rPr>
              <w:t>i</w:t>
            </w:r>
          </w:p>
        </w:tc>
        <w:tc>
          <w:tcPr>
            <w:tcW w:w="280" w:type="dxa"/>
            <w:tcBorders/>
          </w:tcPr>
          <w:p>
            <w:pPr>
              <w:pStyle w:val="Normal"/>
              <w:widowControl w:val="false"/>
              <w:ind w:right="-108" w:hanging="0"/>
              <w:jc w:val="both"/>
              <w:rPr>
                <w:sz w:val="24"/>
                <w:szCs w:val="24"/>
                <w:lang w:val="en-GB"/>
              </w:rPr>
            </w:pPr>
            <w:r>
              <w:rPr>
                <w:sz w:val="24"/>
                <w:szCs w:val="24"/>
                <w:lang w:val="en-GB"/>
              </w:rPr>
              <w:t>-</w:t>
            </w:r>
          </w:p>
        </w:tc>
        <w:tc>
          <w:tcPr>
            <w:tcW w:w="8509" w:type="dxa"/>
            <w:tcBorders/>
          </w:tcPr>
          <w:p>
            <w:pPr>
              <w:pStyle w:val="Normal"/>
              <w:widowControl w:val="false"/>
              <w:tabs>
                <w:tab w:val="clear" w:pos="709"/>
                <w:tab w:val="left" w:pos="7130" w:leader="none"/>
              </w:tabs>
              <w:ind w:right="-108" w:hanging="0"/>
              <w:jc w:val="both"/>
              <w:rPr>
                <w:sz w:val="24"/>
                <w:szCs w:val="24"/>
              </w:rPr>
            </w:pPr>
            <w:r>
              <w:rPr>
                <w:sz w:val="24"/>
                <w:szCs w:val="24"/>
              </w:rPr>
              <w:t>рейтинговый коэффициент</w:t>
            </w:r>
            <w:r>
              <w:rPr>
                <w:rStyle w:val="FootnoteReference"/>
                <w:sz w:val="24"/>
                <w:szCs w:val="24"/>
                <w:vertAlign w:val="superscript"/>
                <w:lang w:val="en-GB"/>
              </w:rPr>
              <w:footnoteReference w:id="19"/>
            </w:r>
            <w:r>
              <w:rPr>
                <w:sz w:val="24"/>
                <w:szCs w:val="24"/>
              </w:rPr>
              <w:t xml:space="preserve"> для </w:t>
            </w:r>
            <w:r>
              <w:rPr>
                <w:sz w:val="24"/>
                <w:szCs w:val="24"/>
                <w:lang w:val="en-GB"/>
              </w:rPr>
              <w:t>i</w:t>
            </w:r>
            <w:r>
              <w:rPr>
                <w:sz w:val="24"/>
                <w:szCs w:val="24"/>
              </w:rPr>
              <w:t>-ой кредитной организации, равный:</w:t>
            </w:r>
          </w:p>
          <w:p>
            <w:pPr>
              <w:pStyle w:val="Normal"/>
              <w:widowControl w:val="false"/>
              <w:ind w:firstLine="492"/>
              <w:jc w:val="both"/>
              <w:rPr>
                <w:sz w:val="24"/>
                <w:szCs w:val="24"/>
              </w:rPr>
            </w:pPr>
            <w:r>
              <w:rPr>
                <w:b/>
                <w:sz w:val="24"/>
                <w:szCs w:val="24"/>
              </w:rPr>
              <w:t>0,05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firstLine="425"/>
              <w:jc w:val="both"/>
              <w:rPr>
                <w:sz w:val="24"/>
                <w:szCs w:val="24"/>
              </w:rPr>
            </w:pPr>
            <w:r>
              <w:rPr>
                <w:b/>
                <w:sz w:val="24"/>
                <w:szCs w:val="24"/>
              </w:rPr>
              <w:t>0,025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GB"/>
              </w:rPr>
              <w:t>ruA</w:t>
            </w:r>
            <w:r>
              <w:rPr>
                <w:b/>
                <w:sz w:val="24"/>
                <w:szCs w:val="24"/>
              </w:rPr>
              <w:t>-»</w:t>
            </w:r>
            <w:r>
              <w:rPr>
                <w:sz w:val="24"/>
                <w:szCs w:val="24"/>
              </w:rPr>
              <w:t xml:space="preserve"> по классификации рейтингового агентства Эксперт РА;</w:t>
            </w:r>
          </w:p>
          <w:p>
            <w:pPr>
              <w:pStyle w:val="Normal"/>
              <w:widowControl w:val="false"/>
              <w:ind w:firstLine="492"/>
              <w:jc w:val="both"/>
              <w:rPr>
                <w:sz w:val="24"/>
                <w:szCs w:val="24"/>
              </w:rPr>
            </w:pPr>
            <w:r>
              <w:rPr>
                <w:b/>
                <w:sz w:val="24"/>
                <w:szCs w:val="24"/>
              </w:rPr>
              <w:t>0,015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4</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b/>
          <w:bCs/>
          <w:sz w:val="24"/>
          <w:szCs w:val="24"/>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1418" w:right="851" w:gutter="0" w:header="567" w:top="1134" w:footer="314"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Заказчика.</w:t>
      </w:r>
    </w:p>
  </w:footnote>
  <w:footnote w:id="4">
    <w:p>
      <w:pPr>
        <w:pStyle w:val="FootnoteText"/>
        <w:jc w:val="both"/>
        <w:rPr/>
      </w:pPr>
      <w:r>
        <w:rPr>
          <w:rStyle w:val="Style14"/>
        </w:rPr>
        <w:footnoteRef/>
      </w:r>
      <w:r>
        <w:rPr/>
        <w:t xml:space="preserve"> </w:t>
      </w:r>
      <w:r>
        <w:rPr/>
        <w:t>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6">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7">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r>
        <w:rPr/>
        <w:t>.</w:t>
      </w:r>
    </w:p>
  </w:footnote>
  <w:footnote w:id="8">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9">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0">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1">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12">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1" w:name="_GoBack_Копия_1_Копия_1_Копия_1_Копия_1_"/>
      <w:bookmarkEnd w:id="11"/>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13">
    <w:p>
      <w:pPr>
        <w:pStyle w:val="FootnoteText"/>
        <w:jc w:val="both"/>
        <w:rPr/>
      </w:pPr>
      <w:r>
        <w:rPr>
          <w:rStyle w:val="Style14"/>
        </w:rPr>
        <w:footnoteRef/>
      </w:r>
      <w:r>
        <w:rPr/>
        <w:t xml:space="preserve"> </w:t>
      </w:r>
      <w:r>
        <w:rPr/>
        <w:t>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по которым предусмотрены федеральным законом от 18.07.2011 № 223-ФЗ «О закупках товаров, работ, услуг отдельными видами юридических лиц».</w:t>
      </w:r>
    </w:p>
  </w:footnote>
  <w:footnote w:id="14">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15">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16">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17">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18">
    <w:p>
      <w:pPr>
        <w:pStyle w:val="FootnoteText"/>
        <w:jc w:val="both"/>
        <w:rPr/>
      </w:pPr>
      <w:r>
        <w:rPr>
          <w:rStyle w:val="Style14"/>
        </w:rPr>
        <w:footnoteRef/>
      </w:r>
      <w:r>
        <w:rPr>
          <w:lang w:eastAsia="x-none"/>
        </w:rPr>
        <w:t xml:space="preserve"> </w:t>
      </w:r>
      <w:r>
        <w:rPr>
          <w:lang w:eastAsia="x-none"/>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eastAsia="x-none"/>
        </w:rPr>
        <w:t>440 млн. руб., лимит к установлению - 5</w:t>
      </w:r>
      <w:r>
        <w:rPr/>
        <w:t> </w:t>
      </w:r>
      <w:r>
        <w:rPr>
          <w:lang w:eastAsia="x-none"/>
        </w:rPr>
        <w:t>400 млн. руб.; расчетное значение лимита - 5</w:t>
      </w:r>
      <w:r>
        <w:rPr/>
        <w:t> </w:t>
      </w:r>
      <w:r>
        <w:rPr>
          <w:lang w:eastAsia="x-none"/>
        </w:rPr>
        <w:t>450 млн. руб., лимит к установлению - 5</w:t>
      </w:r>
      <w:r>
        <w:rPr/>
        <w:t> </w:t>
      </w:r>
      <w:r>
        <w:rPr>
          <w:lang w:eastAsia="x-none"/>
        </w:rPr>
        <w:t>500 млн. руб.</w:t>
      </w:r>
    </w:p>
  </w:footnote>
  <w:footnote w:id="19">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t>ТФД 2.2.3_ЮФ</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i w:val="false"/>
        <w:i w:val="false"/>
        <w:iCs w:val="false"/>
      </w:rPr>
    </w:pPr>
    <w:r>
      <w:rPr>
        <w:i w:val="false"/>
        <w:iCs w:val="false"/>
      </w:rPr>
      <w:fldChar w:fldCharType="begin"/>
    </w:r>
    <w:r>
      <w:rPr>
        <w:i w:val="false"/>
        <w:iCs w:val="false"/>
      </w:rPr>
      <w:instrText xml:space="preserve"> PAGE </w:instrText>
    </w:r>
    <w:r>
      <w:rPr>
        <w:i w:val="false"/>
        <w:iCs w:val="false"/>
      </w:rPr>
      <w:fldChar w:fldCharType="separate"/>
    </w:r>
    <w:r>
      <w:rPr>
        <w:i w:val="false"/>
        <w:iCs w:val="false"/>
      </w:rPr>
      <w:t>19</w:t>
    </w:r>
    <w:r>
      <w:rPr>
        <w:i w:val="false"/>
        <w:iCs w:val="false"/>
      </w:rPr>
      <w:fldChar w:fldCharType="end"/>
    </w:r>
  </w:p>
  <w:p>
    <w:pPr>
      <w:pStyle w:val="Header"/>
      <w:jc w:val="right"/>
      <w:rPr>
        <w:i w:val="false"/>
        <w:i w:val="false"/>
        <w:iCs w:val="false"/>
      </w:rPr>
    </w:pPr>
    <w:r>
      <w:rPr>
        <w:i w:val="false"/>
        <w:iCs w:val="false"/>
      </w:rPr>
      <w:t>ТФД 2.2.3_ЮФ</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i w:val="false"/>
        <w:i w:val="false"/>
        <w:iCs w:val="false"/>
      </w:rPr>
    </w:pPr>
    <w:r>
      <w:rPr>
        <w:i w:val="false"/>
        <w:iCs w:val="false"/>
      </w:rPr>
      <w:fldChar w:fldCharType="begin"/>
    </w:r>
    <w:r>
      <w:rPr>
        <w:i w:val="false"/>
        <w:iCs w:val="false"/>
      </w:rPr>
      <w:instrText xml:space="preserve"> PAGE </w:instrText>
    </w:r>
    <w:r>
      <w:rPr>
        <w:i w:val="false"/>
        <w:iCs w:val="false"/>
      </w:rPr>
      <w:fldChar w:fldCharType="separate"/>
    </w:r>
    <w:r>
      <w:rPr>
        <w:i w:val="false"/>
        <w:iCs w:val="false"/>
      </w:rPr>
      <w:t>24</w:t>
    </w:r>
    <w:r>
      <w:rPr>
        <w:i w:val="false"/>
        <w:iCs w:val="false"/>
      </w:rPr>
      <w:fldChar w:fldCharType="end"/>
    </w:r>
  </w:p>
  <w:p>
    <w:pPr>
      <w:pStyle w:val="Header"/>
      <w:jc w:val="right"/>
      <w:rPr>
        <w:i w:val="false"/>
        <w:i w:val="false"/>
        <w:iCs w:val="false"/>
      </w:rPr>
    </w:pPr>
    <w:r>
      <w:rPr>
        <w:i w:val="false"/>
        <w:iCs w:val="false"/>
      </w:rPr>
      <w:t>ТФД 2.2.3_ЮФ</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3">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4">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8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yperlink" Target="http://www.cbr.ru/" TargetMode="Externa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DC28637-82A2-4882-B880-456EC7FD591C}">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668</TotalTime>
  <Application>AlterOffice/3.4.0.9$Linux_X86_64 LibreOffice_project/b8daf9e823b1a5463a2f48435ddc2e8696e7d4fc</Application>
  <AppVersion>15.0000</AppVersion>
  <Pages>25</Pages>
  <Words>9204</Words>
  <Characters>65858</Characters>
  <CharactersWithSpaces>74625</CharactersWithSpaces>
  <Paragraphs>424</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schigarevnn@corp.gidroogk.com</cp:lastModifiedBy>
  <cp:lastPrinted>2018-05-22T09:46:00Z</cp:lastPrinted>
  <dcterms:modified xsi:type="dcterms:W3CDTF">2026-08-19T16:22:42Z</dcterms:modified>
  <cp:revision>53</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