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/>
      </w:pPr>
      <w:r>
        <w:rPr/>
        <w:t>ОКПД2 49.41.2 Оказание услуг по предоставлению грузовой спецтехники с экипажем для нужд Волжского филиала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 w:val="false"/>
          <w:bCs w:val="false"/>
        </w:rPr>
      </w:pPr>
      <w:r>
        <w:rPr>
          <w:b w:val="false"/>
          <w:bCs w:val="false"/>
        </w:rPr>
        <w:t>Лот № 0031-ТПиР БЕЗОП ДОХ-2026-ГРВКК-ВолФ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3402" w:hanging="360"/>
        <w:rPr>
          <w:b/>
          <w:bCs/>
          <w:sz w:val="24"/>
          <w:szCs w:val="24"/>
        </w:rPr>
      </w:pPr>
      <w:bookmarkStart w:id="0" w:name="_Toc54643694"/>
      <w:r>
        <w:rPr>
          <w:b/>
          <w:bCs/>
          <w:sz w:val="24"/>
          <w:szCs w:val="24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567" w:hanging="432"/>
        <w:rPr>
          <w:b/>
        </w:rPr>
      </w:pPr>
      <w:bookmarkStart w:id="1" w:name="_Toc46743505"/>
      <w:bookmarkStart w:id="2" w:name="_Toc54643695"/>
      <w:r>
        <w:rPr>
          <w:b/>
        </w:rPr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3"/>
        <w:gridCol w:w="7379"/>
      </w:tblGrid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Волжская ГЭС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Филиала ПАО «РусГидро» – «Волжская ГЭС».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Волжский филиал АО «Гидроремонт-ВКК» в г. Волжский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9"/>
              <w:widowControl w:val="false"/>
              <w:shd w:val="clear" w:color="auto" w:fill="auto"/>
              <w:spacing w:lineRule="auto" w:line="24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 на оказание услуг по предоставлению автотранспорта и спецтехники с экипажем для нужд Волжского филиала АО "Гидроремонт-ВКК" в г. Волжский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АО «Гидроремонт-ВКК»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Вышка АГП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Вышка автогидроподъемника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ТПО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Твердые производственные отходы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сооружения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567" w:hanging="432"/>
        <w:rPr>
          <w:b/>
        </w:rPr>
      </w:pPr>
      <w:bookmarkStart w:id="3" w:name="_Toc46743506"/>
      <w:bookmarkStart w:id="4" w:name="_Toc54643696"/>
      <w:r>
        <w:rPr>
          <w:b/>
        </w:rPr>
        <w:t>Наименование закупаемой продукции</w:t>
      </w:r>
      <w:bookmarkEnd w:id="3"/>
      <w:bookmarkEnd w:id="4"/>
      <w:r>
        <w:rPr>
          <w:b/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09" w:leader="none"/>
        </w:tabs>
        <w:spacing w:before="120" w:after="120"/>
        <w:ind w:hanging="6"/>
        <w:jc w:val="both"/>
        <w:rPr/>
      </w:pPr>
      <w:r>
        <w:rPr>
          <w:rFonts w:eastAsia="Calibri"/>
          <w:sz w:val="24"/>
          <w:szCs w:val="24"/>
          <w:lang w:eastAsia="x-none"/>
        </w:rPr>
        <w:t>ОКПД2 49.41.2 Оказание услуг по предоставлению грузовой спецтехники с экипажем для нужд Волжского филиала (далее услуги).</w:t>
      </w:r>
    </w:p>
    <w:p>
      <w:pPr>
        <w:pStyle w:val="Heading4"/>
        <w:numPr>
          <w:ilvl w:val="1"/>
          <w:numId w:val="3"/>
        </w:numPr>
        <w:ind w:left="567" w:hanging="432"/>
        <w:rPr>
          <w:b/>
        </w:rPr>
      </w:pPr>
      <w:bookmarkStart w:id="5" w:name="_Toc54643697"/>
      <w:bookmarkStart w:id="6" w:name="_Toc46743507"/>
      <w:r>
        <w:rPr>
          <w:b/>
        </w:rPr>
        <w:t xml:space="preserve">Цель </w:t>
      </w:r>
      <w:bookmarkEnd w:id="6"/>
      <w:r>
        <w:rPr>
          <w:b/>
        </w:rPr>
        <w:t>оказания услуг</w:t>
      </w:r>
      <w:r>
        <w:rPr>
          <w:b/>
          <w:lang w:val="ru-RU"/>
        </w:rPr>
        <w:t>.</w:t>
      </w:r>
      <w:r>
        <w:rPr>
          <w:b/>
        </w:rPr>
        <w:t xml:space="preserve"> </w:t>
      </w:r>
      <w:bookmarkEnd w:id="5"/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Целью является обеспечение Волжского филиала АО «Гидроремонт-ВКК» в г. Волжский автотранспортом и спецтехникой с экипажем для выполнения работ на Волжской ГЭС по  договору подряда №1050-1786-2026/5-ТпиР-БЕЗОП-2026 от 28.04.2026 Работы по разработке рабочей документации, монтажу заграждения защитного здания КРУЭ-500 кВ Волжской ГЭС.</w:t>
      </w:r>
    </w:p>
    <w:p>
      <w:pPr>
        <w:pStyle w:val="Normal"/>
        <w:tabs>
          <w:tab w:val="clear" w:pos="708"/>
          <w:tab w:val="left" w:pos="142" w:leader="none"/>
          <w:tab w:val="left" w:pos="426" w:leader="none"/>
          <w:tab w:val="left" w:pos="8789" w:leader="none"/>
        </w:tabs>
        <w:ind w:hanging="6"/>
        <w:jc w:val="both"/>
        <w:rPr>
          <w:color w:val="000000"/>
          <w:sz w:val="24"/>
          <w:szCs w:val="24"/>
          <w:shd w:fill="FFFF00" w:val="clear"/>
        </w:rPr>
      </w:pPr>
      <w:r>
        <w:rPr>
          <w:color w:val="000000"/>
          <w:sz w:val="24"/>
          <w:szCs w:val="24"/>
          <w:shd w:fill="FFFF00" w:val="clear"/>
        </w:rPr>
      </w:r>
    </w:p>
    <w:p>
      <w:pPr>
        <w:pStyle w:val="Heading1"/>
        <w:tabs>
          <w:tab w:val="clear" w:pos="0"/>
          <w:tab w:val="left" w:pos="851" w:leader="none"/>
          <w:tab w:val="left" w:pos="993" w:leader="none"/>
        </w:tabs>
        <w:ind w:left="284" w:hanging="0"/>
        <w:rPr>
          <w:b/>
          <w:bCs/>
          <w:sz w:val="24"/>
          <w:szCs w:val="24"/>
        </w:rPr>
      </w:pPr>
      <w:bookmarkStart w:id="7" w:name="_Toc54643699"/>
      <w:bookmarkStart w:id="8" w:name="_Toc546436981"/>
      <w:bookmarkStart w:id="9" w:name="_Toc467435081"/>
      <w:bookmarkEnd w:id="8"/>
      <w:bookmarkEnd w:id="9"/>
      <w:r>
        <w:rPr>
          <w:b/>
          <w:bCs/>
          <w:sz w:val="24"/>
          <w:szCs w:val="24"/>
        </w:rPr>
        <w:t>Таблица 1. Перечень объектов заказчика</w:t>
      </w:r>
      <w:bookmarkEnd w:id="7"/>
      <w:r>
        <w:rPr>
          <w:b/>
          <w:bCs/>
          <w:sz w:val="24"/>
          <w:szCs w:val="24"/>
        </w:rPr>
        <w:t>.</w:t>
      </w:r>
    </w:p>
    <w:tbl>
      <w:tblPr>
        <w:tblW w:w="96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1872"/>
        <w:gridCol w:w="2839"/>
        <w:gridCol w:w="3118"/>
        <w:gridCol w:w="992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ind w:hanging="6"/>
              <w:jc w:val="center"/>
              <w:rPr/>
            </w:pPr>
            <w:r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/>
            </w:pPr>
            <w:r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/>
            </w:pPr>
            <w:r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/>
            </w:pPr>
            <w:r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5" w:hanging="6"/>
              <w:jc w:val="center"/>
              <w:rPr/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284" w:hanging="6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/>
            </w:pPr>
            <w:r>
              <w:rPr>
                <w:color w:val="000000" w:themeColor="text1"/>
                <w:sz w:val="24"/>
                <w:szCs w:val="24"/>
              </w:rPr>
              <w:t>Предоставление автотранспорта и спецтехники с экипажем (круглосуточно)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6"/>
              <w:rPr/>
            </w:pPr>
            <w:r>
              <w:rPr>
                <w:color w:val="000000" w:themeColor="text1"/>
                <w:sz w:val="24"/>
                <w:szCs w:val="24"/>
              </w:rPr>
              <w:t>Волгоградская область и территория Филиала ПАО «РусГидро» – «Волжская ГЭС». Российская Федерация, Волгоградская область, г. Волжский. Адрес филиала: 404130, Волгоградская обл., г. Волжский, пр-т Ленина 1А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rPr/>
            </w:pPr>
            <w:r>
              <w:rPr>
                <w:color w:val="000000" w:themeColor="text1"/>
                <w:sz w:val="24"/>
                <w:szCs w:val="24"/>
              </w:rPr>
              <w:t>Перемещение (горизонтальное и вертикальное) материалов, оборудования и ТПО АО «Гидроремонт – ВКК» и ПАО «РусГидро»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ind w:left="567" w:hanging="432"/>
        <w:rPr>
          <w:lang w:val="ru-RU"/>
        </w:rPr>
      </w:pPr>
      <w:bookmarkStart w:id="10" w:name="_Toc54643700"/>
      <w:bookmarkStart w:id="11" w:name="_Hlk49857604"/>
      <w:bookmarkStart w:id="12" w:name="_Toc46743509"/>
      <w:r>
        <w:rPr>
          <w:color w:val="000000" w:themeColor="text1"/>
        </w:rPr>
        <w:t xml:space="preserve">Информация в отношении исполнения договора, </w:t>
      </w:r>
      <w:bookmarkStart w:id="13" w:name="_Hlk46492347"/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bookmarkEnd w:id="12"/>
      <w:r>
        <w:rPr>
          <w:lang w:val="ru-RU"/>
        </w:rPr>
        <w:t>.</w:t>
      </w:r>
    </w:p>
    <w:p>
      <w:pPr>
        <w:pStyle w:val="Heading3"/>
        <w:numPr>
          <w:ilvl w:val="2"/>
          <w:numId w:val="3"/>
        </w:numPr>
        <w:ind w:left="567" w:hanging="504"/>
        <w:rPr/>
      </w:pPr>
      <w:r>
        <w:rPr/>
        <w:t xml:space="preserve">Заказчик планирует использовать (применять) технику в соответствии с номенклатурой (согласно </w:t>
      </w:r>
      <w:r>
        <w:rPr>
          <w:lang w:val="ru-RU"/>
        </w:rPr>
        <w:t>табл.2</w:t>
      </w:r>
      <w:r>
        <w:rPr/>
        <w:t xml:space="preserve">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</w:t>
      </w:r>
      <w:r>
        <w:rPr>
          <w:lang w:val="ru-RU"/>
        </w:rPr>
        <w:t>табл.2</w:t>
      </w:r>
      <w:r>
        <w:rPr/>
        <w:t>.)</w:t>
      </w:r>
      <w:r>
        <w:rPr>
          <w:lang w:val="ru-RU"/>
        </w:rPr>
        <w:t xml:space="preserve"> </w:t>
      </w:r>
      <w:r>
        <w:rPr/>
        <w:t xml:space="preserve">в случае отсутствия необходимости. </w:t>
      </w:r>
    </w:p>
    <w:p>
      <w:pPr>
        <w:pStyle w:val="Heading3"/>
        <w:numPr>
          <w:ilvl w:val="2"/>
          <w:numId w:val="3"/>
        </w:numPr>
        <w:ind w:left="567" w:hanging="504"/>
        <w:rPr/>
      </w:pPr>
      <w:r>
        <w:rPr/>
        <w:t xml:space="preserve">При использовании </w:t>
      </w:r>
      <w:r>
        <w:rPr>
          <w:lang w:val="ru-RU"/>
        </w:rPr>
        <w:t>спец</w:t>
      </w:r>
      <w:r>
        <w:rPr/>
        <w:t>техники в электроустановках (ОРУ, освещение, охранная зона ВЛ и т.п.) у водителей-машинистов необходимо наличие удостоверения по электробезопасности не ниже второй группы согласно Правилам по охране труда при эксплуатации электроустановок.</w:t>
      </w:r>
    </w:p>
    <w:p>
      <w:pPr>
        <w:pStyle w:val="Heading3"/>
        <w:numPr>
          <w:ilvl w:val="2"/>
          <w:numId w:val="3"/>
        </w:numPr>
        <w:ind w:left="567" w:hanging="504"/>
        <w:rPr/>
      </w:pPr>
      <w:r>
        <w:rPr/>
        <w:t>Исполнитель должен иметь для исполнения договора квалифицированный и аттестованный персонал на каждую единицу техники.</w:t>
      </w:r>
    </w:p>
    <w:p>
      <w:pPr>
        <w:pStyle w:val="Normal"/>
        <w:widowControl w:val="fals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keepNext w:val="false"/>
        <w:widowControl w:val="false"/>
        <w:numPr>
          <w:ilvl w:val="1"/>
          <w:numId w:val="3"/>
        </w:numPr>
        <w:ind w:left="567" w:hanging="432"/>
        <w:rPr>
          <w:b/>
        </w:rPr>
      </w:pPr>
      <w:bookmarkStart w:id="14" w:name="_Toc54643701"/>
      <w:bookmarkStart w:id="15" w:name="_Toc46743510"/>
      <w:bookmarkStart w:id="16" w:name="_Toc50125126"/>
      <w:bookmarkEnd w:id="15"/>
      <w:bookmarkEnd w:id="16"/>
      <w:r>
        <w:rPr>
          <w:b/>
        </w:rPr>
        <w:t>Иные требования и сведения общего характера</w:t>
      </w:r>
      <w:bookmarkEnd w:id="14"/>
      <w:r>
        <w:rPr>
          <w:b/>
          <w:lang w:val="ru-RU"/>
        </w:rPr>
        <w:t>.</w:t>
      </w:r>
    </w:p>
    <w:p>
      <w:pPr>
        <w:pStyle w:val="Heading3"/>
        <w:keepNext w:val="false"/>
        <w:widowControl w:val="false"/>
        <w:numPr>
          <w:ilvl w:val="2"/>
          <w:numId w:val="3"/>
        </w:numPr>
        <w:ind w:left="567" w:hanging="504"/>
        <w:rPr/>
      </w:pPr>
      <w:r>
        <w:rPr/>
        <w:t>Планируемое к использованию количество машино-часов, указывается в подаваемых Заказчиком заявках на оказание услуг. Минимальная продолжительность заявки – от 4 часа.</w:t>
      </w:r>
    </w:p>
    <w:p>
      <w:pPr>
        <w:pStyle w:val="Heading1"/>
        <w:numPr>
          <w:ilvl w:val="0"/>
          <w:numId w:val="3"/>
        </w:numPr>
        <w:ind w:left="426" w:hanging="360"/>
        <w:rPr>
          <w:b/>
          <w:bCs/>
          <w:sz w:val="24"/>
          <w:szCs w:val="24"/>
        </w:rPr>
      </w:pPr>
      <w:bookmarkStart w:id="17" w:name="_Toc54643702"/>
      <w:bookmarkStart w:id="18" w:name="_Toc51339693"/>
      <w:r>
        <w:rPr>
          <w:b/>
          <w:bCs/>
          <w:sz w:val="24"/>
          <w:szCs w:val="24"/>
          <w:lang w:val="ru-RU"/>
        </w:rPr>
        <w:t>Требования</w:t>
      </w:r>
      <w:r>
        <w:rPr>
          <w:b/>
          <w:bCs/>
          <w:sz w:val="24"/>
          <w:szCs w:val="24"/>
        </w:rPr>
        <w:t xml:space="preserve"> к продукции</w:t>
      </w:r>
      <w:bookmarkEnd w:id="17"/>
      <w:bookmarkEnd w:id="18"/>
    </w:p>
    <w:p>
      <w:pPr>
        <w:pStyle w:val="Heading4"/>
        <w:numPr>
          <w:ilvl w:val="1"/>
          <w:numId w:val="3"/>
        </w:numPr>
        <w:ind w:left="567" w:hanging="432"/>
        <w:rPr>
          <w:b/>
        </w:rPr>
      </w:pPr>
      <w:bookmarkStart w:id="19" w:name="_Toc54643703"/>
      <w:r>
        <w:rPr>
          <w:b/>
        </w:rPr>
        <w:t xml:space="preserve">Требования к объемам и срокам </w:t>
      </w:r>
      <w:r>
        <w:rPr>
          <w:b/>
          <w:lang w:val="ru-RU"/>
        </w:rPr>
        <w:t>оказания услуг</w:t>
      </w:r>
      <w:bookmarkEnd w:id="19"/>
    </w:p>
    <w:p>
      <w:pPr>
        <w:pStyle w:val="Heading3"/>
        <w:numPr>
          <w:ilvl w:val="2"/>
          <w:numId w:val="3"/>
        </w:numPr>
        <w:ind w:left="567" w:hanging="504"/>
        <w:rPr/>
      </w:pPr>
      <w:bookmarkStart w:id="20" w:name="_Toc54643704"/>
      <w:r>
        <w:rPr/>
        <w:t>Требования к перечню и объему услуг</w:t>
      </w:r>
      <w:bookmarkEnd w:id="20"/>
    </w:p>
    <w:p>
      <w:pPr>
        <w:pStyle w:val="Heading1"/>
        <w:tabs>
          <w:tab w:val="clear" w:pos="0"/>
          <w:tab w:val="left" w:pos="851" w:leader="none"/>
          <w:tab w:val="left" w:pos="993" w:leader="none"/>
        </w:tabs>
        <w:ind w:left="426" w:hanging="0"/>
        <w:rPr>
          <w:b/>
          <w:bCs/>
          <w:sz w:val="24"/>
          <w:szCs w:val="24"/>
        </w:rPr>
      </w:pPr>
      <w:bookmarkStart w:id="21" w:name="_Toc54643705"/>
      <w:bookmarkStart w:id="22" w:name="_Toc51339695"/>
      <w:r>
        <w:rPr>
          <w:b/>
          <w:bCs/>
          <w:sz w:val="24"/>
          <w:szCs w:val="24"/>
        </w:rPr>
        <w:t xml:space="preserve">Таблица 2. Перечень </w:t>
      </w:r>
      <w:bookmarkEnd w:id="22"/>
      <w:r>
        <w:rPr>
          <w:b/>
          <w:bCs/>
          <w:sz w:val="24"/>
          <w:szCs w:val="24"/>
        </w:rPr>
        <w:t>и объем оказываемых услуг</w:t>
      </w:r>
      <w:bookmarkEnd w:id="21"/>
    </w:p>
    <w:tbl>
      <w:tblPr>
        <w:tblW w:w="981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2644"/>
        <w:gridCol w:w="4497"/>
        <w:gridCol w:w="766"/>
        <w:gridCol w:w="1068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Ориентировочное кол-во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Экскаватор-погрузчик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 </w:t>
            </w:r>
            <w:r>
              <w:rPr>
                <w:color w:val="111111"/>
                <w:sz w:val="22"/>
                <w:szCs w:val="22"/>
              </w:rPr>
              <w:t>Максимальная г</w:t>
            </w:r>
            <w:r>
              <w:rPr>
                <w:color w:val="000000"/>
                <w:sz w:val="22"/>
                <w:szCs w:val="22"/>
              </w:rPr>
              <w:t>рузоподъёмность не менее 3495 кг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Объём ковша передний от 1 м3 до 1,5 м3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Объём ковша задний от 0.2 м3 до 0.4 м3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КАМАЗ 55111 самосвал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Максимальная грузоподъёмность не менее 13т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Мини погрузчик фронтальный</w:t>
            </w:r>
          </w:p>
        </w:tc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 </w:t>
            </w:r>
            <w:r>
              <w:rPr>
                <w:color w:val="111111"/>
                <w:sz w:val="22"/>
                <w:szCs w:val="22"/>
              </w:rPr>
              <w:t>Максимальная грузоподъёмность  не менее 790 кг.</w:t>
            </w:r>
          </w:p>
          <w:p>
            <w:pPr>
              <w:pStyle w:val="BodyText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Максимальная высота погрузки не менее 2.9 метра.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Трактор МТЗ 82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Колея колёс: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зад от 1400 до 2100мм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перед от 1250 до 1800мм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Трактор МТЗ 82 с навесным оборудованием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Колея колёс: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зад от 1400 до 2100мм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перед от 1250 до 1800мм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Дорожная щетка МК-2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Мульчер ширина от 170мм до 190мм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Мини экскаватор гусеничный JCB 19C-1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Объем ковша от 0.1 м3 до 0.2 м3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Глубина копания не менее 2.27м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Экскаватор пневмоколесный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Глубина копания не менее 6м.</w:t>
            </w:r>
          </w:p>
          <w:p>
            <w:pPr>
              <w:pStyle w:val="BodyText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Длина стрелы от 5м до 5.5м</w:t>
            </w:r>
          </w:p>
          <w:p>
            <w:pPr>
              <w:pStyle w:val="BodyText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Наименьшая вместимость устанавливаемого ковша от 0.8 м3 до 0.9 м3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Экскаватор-погрузчик гидромолот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Частота ударов от 380 до 900 удар/минута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Энергия удара не менее 981 Дж</w:t>
              <w:br/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Бульдозер Т-170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Масса не менее 15т</w:t>
              <w:br/>
              <w:t>Ширина колеи от 1 800 мм до 1900мм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Асфальтовый дорожный каток ДУ 47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Масса не менее 7150 кг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Габаритные не более 4800х1800х3250 мм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КАМАЗ 6520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Максимальная грузоподъёмность не менее 20т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Вилочный погрузчик</w:t>
            </w:r>
          </w:p>
        </w:tc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грузоподъемность не менее 1,5т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подъема не менее 3м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>
      <w:pPr>
        <w:pStyle w:val="Heading3"/>
        <w:tabs>
          <w:tab w:val="clear" w:pos="0"/>
          <w:tab w:val="left" w:pos="851" w:leader="none"/>
          <w:tab w:val="left" w:pos="993" w:leader="none"/>
        </w:tabs>
        <w:ind w:left="0" w:hanging="0"/>
        <w:rPr/>
      </w:pPr>
      <w:r>
        <w:rPr/>
      </w:r>
    </w:p>
    <w:p>
      <w:pPr>
        <w:pStyle w:val="Heading3"/>
        <w:numPr>
          <w:ilvl w:val="2"/>
          <w:numId w:val="3"/>
        </w:numPr>
        <w:ind w:left="567" w:hanging="504"/>
        <w:rPr>
          <w:b/>
          <w:bCs/>
        </w:rPr>
      </w:pPr>
      <w:bookmarkStart w:id="23" w:name="_Toc51339696"/>
      <w:r>
        <w:rPr>
          <w:b/>
          <w:bCs/>
        </w:rPr>
        <w:t xml:space="preserve">Требования </w:t>
      </w:r>
      <w:bookmarkEnd w:id="23"/>
      <w:r>
        <w:rPr>
          <w:b/>
          <w:bCs/>
        </w:rPr>
        <w:t>к срокам оказания услуг</w:t>
      </w:r>
    </w:p>
    <w:p>
      <w:pPr>
        <w:pStyle w:val="Heading1"/>
        <w:tabs>
          <w:tab w:val="clear" w:pos="0"/>
          <w:tab w:val="left" w:pos="851" w:leader="none"/>
          <w:tab w:val="left" w:pos="993" w:leader="none"/>
        </w:tabs>
        <w:ind w:left="426" w:hanging="0"/>
        <w:rPr>
          <w:b/>
          <w:bCs/>
          <w:sz w:val="24"/>
          <w:szCs w:val="24"/>
        </w:rPr>
      </w:pPr>
      <w:bookmarkStart w:id="24" w:name="_Toc54643707"/>
      <w:bookmarkStart w:id="25" w:name="_Toc51339697"/>
      <w:bookmarkStart w:id="26" w:name="_Toc50125127"/>
      <w:bookmarkStart w:id="27" w:name="_Toc501251261"/>
      <w:bookmarkEnd w:id="27"/>
      <w:r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  <w:lang w:val="ru-RU"/>
        </w:rPr>
        <w:t>3</w:t>
      </w:r>
      <w:r>
        <w:rPr>
          <w:b/>
          <w:bCs/>
          <w:sz w:val="24"/>
          <w:szCs w:val="24"/>
        </w:rPr>
        <w:t xml:space="preserve">. </w:t>
      </w:r>
      <w:bookmarkStart w:id="28" w:name="_Hlk50465284"/>
      <w:r>
        <w:rPr>
          <w:b/>
          <w:bCs/>
          <w:sz w:val="24"/>
          <w:szCs w:val="24"/>
        </w:rPr>
        <w:t xml:space="preserve">Требования </w:t>
      </w:r>
      <w:r>
        <w:rPr>
          <w:b/>
          <w:bCs/>
          <w:sz w:val="24"/>
          <w:szCs w:val="24"/>
          <w:lang w:val="ru-RU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5"/>
      <w:bookmarkEnd w:id="26"/>
      <w:bookmarkEnd w:id="28"/>
      <w:r>
        <w:rPr>
          <w:b/>
          <w:bCs/>
          <w:sz w:val="24"/>
          <w:szCs w:val="24"/>
          <w:lang w:val="ru-RU"/>
        </w:rPr>
        <w:t>оказания услуг</w:t>
      </w:r>
      <w:bookmarkEnd w:id="24"/>
    </w:p>
    <w:p>
      <w:pPr>
        <w:pStyle w:val="Normal"/>
        <w:ind w:left="426" w:hanging="0"/>
        <w:rPr/>
      </w:pPr>
      <w:r>
        <w:rPr/>
      </w:r>
    </w:p>
    <w:tbl>
      <w:tblPr>
        <w:tblW w:w="963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4690"/>
        <w:gridCol w:w="1982"/>
        <w:gridCol w:w="2121"/>
      </w:tblGrid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49.41.2 Оказание услуг по предоставлению грузовой спецтехники с экипажем для нужд Волжского филиала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</w:rPr>
              <w:t>.2026*</w:t>
            </w:r>
          </w:p>
        </w:tc>
      </w:tr>
      <w:tr>
        <w:trPr/>
        <w:tc>
          <w:tcPr>
            <w:tcW w:w="9632" w:type="dxa"/>
            <w:gridSpan w:val="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tabs>
                <w:tab w:val="clear" w:pos="0"/>
                <w:tab w:val="left" w:pos="851" w:leader="none"/>
                <w:tab w:val="left" w:pos="993" w:leader="none"/>
              </w:tabs>
              <w:spacing w:before="120" w:after="60"/>
              <w:ind w:left="567" w:hanging="432"/>
              <w:rPr>
                <w:bCs w:val="false"/>
              </w:rPr>
            </w:pPr>
            <w:r>
              <w:rPr/>
              <w:t xml:space="preserve"> </w:t>
            </w:r>
            <w:r>
              <w:rPr>
                <w:bCs w:val="false"/>
              </w:rPr>
              <w:t>*Срок установлен в соответствии с условиями договора, указанного в п.1.3 технических требований.</w:t>
            </w:r>
          </w:p>
        </w:tc>
      </w:tr>
    </w:tbl>
    <w:p>
      <w:pPr>
        <w:sectPr>
          <w:headerReference w:type="even" r:id="rId2"/>
          <w:headerReference w:type="default" r:id="rId3"/>
          <w:footerReference w:type="default" r:id="rId4"/>
          <w:type w:val="nextPage"/>
          <w:pgSz w:w="11906" w:h="16838"/>
          <w:pgMar w:left="1418" w:right="849" w:gutter="0" w:header="680" w:top="1134" w:footer="737" w:bottom="79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1"/>
        <w:tabs>
          <w:tab w:val="clear" w:pos="0"/>
          <w:tab w:val="left" w:pos="851" w:leader="none"/>
          <w:tab w:val="left" w:pos="993" w:leader="none"/>
        </w:tabs>
        <w:ind w:left="0" w:hanging="0"/>
        <w:rPr>
          <w:b/>
          <w:bCs/>
          <w:sz w:val="24"/>
          <w:szCs w:val="24"/>
        </w:rPr>
      </w:pPr>
      <w:bookmarkStart w:id="29" w:name="_Toc54643709"/>
      <w:bookmarkStart w:id="30" w:name="_Toc51339698"/>
      <w:r>
        <w:rPr>
          <w:b/>
          <w:bCs/>
          <w:sz w:val="24"/>
          <w:szCs w:val="24"/>
        </w:rPr>
        <w:t>Таблица </w:t>
      </w:r>
      <w:r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</w:rPr>
        <w:t xml:space="preserve">. Требования к </w:t>
      </w:r>
      <w:bookmarkEnd w:id="30"/>
      <w:r>
        <w:rPr>
          <w:b/>
          <w:bCs/>
          <w:sz w:val="24"/>
          <w:szCs w:val="24"/>
          <w:lang w:val="ru-RU"/>
        </w:rPr>
        <w:t>качеству услуг</w:t>
      </w:r>
      <w:bookmarkEnd w:id="29"/>
      <w:r>
        <w:rPr>
          <w:b/>
          <w:bCs/>
          <w:sz w:val="24"/>
          <w:szCs w:val="24"/>
        </w:rPr>
        <w:t xml:space="preserve"> </w:t>
      </w:r>
    </w:p>
    <w:tbl>
      <w:tblPr>
        <w:tblStyle w:val="affffb"/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1822"/>
        <w:gridCol w:w="7392"/>
      </w:tblGrid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bookmarkStart w:id="31" w:name="_Toc53499667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1"/>
          </w:p>
        </w:tc>
        <w:tc>
          <w:tcPr>
            <w:tcW w:w="18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к предоставляемой спецтехнике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Исполнитель должен иметь спецтехнику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1.1.2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Наличие у Исполнителя документации согласно экологическому законодательству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Исполнитель должен иметь разработанную документацию согласно экологического законодательства (Федеральный закон "Об отходах производства и потребления" от 24.06.1998 N 89-ФЗ в действующей редакции; Федеральный Закон «Об охране окружающей среды» от 10.01.2002 г. № 7-ФЗ в действующей редакции; Федеральный Закон «Об охране атмосферного воздуха» от 04.05.1999 г. №96-ФЗ в действующей редакции)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грузоподъемной техники и средств малой механизации,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Соответствие ТС и ПС законодательству РФ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 и ПС предоставляемых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contextualSpacing/>
              <w:jc w:val="left"/>
              <w:rPr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kern w:val="0"/>
                <w:lang w:val="ru-RU" w:eastAsia="x-none" w:bidi="ar-SA"/>
              </w:rPr>
              <w:t>1.4.1</w:t>
            </w:r>
          </w:p>
        </w:tc>
        <w:tc>
          <w:tcPr>
            <w:tcW w:w="182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Требования к безопасности оказанных услуг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обязан направлять на объекты заказчика работников, обученных правилам безопасного оказания услуг и имеющих все необходимые допуски к оказанию услуг, а также представлять документы на русском языке, подтверждающие аттестацию работников на проведение соответствующих видов услуг.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1.4.2.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Наличие квалификационных документов у обслуживающего ТС и ПС персонала Исполнителя, при выполнении работ в электроустановках (ОРУ, освещение, охранная зона ВЛ и т.п.)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При использовании техники в электроустановках (ОРУ, освещение, охранная зона ВЛ и т.п.) у водителей (или машинистов и т.п.) необходимо наличие удостоверения по электробезопасности не ниже второй группы согласно Приказа Минтруда России от 15.12.2020 N 903н "Об утверждении Правил по охране труда при эксплуатации электроустановок"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1.4.3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1.4.4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Квалификация персонала Исполнитель, привлекаемого к оказанию услуг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 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Услуги должны выполняться квалифицированным аттестованным персоналом, имеющим право самостоятельной работы в действующих электроустановках, согласно Правилам по охране труда при эксплуатации электроустановок, правил технической эксплуатации электрических станций и сетей, правил устройства электроустановок, стандарт организации СТО РусГидро 05.02.126-2020 «Правила организации безопасного обслуживания гидротехнических сооружений, гидросилового и гидромеханического оборудования гидроэлектростанций», Приложение 1 к приказу ПАО «РусГидро» от 03.07.2020 № 519.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Оказание услуг должно осуществляться силами: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Машиниста катка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Тракториста-машиниста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Машиниста крана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машиниста бетононасоса с группой допуска по электробезопасности не ниже II до и выше 1000В.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До начала оказания услуг в рамках исполнения договора после его заключения Исполнитель предоставляет список квалифицированного рабочего и административно-технического персонала, задействованного при оказании услуг, с указанием групп по электробезопасности с предоставлением копий протоколов ПЗ и удостоверений установленной формы о проверке знаний норм и правил работы в электроустановках.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При оказании услуг в электроустановках: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члены бригады – не ниже II группы по электробезопасности до и выше 1000В.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Исполнитель должен подтвердить соответствие квалификации персонала, участвующего в оказании услуг.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Представить копию приказа о создании ПДЭК в организации (не менее 5-х человек). Члены комиссии должны пройти проверку знаний в Ростехнадзоре: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- по Правилам технической эксплуатации электрических станций и сетей РФ;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по Правилам устройства электроустановок;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по ПОТЭЭ;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ab/>
              <w:t>по Правилам пожарной безопасности.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Предоставить копии протоколов проверки знаний в комиссии Ростехнадзора членов постоянно действующей комиссии организации, оформленных согласно Приложения N 2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 приказом Минэнерго России от 22.09.2020 N 796).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Представить копии удостоверений членов постоянно действующей комиссии организации, оформленных согласно Приложения N 5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приказом Минэнерго России от 22.09.2020 N 796.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Представить копии протоколов проверки знаний на всех работников, задействованных при оказании услуг согласно п/п.1.4.1, оформленных по форме Приложения N 2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 приказом Минэнерго России от 22.09.2020 N 796, в ПДЭК организации.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При отсутствии в организации ПДЭК/ПДАК, подтвердить квалификацию персонала, задействованного при оказании услуг согласно п/п.1.4.1, 1.4.2, копиями протоколов проверки знаний, копиями протоколов (выписок из протоколов) аттестации в комиссии Ростехнадзора и копиями удостоверений.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Представить справки/выписки из трудовых договоров на исполнителей работ.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Заверенные копии заключений о прохождении медицинского осмотра и психиатрического освидетельствования.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средств, предоставляемых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со 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средствами первой доврачебной помощи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1822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за 1 машино-час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1 машино-часа является фиксированной и постоянной на протяжении всего срока действия договора</w:t>
            </w:r>
          </w:p>
        </w:tc>
      </w:tr>
    </w:tbl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/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53965230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64193421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45728"/>
    <w:pPr>
      <w:keepNext w:val="true"/>
      <w:tabs>
        <w:tab w:val="clear" w:pos="708"/>
        <w:tab w:val="left" w:pos="0" w:leader="none"/>
        <w:tab w:val="left" w:pos="851" w:leader="none"/>
        <w:tab w:val="left" w:pos="993" w:leader="none"/>
      </w:tabs>
      <w:spacing w:before="120" w:after="60"/>
      <w:ind w:left="567" w:hanging="0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45728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  <w:tab w:val="left" w:pos="851" w:leader="none"/>
        <w:tab w:val="left" w:pos="993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Style39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09DC1-89FB-46A3-B37F-C48DA627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AlterOffice/3.4.0.9$Linux_X86_64 LibreOffice_project/b8daf9e823b1a5463a2f48435ddc2e8696e7d4fc</Application>
  <AppVersion>15.0000</AppVersion>
  <Pages>9</Pages>
  <Words>1801</Words>
  <Characters>12274</Characters>
  <CharactersWithSpaces>13847</CharactersWithSpaces>
  <Paragraphs>242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2026-08-19T21:53:00Z</dcterms:created>
  <dc:creator>Быстров Олег Геннадьевич</dc:creator>
  <dc:description/>
  <dc:language>ru-RU</dc:language>
  <cp:lastModifiedBy>korolevkv@corp.gidroogk.com</cp:lastModifiedBy>
  <cp:lastPrinted>2023-11-21T06:53:00Z</cp:lastPrinted>
  <dcterms:modified xsi:type="dcterms:W3CDTF">2026-08-20T14:52:46Z</dcterms:modified>
  <cp:revision>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