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 xml:space="preserve">ОКПД2 </w:t>
      </w:r>
      <w:r>
        <w:rPr>
          <w:rFonts w:cs="Times New Roman" w:ascii="Times New Roman;Times;serif" w:hAnsi="Times New Roman;Times;serif"/>
          <w:color w:val="000000"/>
          <w:szCs w:val="24"/>
        </w:rPr>
        <w:t>24.20.40.000 Поставка фитингов из нержавеющего металлопроката для выполнения работ на Новосибирской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center"/>
        <w:outlineLvl w:val="0"/>
        <w:rPr>
          <w:szCs w:val="24"/>
        </w:rPr>
      </w:pPr>
      <w:r>
        <w:rPr>
          <w:szCs w:val="24"/>
        </w:rPr>
        <w:t>(Лот № _____-ТПИР ОБСЛ ДОХ-2026-ГРВКК-СШФ)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tabs>
          <w:tab w:val="clear" w:pos="0"/>
          <w:tab w:val="left" w:pos="709" w:leader="none"/>
        </w:tabs>
        <w:ind w:left="432" w:hanging="0"/>
        <w:rPr/>
      </w:pPr>
      <w:r>
        <w:rPr>
          <w:lang w:val="ru-RU"/>
        </w:rPr>
        <w:t xml:space="preserve">    </w:t>
      </w:r>
      <w:r>
        <w:rPr/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0" w:name="_Toc75446568"/>
      <w:bookmarkStart w:id="1" w:name="_Toc46743506"/>
      <w:r>
        <w:rPr/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hanging="0"/>
        <w:jc w:val="both"/>
        <w:outlineLvl w:val="0"/>
        <w:rPr>
          <w:szCs w:val="24"/>
        </w:rPr>
      </w:pPr>
      <w:r>
        <w:rPr>
          <w:szCs w:val="24"/>
        </w:rPr>
        <w:tab/>
        <w:t xml:space="preserve">ОКПД2 </w:t>
      </w:r>
      <w:r>
        <w:rPr>
          <w:rFonts w:cs="Times New Roman" w:ascii="Times New Roman;Times;serif" w:hAnsi="Times New Roman;Times;serif"/>
          <w:color w:val="000000"/>
          <w:szCs w:val="24"/>
        </w:rPr>
        <w:t>24.20.40.000 Поставка фитингов из нержавеющего металлопроката для выполнения работ на Новосибирской ГЭС</w:t>
      </w:r>
      <w:r>
        <w:rPr>
          <w:szCs w:val="24"/>
        </w:rPr>
        <w:t xml:space="preserve"> (далее продукция).</w:t>
      </w:r>
      <w:bookmarkStart w:id="2" w:name="_Toc75446569"/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Heading4"/>
        <w:numPr>
          <w:ilvl w:val="1"/>
          <w:numId w:val="1"/>
        </w:numPr>
        <w:ind w:left="0" w:firstLine="709"/>
        <w:rPr/>
      </w:pPr>
      <w:bookmarkStart w:id="3" w:name="_Toc46743507"/>
      <w:r>
        <w:rPr/>
        <w:t xml:space="preserve">Цель </w:t>
      </w:r>
      <w:bookmarkEnd w:id="3"/>
      <w:r>
        <w:rPr/>
        <w:t xml:space="preserve">использования закупаемой продукции </w:t>
      </w:r>
      <w:bookmarkEnd w:id="2"/>
      <w:r>
        <w:rPr/>
        <w:t xml:space="preserve"> </w:t>
      </w:r>
    </w:p>
    <w:p>
      <w:pPr>
        <w:pStyle w:val="Normal"/>
        <w:ind w:firstLine="432"/>
        <w:jc w:val="both"/>
        <w:rPr>
          <w:szCs w:val="24"/>
        </w:rPr>
      </w:pPr>
      <w:r>
        <w:rPr>
          <w:rFonts w:eastAsia="Times New Roman" w:cs="Times New Roman"/>
          <w:bCs/>
          <w:szCs w:val="24"/>
          <w:shd w:fill="FFFFFF" w:val="clear"/>
          <w:lang w:eastAsia="ru-RU"/>
        </w:rPr>
        <w:tab/>
        <w:t>Исполнение доходного договора:</w:t>
      </w:r>
    </w:p>
    <w:p>
      <w:pPr>
        <w:pStyle w:val="BodyText"/>
        <w:spacing w:before="0" w:after="0"/>
        <w:jc w:val="both"/>
        <w:rPr/>
      </w:pPr>
      <w:r>
        <w:rPr>
          <w:rFonts w:ascii="Times New Roman;serif" w:hAnsi="Times New Roman;serif"/>
          <w:color w:val="000000"/>
          <w:sz w:val="24"/>
          <w:szCs w:val="24"/>
        </w:rPr>
        <w:t xml:space="preserve">    </w:t>
      </w:r>
      <w:r>
        <w:rPr>
          <w:rFonts w:ascii="Times New Roman;serif" w:hAnsi="Times New Roman;serif"/>
          <w:color w:val="000000"/>
          <w:sz w:val="24"/>
          <w:szCs w:val="24"/>
        </w:rPr>
        <w:t xml:space="preserve">- </w:t>
      </w:r>
      <w:r>
        <w:rPr>
          <w:rStyle w:val="Style"/>
          <w:rFonts w:eastAsia="Calibri" w:ascii="Times New Roman;serif" w:hAnsi="Times New Roman;serif"/>
          <w:b w:val="false"/>
          <w:i w:val="false"/>
          <w:color w:val="000000"/>
          <w:sz w:val="24"/>
          <w:szCs w:val="24"/>
          <w:shd w:fill="auto" w:val="clear"/>
          <w:lang w:eastAsia="en-US"/>
        </w:rPr>
        <w:t>№8-ТПиР-2025 от 29.07.2025 «Монтаж и наладка оборудования системы маслохозяйства Новосибирской ГЭС в рамках инвестиционного проекта I_T-1260-022» (заключенный между филиалом ПАО «РусГидро»-«Новосибирская ГЭС» и АО «Гидроремонт-ВКК»).</w:t>
      </w:r>
    </w:p>
    <w:p>
      <w:pPr>
        <w:pStyle w:val="Heading1"/>
        <w:numPr>
          <w:ilvl w:val="0"/>
          <w:numId w:val="1"/>
        </w:numPr>
        <w:ind w:left="0" w:firstLine="709"/>
        <w:rPr>
          <w:sz w:val="24"/>
          <w:szCs w:val="24"/>
        </w:rPr>
      </w:pPr>
      <w:bookmarkStart w:id="4" w:name="_Toc75446573"/>
      <w:bookmarkStart w:id="5" w:name="_Toc51339693"/>
      <w:r>
        <w:rPr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firstLine="709"/>
        <w:rPr/>
      </w:pPr>
      <w:bookmarkStart w:id="6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firstLine="709"/>
        <w:rPr/>
      </w:pPr>
      <w:bookmarkStart w:id="7" w:name="_Toc75446575"/>
      <w:r>
        <w:rPr/>
        <w:t>Перечень и объем закупаемой продукции</w:t>
      </w:r>
      <w:bookmarkEnd w:id="7"/>
    </w:p>
    <w:p>
      <w:pPr>
        <w:pStyle w:val="Normal"/>
        <w:ind w:firstLine="709"/>
        <w:rPr>
          <w:szCs w:val="24"/>
        </w:rPr>
      </w:pPr>
      <w:r>
        <w:rPr>
          <w:szCs w:val="24"/>
        </w:rPr>
      </w:r>
    </w:p>
    <w:p>
      <w:pPr>
        <w:pStyle w:val="Normal"/>
        <w:jc w:val="both"/>
        <w:rPr>
          <w:szCs w:val="24"/>
        </w:rPr>
      </w:pPr>
      <w:bookmarkStart w:id="8" w:name="_Toc75446576"/>
      <w:bookmarkStart w:id="9" w:name="_Toc51339695"/>
      <w:r>
        <w:rPr>
          <w:szCs w:val="24"/>
        </w:rPr>
        <w:t xml:space="preserve">Таблица 1. Перечень </w:t>
      </w:r>
      <w:bookmarkEnd w:id="9"/>
      <w:r>
        <w:rPr>
          <w:szCs w:val="24"/>
        </w:rPr>
        <w:t>и объем закупаемой продукци</w:t>
      </w:r>
      <w:bookmarkEnd w:id="8"/>
      <w:r>
        <w:rPr>
          <w:szCs w:val="24"/>
        </w:rPr>
        <w:t>и</w:t>
      </w:r>
    </w:p>
    <w:p>
      <w:pPr>
        <w:pStyle w:val="Normal"/>
        <w:rPr>
          <w:szCs w:val="24"/>
          <w:lang w:val="x-none" w:eastAsia="x-none"/>
        </w:rPr>
      </w:pPr>
      <w:r>
        <w:rPr>
          <w:szCs w:val="24"/>
          <w:lang w:val="x-none" w:eastAsia="x-none"/>
        </w:rPr>
      </w:r>
    </w:p>
    <w:tbl>
      <w:tblPr>
        <w:tblW w:w="97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85"/>
        <w:gridCol w:w="5966"/>
        <w:gridCol w:w="1407"/>
        <w:gridCol w:w="1456"/>
      </w:tblGrid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Единица измерения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Отвод 90º ∅32,0х3,0мм 12Х18Н10Т </w:t>
            </w:r>
            <w:r>
              <w:rPr>
                <w:rFonts w:cs="Times New Roman"/>
                <w:color w:val="000000"/>
                <w:szCs w:val="24"/>
                <w:lang w:eastAsia="ru-RU"/>
              </w:rPr>
              <w:t>ГОСТ 17375-2001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Отвод 90º 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57,0х3,5мм 12Х18Н10Т10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ГОСТ 17375-2001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Отвод 90º ∅57,0х4,0мм 12Х18Н10Т ГОСТ </w:t>
            </w:r>
            <w:r>
              <w:rPr>
                <w:rFonts w:cs="Times New Roman"/>
                <w:color w:val="000000"/>
                <w:szCs w:val="24"/>
                <w:lang w:eastAsia="ru-RU"/>
              </w:rPr>
              <w:t>17375-2001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19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Отвод 90º ∅89,0х5,0мм 12Х18Н10Т ГОСТ </w:t>
            </w:r>
            <w:r>
              <w:rPr>
                <w:rFonts w:cs="Times New Roman"/>
                <w:color w:val="000000"/>
                <w:szCs w:val="24"/>
                <w:lang w:eastAsia="ru-RU"/>
              </w:rPr>
              <w:t>17375-2001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57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Отвод 90º 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108,0х5,0мм 12Х18Н10Т</w:t>
            </w:r>
            <w:r>
              <w:rPr>
                <w:rFonts w:cs="Times New Roman"/>
                <w:szCs w:val="24"/>
                <w:shd w:fill="auto" w:val="clear"/>
              </w:rPr>
              <w:t xml:space="preserve"> </w:t>
            </w:r>
            <w:r>
              <w:rPr>
                <w:rFonts w:cs="Times New Roman"/>
                <w:szCs w:val="24"/>
              </w:rPr>
              <w:t xml:space="preserve">ГОСТ </w:t>
            </w:r>
            <w:r>
              <w:rPr>
                <w:rFonts w:cs="Times New Roman"/>
                <w:color w:val="000000"/>
                <w:szCs w:val="24"/>
                <w:lang w:eastAsia="ru-RU"/>
              </w:rPr>
              <w:t>17375-2001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3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Тройник равнопроходный ∅57,0х4,0мм 12Х18Н10Т ГОСТ 17376-2001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Тройник равнопроходный ∅89,0х6,0мм 12Х18Н10Т 17376-2001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21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Переходник концентрический 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57,0х3,0-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32,0х2,0мм 12Х18Н10Т ГОСТ 17378-2001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Переходник концентрический 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89,0х3,5-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57,0х3,0мм 12Х18Н10Т ГОСТ 17378-2001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Переходник концентрический 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219,0х6,0-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>108,0х4,0мм 12Х18Н10Т ГОСТ 17378-2001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Ниппель резьбовой, длина 100мм </w:t>
            </w:r>
            <w:r>
              <w:rPr>
                <w:rFonts w:cs="Cambria Math" w:ascii="Cambria Math" w:hAnsi="Cambria Math"/>
                <w:szCs w:val="24"/>
              </w:rPr>
              <w:t>∅</w:t>
            </w:r>
            <w:r>
              <w:rPr>
                <w:rFonts w:cs="Times New Roman"/>
                <w:szCs w:val="24"/>
              </w:rPr>
              <w:t xml:space="preserve"> 57,0x3,5 резьба с одной стороны не менее 40мм 12X18H10T </w:t>
            </w:r>
            <w:r>
              <w:rPr>
                <w:rFonts w:cs="Times New Roman"/>
                <w:bCs/>
                <w:color w:val="000000"/>
                <w:szCs w:val="24"/>
              </w:rPr>
              <w:t>ГОСТ 8967-75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16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Фланец стальной 1-25-16-12Х18Н10Т</w:t>
            </w:r>
          </w:p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ГОСТ 33259-2015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737" w:hanging="51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Фланец стальной 1-50-16-12Х18Н10Т</w:t>
            </w:r>
          </w:p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ГОСТ 33259-2015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/>
            </w:pPr>
            <w:r>
              <w:rPr/>
              <w:t>2</w:t>
            </w:r>
          </w:p>
        </w:tc>
      </w:tr>
    </w:tbl>
    <w:p>
      <w:pPr>
        <w:pStyle w:val="Heading3"/>
        <w:ind w:hanging="0"/>
        <w:rPr/>
      </w:pPr>
      <w:r>
        <w:rPr/>
      </w:r>
    </w:p>
    <w:p>
      <w:pPr>
        <w:pStyle w:val="Heading3"/>
        <w:numPr>
          <w:ilvl w:val="2"/>
          <w:numId w:val="1"/>
        </w:numPr>
        <w:ind w:left="0" w:firstLine="709"/>
        <w:rPr/>
      </w:pPr>
      <w:r>
        <w:rPr/>
        <w:t xml:space="preserve">Требования к срокам поставки продукции </w:t>
      </w:r>
    </w:p>
    <w:p>
      <w:pPr>
        <w:pStyle w:val="Normal"/>
        <w:rPr>
          <w:szCs w:val="24"/>
        </w:rPr>
      </w:pPr>
      <w:bookmarkStart w:id="10" w:name="_Toc75446579"/>
      <w:bookmarkStart w:id="11" w:name="_Toc50125127"/>
      <w:bookmarkStart w:id="12" w:name="_Toc51339697"/>
      <w:r>
        <w:rPr>
          <w:szCs w:val="24"/>
          <w:lang w:eastAsia="x-none"/>
        </w:rPr>
        <w:t xml:space="preserve">Таблица 2. </w:t>
      </w:r>
      <w:bookmarkStart w:id="13" w:name="_Hlk50465284"/>
      <w:r>
        <w:rPr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szCs w:val="24"/>
          <w:lang w:eastAsia="x-none"/>
        </w:rPr>
        <w:t>поставки продукции</w:t>
      </w:r>
      <w:bookmarkEnd w:id="10"/>
      <w:r>
        <w:rPr>
          <w:szCs w:val="24"/>
          <w:lang w:eastAsia="x-none"/>
        </w:rPr>
        <w:t xml:space="preserve"> </w:t>
      </w:r>
    </w:p>
    <w:p>
      <w:pPr>
        <w:pStyle w:val="Normal"/>
        <w:rPr>
          <w:szCs w:val="24"/>
        </w:rPr>
      </w:pPr>
      <w:r>
        <w:rPr>
          <w:szCs w:val="24"/>
        </w:rPr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78"/>
        <w:gridCol w:w="3717"/>
        <w:gridCol w:w="2396"/>
        <w:gridCol w:w="2842"/>
      </w:tblGrid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№ </w:t>
            </w:r>
            <w:r>
              <w:rPr>
                <w:szCs w:val="24"/>
              </w:rPr>
              <w:t>п/п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Наименование продукции / партии продукции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</w:tr>
      <w:tr>
        <w:trPr/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hanging="0"/>
              <w:jc w:val="both"/>
              <w:outlineLvl w:val="0"/>
              <w:rPr>
                <w:szCs w:val="24"/>
              </w:rPr>
            </w:pPr>
            <w:r>
              <w:rPr>
                <w:rFonts w:cs="Times New Roman" w:ascii="Times New Roman;Times;serif" w:hAnsi="Times New Roman;Times;serif"/>
                <w:color w:val="000000"/>
                <w:szCs w:val="24"/>
                <w:lang w:eastAsia="x-none"/>
              </w:rPr>
              <w:t>ОКПД2 24.20.40.000 Поставка фитингов из нержавеющего металлопроката для выполнения работ на Новосибирской ГЭС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В течение 30</w:t>
            </w:r>
            <w:r>
              <w:rPr>
                <w:rFonts w:cs="Times New Roman"/>
                <w:color w:val="C9211E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Cs w:val="24"/>
                <w:lang w:eastAsia="ru-RU"/>
              </w:rPr>
              <w:t>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szCs w:val="24"/>
        </w:rPr>
      </w:pPr>
      <w:bookmarkStart w:id="14" w:name="_Toc75446582"/>
      <w:bookmarkEnd w:id="14"/>
      <w:r>
        <w:rPr>
          <w:b/>
          <w:szCs w:val="24"/>
          <w:lang w:eastAsia="x-none"/>
        </w:rPr>
        <w:t>Требования к качеству продукции</w:t>
      </w:r>
    </w:p>
    <w:p>
      <w:pPr>
        <w:pStyle w:val="Normal"/>
        <w:rPr>
          <w:szCs w:val="24"/>
        </w:rPr>
      </w:pPr>
      <w:r>
        <w:rPr>
          <w:rFonts w:eastAsia="Calibri"/>
          <w:szCs w:val="24"/>
          <w:lang w:eastAsia="x-none"/>
        </w:rPr>
        <w:t>Таблица 3. Требования к качеству продукции</w:t>
      </w:r>
    </w:p>
    <w:p>
      <w:pPr>
        <w:pStyle w:val="Normal"/>
        <w:rPr>
          <w:szCs w:val="24"/>
        </w:rPr>
      </w:pPr>
      <w:r>
        <w:rPr>
          <w:szCs w:val="24"/>
        </w:rPr>
      </w:r>
    </w:p>
    <w:tbl>
      <w:tblPr>
        <w:tblW w:w="150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77"/>
        <w:gridCol w:w="3910"/>
        <w:gridCol w:w="4038"/>
        <w:gridCol w:w="3342"/>
        <w:gridCol w:w="3029"/>
      </w:tblGrid>
      <w:tr>
        <w:trPr>
          <w:trHeight w:val="20" w:hRule="atLeast"/>
        </w:trPr>
        <w:tc>
          <w:tcPr>
            <w:tcW w:w="15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Cs w:val="24"/>
              </w:rPr>
              <w:t>Наименование продукции (позиции №1-13. Таблицы 1.):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color w:val="000000"/>
              </w:rPr>
            </w:pPr>
            <w:r>
              <w:rPr>
                <w:rFonts w:ascii="Times New Roman;serif" w:hAnsi="Times New Roman;serif"/>
                <w:b/>
                <w:bCs/>
                <w:color w:val="000000"/>
                <w:szCs w:val="24"/>
              </w:rPr>
              <w:t xml:space="preserve">Материалы, предназначенные для выполнения работ по </w:t>
            </w:r>
            <w:r>
              <w:rPr>
                <w:rFonts w:cs="Times New Roman" w:ascii="Times New Roman;Times;serif" w:hAnsi="Times New Roman;Times;serif"/>
                <w:b/>
                <w:bCs/>
                <w:color w:val="000000"/>
                <w:szCs w:val="24"/>
              </w:rPr>
              <w:t>монтажу и наладке оборудования системы маслохозяйства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cs="Times New Roman" w:ascii="Times New Roman;Times;serif" w:hAnsi="Times New Roman;Times;serif"/>
                <w:b/>
                <w:bCs/>
                <w:color w:val="000000"/>
                <w:szCs w:val="24"/>
              </w:rPr>
              <w:t>Новосибирской ГЭС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 xml:space="preserve">№ </w:t>
            </w:r>
            <w:r>
              <w:rPr>
                <w:b/>
                <w:szCs w:val="24"/>
              </w:rPr>
              <w:t>п/п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Наименование продукции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Наименование параметра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Требование заказчика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стандартам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/>
                <w:b/>
                <w:szCs w:val="24"/>
              </w:rPr>
              <w:t>4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eastAsia="DotumChe"/>
                <w:b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Cs w:val="24"/>
              </w:rPr>
              <w:t>1.</w:t>
            </w:r>
          </w:p>
        </w:tc>
        <w:tc>
          <w:tcPr>
            <w:tcW w:w="14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Отвод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17375-2001</w:t>
            </w:r>
          </w:p>
        </w:tc>
      </w:tr>
      <w:tr>
        <w:trPr>
          <w:trHeight w:val="347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32,0м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3,0мм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Угол отвода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Отвод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17375-2001</w:t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57,0м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3,5мм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Угол отвода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rFonts w:cs="Times New Roman"/>
                <w:color w:val="000000"/>
                <w:position w:val="0"/>
                <w:sz w:val="24"/>
                <w:sz w:val="24"/>
                <w:szCs w:val="24"/>
                <w:vertAlign w:val="baseline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Отвод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17375-2001</w:t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57,0м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4,0мм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Угол отвода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90º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rFonts w:cs="Times New Roman"/>
                <w:color w:val="000000"/>
                <w:position w:val="0"/>
                <w:sz w:val="24"/>
                <w:sz w:val="24"/>
                <w:szCs w:val="24"/>
                <w:vertAlign w:val="baseline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Отвод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17375-2001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89,0м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5,0мм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Угол отвода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rFonts w:cs="Times New Roman"/>
                <w:color w:val="000000"/>
                <w:position w:val="0"/>
                <w:sz w:val="24"/>
                <w:sz w:val="24"/>
                <w:szCs w:val="24"/>
                <w:vertAlign w:val="baseline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Отвод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</w:t>
            </w:r>
            <w:bookmarkStart w:id="15" w:name="_GoBack"/>
            <w:bookmarkEnd w:id="15"/>
            <w:r>
              <w:rPr>
                <w:rFonts w:cs="Times New Roman"/>
                <w:szCs w:val="24"/>
              </w:rPr>
              <w:t>10Т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17375-2001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108,0м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5,0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Угол отвода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90º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rFonts w:cs="Times New Roman"/>
                <w:color w:val="000000"/>
                <w:position w:val="0"/>
                <w:sz w:val="24"/>
                <w:sz w:val="24"/>
                <w:szCs w:val="24"/>
                <w:vertAlign w:val="baseline"/>
                <w:lang w:val="en-US"/>
              </w:rPr>
              <w:t>10,0/16,0/25,0 кгс/см2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Тройник равнопроходный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17376-2001</w:t>
            </w:r>
          </w:p>
        </w:tc>
      </w:tr>
      <w:tr>
        <w:trPr>
          <w:trHeight w:val="389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57,0м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4,0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rFonts w:cs="Times New Roman"/>
                <w:color w:val="000000"/>
                <w:position w:val="0"/>
                <w:sz w:val="24"/>
                <w:sz w:val="24"/>
                <w:szCs w:val="24"/>
                <w:vertAlign w:val="baseline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Тройник равнопроходный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М</w:t>
            </w:r>
            <w:r>
              <w:rPr>
                <w:rFonts w:cs="Times New Roman"/>
                <w:szCs w:val="24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12Х18Н10Т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17376-2001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Диаметр наружный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89,0м</w:t>
            </w:r>
            <w:r>
              <w:rPr>
                <w:rFonts w:cs="Times New Roman"/>
                <w:szCs w:val="24"/>
                <w:lang w:val="en-US"/>
              </w:rPr>
              <w:t>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Толщина стенки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6,0</w:t>
            </w:r>
            <w:r>
              <w:rPr>
                <w:rFonts w:cs="Times New Roman"/>
                <w:szCs w:val="24"/>
                <w:lang w:val="en-US"/>
              </w:rPr>
              <w:t>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rFonts w:cs="Times New Roman"/>
                <w:color w:val="000000"/>
                <w:position w:val="0"/>
                <w:sz w:val="24"/>
                <w:sz w:val="24"/>
                <w:szCs w:val="24"/>
                <w:vertAlign w:val="baseline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Переходник концентрический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М</w:t>
            </w:r>
            <w:r>
              <w:rPr>
                <w:rFonts w:cs="Times New Roman"/>
                <w:szCs w:val="24"/>
                <w:lang w:eastAsia="ru-RU"/>
              </w:rPr>
              <w:t>арка стали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ru-RU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17378-2001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Размер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D</w:t>
            </w:r>
            <w:r>
              <w:rPr>
                <w:rFonts w:cs="Times New Roman"/>
                <w:szCs w:val="24"/>
                <w:lang w:eastAsia="ru-RU"/>
              </w:rPr>
              <w:t>х</w:t>
            </w:r>
            <w:r>
              <w:rPr>
                <w:rFonts w:cs="Times New Roman"/>
                <w:szCs w:val="24"/>
                <w:lang w:val="en-US" w:eastAsia="ru-RU"/>
              </w:rPr>
              <w:t>T</w:t>
            </w:r>
            <w:r>
              <w:rPr>
                <w:rFonts w:cs="Times New Roman"/>
                <w:szCs w:val="24"/>
                <w:lang w:eastAsia="ru-RU"/>
              </w:rPr>
              <w:t>-</w:t>
            </w:r>
            <w:r>
              <w:rPr>
                <w:rFonts w:cs="Times New Roman"/>
                <w:szCs w:val="24"/>
                <w:lang w:val="en-US" w:eastAsia="ru-RU"/>
              </w:rPr>
              <w:t>D</w:t>
            </w:r>
            <w:r>
              <w:rPr>
                <w:rFonts w:cs="Times New Roman"/>
                <w:szCs w:val="24"/>
                <w:lang w:eastAsia="ru-RU"/>
              </w:rPr>
              <w:t>1х</w:t>
            </w:r>
            <w:r>
              <w:rPr>
                <w:rFonts w:cs="Times New Roman"/>
                <w:szCs w:val="24"/>
                <w:lang w:val="en-US" w:eastAsia="ru-RU"/>
              </w:rPr>
              <w:t>T</w:t>
            </w:r>
            <w:r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57,0х3,0-32,0х2,0мм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2"/>
                <w:sz w:val="22"/>
                <w:vertAlign w:val="baseline"/>
              </w:rPr>
            </w:pPr>
            <w:r>
              <w:rPr>
                <w:rFonts w:cs="Times New Roman"/>
                <w:color w:val="000000"/>
                <w:position w:val="0"/>
                <w:sz w:val="24"/>
                <w:sz w:val="24"/>
                <w:szCs w:val="24"/>
                <w:vertAlign w:val="baseline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Переходник концентрический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М</w:t>
            </w:r>
            <w:r>
              <w:rPr>
                <w:rFonts w:cs="Times New Roman"/>
                <w:szCs w:val="24"/>
                <w:lang w:eastAsia="ru-RU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ru-RU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17378-2001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Размер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D</w:t>
            </w:r>
            <w:r>
              <w:rPr>
                <w:rFonts w:cs="Times New Roman"/>
                <w:szCs w:val="24"/>
                <w:lang w:eastAsia="ru-RU"/>
              </w:rPr>
              <w:t>х</w:t>
            </w:r>
            <w:r>
              <w:rPr>
                <w:rFonts w:cs="Times New Roman"/>
                <w:szCs w:val="24"/>
                <w:lang w:val="en-US" w:eastAsia="ru-RU"/>
              </w:rPr>
              <w:t>T</w:t>
            </w:r>
            <w:r>
              <w:rPr>
                <w:rFonts w:cs="Times New Roman"/>
                <w:szCs w:val="24"/>
                <w:lang w:eastAsia="ru-RU"/>
              </w:rPr>
              <w:t>-</w:t>
            </w:r>
            <w:r>
              <w:rPr>
                <w:rFonts w:cs="Times New Roman"/>
                <w:szCs w:val="24"/>
                <w:lang w:val="en-US" w:eastAsia="ru-RU"/>
              </w:rPr>
              <w:t>D</w:t>
            </w:r>
            <w:r>
              <w:rPr>
                <w:rFonts w:cs="Times New Roman"/>
                <w:szCs w:val="24"/>
                <w:lang w:eastAsia="ru-RU"/>
              </w:rPr>
              <w:t>1х</w:t>
            </w:r>
            <w:r>
              <w:rPr>
                <w:rFonts w:cs="Times New Roman"/>
                <w:szCs w:val="24"/>
                <w:lang w:val="en-US" w:eastAsia="ru-RU"/>
              </w:rPr>
              <w:t>T</w:t>
            </w:r>
            <w:r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89,0х3,5-57,0х3,0мм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Переходник концентрический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М</w:t>
            </w:r>
            <w:r>
              <w:rPr>
                <w:rFonts w:cs="Times New Roman"/>
                <w:szCs w:val="24"/>
                <w:lang w:eastAsia="ru-RU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ru-RU"/>
              </w:rPr>
              <w:t>12Х18Н10Т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ГОСТ 17378-2001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Размер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D</w:t>
            </w:r>
            <w:r>
              <w:rPr>
                <w:rFonts w:cs="Times New Roman"/>
                <w:szCs w:val="24"/>
                <w:lang w:eastAsia="ru-RU"/>
              </w:rPr>
              <w:t>х</w:t>
            </w:r>
            <w:r>
              <w:rPr>
                <w:rFonts w:cs="Times New Roman"/>
                <w:szCs w:val="24"/>
                <w:lang w:val="en-US" w:eastAsia="ru-RU"/>
              </w:rPr>
              <w:t>T</w:t>
            </w:r>
            <w:r>
              <w:rPr>
                <w:rFonts w:cs="Times New Roman"/>
                <w:szCs w:val="24"/>
                <w:lang w:eastAsia="ru-RU"/>
              </w:rPr>
              <w:t>-</w:t>
            </w:r>
            <w:r>
              <w:rPr>
                <w:rFonts w:cs="Times New Roman"/>
                <w:szCs w:val="24"/>
                <w:lang w:val="en-US" w:eastAsia="ru-RU"/>
              </w:rPr>
              <w:t>D</w:t>
            </w:r>
            <w:r>
              <w:rPr>
                <w:rFonts w:cs="Times New Roman"/>
                <w:szCs w:val="24"/>
                <w:lang w:eastAsia="ru-RU"/>
              </w:rPr>
              <w:t>1х</w:t>
            </w:r>
            <w:r>
              <w:rPr>
                <w:rFonts w:cs="Times New Roman"/>
                <w:szCs w:val="24"/>
                <w:lang w:val="en-US" w:eastAsia="ru-RU"/>
              </w:rPr>
              <w:t>T</w:t>
            </w:r>
            <w:r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219,0х6,0-108,0х4,0мм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6"/>
              </w:rPr>
            </w:pPr>
            <w:r>
              <w:rPr>
                <w:color w:val="000000"/>
                <w:szCs w:val="24"/>
              </w:rPr>
              <w:t>Ниппель резьбовой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М</w:t>
            </w:r>
            <w:r>
              <w:rPr>
                <w:rFonts w:cs="Times New Roman"/>
                <w:szCs w:val="24"/>
                <w:lang w:eastAsia="ru-RU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ru-RU"/>
              </w:rPr>
              <w:t>12Х18Н10Т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ГОСТ 8967-75</w:t>
            </w:r>
          </w:p>
        </w:tc>
      </w:tr>
      <w:tr>
        <w:trPr>
          <w:trHeight w:val="44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Размер</w:t>
            </w:r>
            <w:r>
              <w:rPr>
                <w:szCs w:val="24"/>
                <w:lang w:val="en-US"/>
              </w:rPr>
              <w:t xml:space="preserve">: </w:t>
            </w:r>
            <w:r>
              <w:rPr>
                <w:rFonts w:cs="Times New Roman"/>
                <w:szCs w:val="24"/>
                <w:lang w:val="en-US" w:eastAsia="ru-RU"/>
              </w:rPr>
              <w:t>D</w:t>
            </w:r>
            <w:r>
              <w:rPr>
                <w:rFonts w:cs="Times New Roman"/>
                <w:szCs w:val="24"/>
                <w:lang w:eastAsia="ru-RU"/>
              </w:rPr>
              <w:t>х</w:t>
            </w:r>
            <w:r>
              <w:rPr>
                <w:rFonts w:cs="Times New Roman"/>
                <w:szCs w:val="24"/>
                <w:lang w:val="en-US" w:eastAsia="ru-RU"/>
              </w:rPr>
              <w:t>TхL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57,0х3,5х100,0мм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Длина резьбы (наруж.)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 xml:space="preserve">Не менее </w:t>
            </w:r>
            <w:r>
              <w:rPr>
                <w:color w:val="000000"/>
                <w:szCs w:val="24"/>
              </w:rPr>
              <w:t>40мм с одной стороны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9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9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9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Фланец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М</w:t>
            </w:r>
            <w:r>
              <w:rPr>
                <w:rFonts w:cs="Times New Roman"/>
                <w:szCs w:val="24"/>
                <w:lang w:eastAsia="ru-RU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ru-RU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ГОСТ 33259-2015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Номер размерного ряда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Диаметр условного прохода, Ду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25мм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16,0/16,0/16,0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 xml:space="preserve">  </w:t>
            </w:r>
            <w:r>
              <w:rPr/>
              <w:t>13.</w:t>
            </w:r>
          </w:p>
        </w:tc>
        <w:tc>
          <w:tcPr>
            <w:tcW w:w="3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Фланец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  <w:lang w:val="en-US" w:eastAsia="ru-RU"/>
              </w:rPr>
              <w:t>М</w:t>
            </w:r>
            <w:r>
              <w:rPr>
                <w:rFonts w:cs="Times New Roman"/>
                <w:szCs w:val="24"/>
                <w:lang w:eastAsia="ru-RU"/>
              </w:rPr>
              <w:t>арка стали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ru-RU"/>
              </w:rPr>
              <w:t>12Х18Н10Т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ГОСТ 33259-2015</w:t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szCs w:val="24"/>
                <w:lang w:eastAsia="ru-RU"/>
              </w:rPr>
              <w:t>Номер размерного ряда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Диаметр условного прохода, Ду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50мм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Рабочая среда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rFonts w:cs="Times New Roman"/>
                <w:color w:val="000000"/>
                <w:szCs w:val="24"/>
              </w:rPr>
              <w:t>Масло турбинное ТП-30 и масло трансформаторное ГК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Температура Сº: min/max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5º/30º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Давление Ру: номинальное/рабочее/максимальное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</w:pPr>
            <w:r>
              <w:rPr>
                <w:rFonts w:cs="Times New Roman"/>
                <w:color w:val="000000"/>
                <w:szCs w:val="24"/>
                <w:lang w:val="en-US"/>
              </w:rPr>
              <w:t>10,0/16,0/25,0 кгс/см</w:t>
            </w:r>
            <w:r>
              <w:rPr>
                <w:rFonts w:cs="Times New Roman"/>
                <w:color w:val="000000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rFonts w:eastAsia="Times New Roman" w:cs="Times New Roman"/>
                <w:szCs w:val="24"/>
                <w:lang w:eastAsia="x-none"/>
              </w:rPr>
              <w:t>Место поставки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  <w:szCs w:val="24"/>
              </w:rPr>
              <w:t>г. Новосибирск, ул. Новоморская, д. 4/1.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>
                <w:szCs w:val="24"/>
              </w:rPr>
            </w:pPr>
            <w:r>
              <w:rPr>
                <w:szCs w:val="24"/>
              </w:rPr>
              <w:t>2.2.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Приемка продукции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>
                <w:szCs w:val="24"/>
              </w:rPr>
            </w:pPr>
            <w:r>
              <w:rPr>
                <w:szCs w:val="24"/>
              </w:rPr>
              <w:t>2.3.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по тел. </w:t>
            </w:r>
            <w:r>
              <w:rPr>
                <w:rFonts w:eastAsia="Times New Roman" w:cs="Times New Roman"/>
                <w:szCs w:val="24"/>
                <w:lang w:eastAsia="x-none"/>
              </w:rPr>
              <w:t>8 (383) 379-07-74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>
                <w:szCs w:val="24"/>
              </w:rPr>
            </w:pPr>
            <w:r>
              <w:rPr>
                <w:szCs w:val="24"/>
              </w:rPr>
              <w:t>2.4.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Продукция, поставляемая согласно техническим требованиям, должна быть доставлена одной партией и отгружаться Поставщиком в таре и упаковке,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хранения, в том числе в местностях с неблагоприятными климатическими условиями.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3.1.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Сроки гарантии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jc w:val="both"/>
              <w:rPr>
                <w:szCs w:val="24"/>
              </w:rPr>
            </w:pPr>
            <w:r>
              <w:rPr>
                <w:color w:val="000000"/>
                <w:szCs w:val="24"/>
              </w:rPr>
              <w:t>На Продукцию устанавливается гарантийный срок, равный 36</w:t>
            </w:r>
            <w:r>
              <w:rPr>
                <w:rFonts w:eastAsia="Times New Roman" w:cs="Times New Roman"/>
                <w:color w:val="000000"/>
                <w:szCs w:val="24"/>
                <w:lang w:eastAsia="x-none"/>
              </w:rPr>
              <w:t xml:space="preserve"> (тридцати шести) </w:t>
            </w:r>
            <w:r>
              <w:rPr>
                <w:color w:val="000000"/>
                <w:szCs w:val="24"/>
              </w:rPr>
              <w:t>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b/>
                <w:color w:val="000000"/>
                <w:szCs w:val="24"/>
                <w:lang w:val="en-US"/>
              </w:rPr>
              <w:t>4.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4.1.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</w:t>
            </w:r>
            <w:r>
              <w:rPr>
                <w:rFonts w:eastAsia="Times New Roman" w:cs="Times New Roman"/>
                <w:szCs w:val="24"/>
                <w:lang w:eastAsia="x-none"/>
              </w:rPr>
              <w:t>сертификаты качества; технические паспорта на русском языке; инструкции по эксплуатации (монтажу и т.п.) на русском языке; упаковочный лист на продукцию; сертификаты о происхождении продукции;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 товарную накладную унифицированной формы ТОРГ-12 (УПД) в 2 экз., транспортную накладную</w:t>
            </w:r>
            <w:r>
              <w:rPr>
                <w:szCs w:val="24"/>
                <w:lang w:eastAsia="x-none"/>
              </w:rPr>
              <w:t>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b/>
                <w:color w:val="000000"/>
                <w:szCs w:val="24"/>
                <w:lang w:val="en-US"/>
              </w:rPr>
              <w:t>5.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b/>
                <w:szCs w:val="24"/>
              </w:rPr>
              <w:t>Прочие (дополнительные) требования к продукции</w:t>
            </w:r>
          </w:p>
        </w:tc>
      </w:tr>
      <w:tr>
        <w:trPr>
          <w:trHeight w:val="249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hanging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  <w:lang w:val="en-US"/>
              </w:rPr>
              <w:t>5.1.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Cs w:val="24"/>
              </w:rPr>
            </w:pPr>
            <w:r>
              <w:rPr>
                <w:color w:val="000000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ListParagraph"/>
              <w:widowControl w:val="false"/>
              <w:ind w:left="0" w:hanging="0"/>
              <w:rPr/>
            </w:pPr>
            <w:r>
              <w:rPr>
                <w:bCs/>
                <w:color w:val="000000"/>
                <w:lang w:eastAsia="en-US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</w:tc>
      </w:tr>
      <w:tr>
        <w:trPr>
          <w:trHeight w:val="249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szCs w:val="24"/>
              </w:rPr>
              <w:t>5.2</w:t>
            </w:r>
          </w:p>
        </w:tc>
        <w:tc>
          <w:tcPr>
            <w:tcW w:w="14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426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tabs>
          <w:tab w:val="clear" w:pos="709"/>
          <w:tab w:val="left" w:pos="0" w:leader="none"/>
        </w:tabs>
        <w:spacing w:before="120" w:after="60"/>
        <w:ind w:left="357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 w:val="false"/>
        <w:tabs>
          <w:tab w:val="clear" w:pos="708"/>
          <w:tab w:val="left" w:pos="7380" w:leader="none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</w:r>
    </w:p>
    <w:p>
      <w:pPr>
        <w:pStyle w:val="Normal"/>
        <w:spacing w:lineRule="auto" w:line="360"/>
        <w:jc w:val="both"/>
        <w:rPr/>
      </w:pPr>
      <w:r>
        <w:rPr/>
      </w:r>
    </w:p>
    <w:sectPr>
      <w:footerReference w:type="default" r:id="rId5"/>
      <w:footerReference w:type="first" r:id="rId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ambria Math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3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9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8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9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9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9</w:t>
    </w:r>
    <w:r>
      <w:rPr>
        <w:sz w:val="24"/>
        <w:b/>
        <w:szCs w:val="24"/>
        <w:bCs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u w:val="none"/>
        <w:b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2269"/>
        </w:tabs>
        <w:ind w:left="2269" w:hanging="567"/>
      </w:pPr>
      <w:rPr>
        <w:b w:val="false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tabs>
        <w:tab w:val="clear" w:pos="0"/>
        <w:tab w:val="clear" w:pos="709"/>
      </w:tabs>
      <w:ind w:left="432" w:hanging="432"/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  <w:tab w:val="left" w:pos="709" w:leader="none"/>
      </w:tabs>
      <w:ind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 w:customStyle="1">
    <w:name w:val="комментарий"/>
    <w:qFormat/>
    <w:rPr>
      <w:b/>
      <w:i/>
      <w:shd w:fill="FFFF99" w:val="clear"/>
    </w:rPr>
  </w:style>
  <w:style w:type="character" w:styleId="2" w:customStyle="1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 w:customStyle="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Style3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 w:customStyle="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 w:customStyle="1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 w:customStyle="1">
    <w:name w:val="Strong1"/>
    <w:qFormat/>
    <w:rPr>
      <w:b/>
      <w:bCs/>
    </w:rPr>
  </w:style>
  <w:style w:type="character" w:styleId="Style10" w:customStyle="1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 w:customStyle="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 w:customStyle="1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 w:customStyle="1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 w:customStyle="1">
    <w:name w:val="Подпункт Знак1"/>
    <w:link w:val="Style31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 w:customStyle="1">
    <w:name w:val="blk"/>
    <w:qFormat/>
    <w:rPr/>
  </w:style>
  <w:style w:type="character" w:styleId="Style14" w:customStyle="1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 w:customStyle="1">
    <w:name w:val="Подподпункт Знак"/>
    <w:link w:val="Style38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 w:customStyle="1">
    <w:name w:val="УРОВЕНЬ_Абзац_тип3 Знак"/>
    <w:link w:val="38"/>
    <w:qFormat/>
    <w:rPr>
      <w:rFonts w:ascii="Times New Roman" w:hAnsi="Times New Roman" w:eastAsia="Calibri" w:cs="Times New Roman"/>
      <w:sz w:val="26"/>
      <w:szCs w:val="28"/>
    </w:rPr>
  </w:style>
  <w:style w:type="character" w:styleId="Style16" w:customStyle="1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4" w:customStyle="1">
    <w:name w:val="Пункт2 Знак"/>
    <w:link w:val="27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 w:customStyle="1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 w:customStyle="1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 w:customStyle="1">
    <w:name w:val="text"/>
    <w:qFormat/>
    <w:rPr/>
  </w:style>
  <w:style w:type="character" w:styleId="Value" w:customStyle="1">
    <w:name w:val="value"/>
    <w:qFormat/>
    <w:rPr/>
  </w:style>
  <w:style w:type="character" w:styleId="Style18" w:customStyle="1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 w:customStyle="1">
    <w:name w:val="name"/>
    <w:qFormat/>
    <w:rPr/>
  </w:style>
  <w:style w:type="character" w:styleId="Extended-textshort" w:customStyle="1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 w:customStyle="1">
    <w:name w:val="product_code"/>
    <w:qFormat/>
    <w:rPr/>
  </w:style>
  <w:style w:type="character" w:styleId="Add-data-value" w:customStyle="1">
    <w:name w:val="add-data-value"/>
    <w:basedOn w:val="DefaultParagraphFont"/>
    <w:qFormat/>
    <w:rPr/>
  </w:style>
  <w:style w:type="character" w:styleId="Extendedtext-short" w:customStyle="1">
    <w:name w:val="extendedtext-short"/>
    <w:qFormat/>
    <w:rPr/>
  </w:style>
  <w:style w:type="character" w:styleId="Strong2" w:customStyle="1">
    <w:name w:val="Strong2"/>
    <w:qFormat/>
    <w:rPr>
      <w:b/>
      <w:bCs/>
    </w:rPr>
  </w:style>
  <w:style w:type="character" w:styleId="UnresolvedMention" w:customStyle="1">
    <w:name w:val="Unresolved Mention"/>
    <w:basedOn w:val="DefaultParagraphFont"/>
    <w:qFormat/>
    <w:rPr>
      <w:color w:val="605E5C"/>
      <w:shd w:fill="E1DFDD" w:val="clear"/>
    </w:rPr>
  </w:style>
  <w:style w:type="character" w:styleId="Style19" w:customStyle="1">
    <w:name w:val="РГ_номер текста табл Знак"/>
    <w:basedOn w:val="DefaultParagraphFont"/>
    <w:qFormat/>
    <w:rPr>
      <w:rFonts w:ascii="Calibri" w:hAnsi="Calibri" w:eastAsia="Calibri" w:cs="Calibri"/>
      <w:sz w:val="24"/>
      <w:szCs w:val="22"/>
      <w:lang w:eastAsia="en-US"/>
    </w:rPr>
  </w:style>
  <w:style w:type="character" w:styleId="34" w:customStyle="1">
    <w:name w:val="Неразрешенное упоминание3"/>
    <w:basedOn w:val="DefaultParagraphFont"/>
    <w:qFormat/>
    <w:rPr>
      <w:color w:val="605E5C"/>
      <w:shd w:fill="E1DFDD" w:val="clear"/>
    </w:rPr>
  </w:style>
  <w:style w:type="character" w:styleId="25" w:customStyle="1">
    <w:name w:val="Неразрешенное упоминание2"/>
    <w:basedOn w:val="DefaultParagraphFont"/>
    <w:qFormat/>
    <w:rPr>
      <w:color w:val="605E5C"/>
      <w:shd w:fill="E1DFDD" w:val="clear"/>
    </w:rPr>
  </w:style>
  <w:style w:type="character" w:styleId="Style20" w:customStyle="1">
    <w:name w:val="Заголовок Знак"/>
    <w:basedOn w:val="DefaultParagraphFont"/>
    <w:qFormat/>
    <w:rPr>
      <w:b/>
      <w:sz w:val="28"/>
      <w:szCs w:val="28"/>
    </w:rPr>
  </w:style>
  <w:style w:type="character" w:styleId="Style21" w:customStyle="1">
    <w:name w:val="Основной текст_"/>
    <w:qFormat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2-2" w:customStyle="1">
    <w:name w:val="Средняя сетка 2 - Акцент 2 Знак"/>
    <w:qFormat/>
    <w:rPr>
      <w:rFonts w:ascii="Times New Roman" w:hAnsi="Times New Roman" w:eastAsia="Times New Roman" w:cs="Times New Roman"/>
      <w:i/>
      <w:iCs/>
      <w:color w:val="000000"/>
      <w:sz w:val="28"/>
      <w:szCs w:val="20"/>
      <w:lang w:eastAsia="ru-RU"/>
    </w:rPr>
  </w:style>
  <w:style w:type="character" w:styleId="Style22" w:customStyle="1">
    <w:name w:val="Пункт Знак"/>
    <w:qFormat/>
    <w:rPr>
      <w:sz w:val="28"/>
      <w:lang w:val="ru-RU" w:eastAsia="ru-RU" w:bidi="ar-SA"/>
    </w:rPr>
  </w:style>
  <w:style w:type="character" w:styleId="Style23" w:customStyle="1">
    <w:name w:val="Схема документа Знак"/>
    <w:qFormat/>
    <w:rPr>
      <w:rFonts w:ascii="Tahoma" w:hAnsi="Tahoma" w:eastAsia="Times New Roman" w:cs="Times New Roman"/>
      <w:sz w:val="20"/>
      <w:szCs w:val="20"/>
      <w:shd w:fill="000080" w:val="clear"/>
      <w:lang w:eastAsia="ru-RU"/>
    </w:rPr>
  </w:style>
  <w:style w:type="character" w:styleId="211" w:customStyle="1">
    <w:name w:val="Заголовок 2 Знак1"/>
    <w:qFormat/>
    <w:rPr>
      <w:b/>
      <w:sz w:val="32"/>
    </w:rPr>
  </w:style>
  <w:style w:type="character" w:styleId="Strong">
    <w:name w:val="Strong"/>
    <w:uiPriority w:val="22"/>
    <w:qFormat/>
    <w:rPr>
      <w:b/>
      <w:bCs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Caption11111" w:customStyle="1">
    <w:name w:val="caption1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1" w:customStyle="1">
    <w:name w:val="index heading11111"/>
    <w:basedOn w:val="Title"/>
    <w:qFormat/>
    <w:pPr/>
    <w:rPr/>
  </w:style>
  <w:style w:type="paragraph" w:styleId="Style26" w:customStyle="1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7" w:customStyle="1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9" w:customStyle="1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6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5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 w:customStyle="1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3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31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7" w:customStyle="1">
    <w:name w:val="Пункт2"/>
    <w:basedOn w:val="Normal"/>
    <w:link w:val="24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eastAsia="Times New Roman" w:cs="Calibri"/>
      <w:sz w:val="20"/>
      <w:szCs w:val="20"/>
      <w:lang w:eastAsia="ru-RU"/>
    </w:rPr>
  </w:style>
  <w:style w:type="paragraph" w:styleId="Style32" w:customStyle="1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33" w:customStyle="1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eastAsia="Times New Roman" w:cs="Calibri"/>
      <w:sz w:val="20"/>
      <w:szCs w:val="20"/>
      <w:lang w:eastAsia="ru-RU"/>
    </w:rPr>
  </w:style>
  <w:style w:type="paragraph" w:styleId="28" w:customStyle="1">
    <w:name w:val="Раздел положения 2"/>
    <w:basedOn w:val="Normal"/>
    <w:qFormat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5" w:customStyle="1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6" w:customStyle="1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 w:customStyle="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9" w:customStyle="1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 w:eastAsia="Times New Roman" w:cs="Times New Roman"/>
      <w:sz w:val="22"/>
    </w:rPr>
  </w:style>
  <w:style w:type="paragraph" w:styleId="Style37" w:customStyle="1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8" w:customStyle="1">
    <w:name w:val="Подподпункт"/>
    <w:basedOn w:val="Style31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9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hanging="108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0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2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41" w:customStyle="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 w:customStyle="1">
    <w:name w:val="УРОВЕНЬ_1."/>
    <w:basedOn w:val="ListParagraph"/>
    <w:link w:val="12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42" w:customStyle="1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 w:customStyle="1">
    <w:name w:val="Контракт-раздел"/>
    <w:basedOn w:val="Normal"/>
    <w:qFormat/>
    <w:pPr>
      <w:keepNext w:val="true"/>
      <w:keepLines/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 w:customStyle="1">
    <w:name w:val="Контракт-пункт"/>
    <w:basedOn w:val="Normal"/>
    <w:qFormat/>
    <w:pPr>
      <w:tabs>
        <w:tab w:val="clear" w:pos="708"/>
        <w:tab w:val="left" w:pos="1391" w:leader="none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styleId="110" w:customStyle="1">
    <w:name w:val="Обычный1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3" w:customStyle="1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4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 w:customStyle="1">
    <w:name w:val="Body Text 21"/>
    <w:basedOn w:val="Normal"/>
    <w:qFormat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styleId="Style45" w:customStyle="1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3" w:customStyle="1">
    <w:name w:val="Обычный2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cs="Times New Roman"/>
      <w:sz w:val="22"/>
      <w:szCs w:val="21"/>
      <w:lang w:val="x-none"/>
    </w:rPr>
  </w:style>
  <w:style w:type="paragraph" w:styleId="Txt1" w:customStyle="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 w:customStyle="1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9" w:customStyle="1">
    <w:name w:val="Обычный3"/>
    <w:qFormat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47" w:customStyle="1">
    <w:name w:val="Заголовок таблицы"/>
    <w:basedOn w:val="Style46"/>
    <w:qFormat/>
    <w:pPr>
      <w:jc w:val="center"/>
    </w:pPr>
    <w:rPr>
      <w:b/>
      <w:bCs/>
    </w:rPr>
  </w:style>
  <w:style w:type="paragraph" w:styleId="111" w:customStyle="1">
    <w:name w:val="1.1. таблица"/>
    <w:basedOn w:val="Style48"/>
    <w:qFormat/>
    <w:pPr>
      <w:numPr>
        <w:ilvl w:val="1"/>
      </w:numPr>
      <w:tabs>
        <w:tab w:val="clear" w:pos="708"/>
        <w:tab w:val="left" w:pos="360" w:leader="none"/>
        <w:tab w:val="left" w:pos="1440" w:leader="none"/>
      </w:tabs>
      <w:ind w:left="1440" w:hanging="0"/>
    </w:pPr>
    <w:rPr/>
  </w:style>
  <w:style w:type="paragraph" w:styleId="Style48" w:customStyle="1">
    <w:name w:val="РГ_номер текста табл"/>
    <w:basedOn w:val="ListParagraph"/>
    <w:qFormat/>
    <w:pPr>
      <w:numPr>
        <w:ilvl w:val="0"/>
        <w:numId w:val="9"/>
      </w:numPr>
      <w:jc w:val="both"/>
    </w:pPr>
    <w:rPr>
      <w:rFonts w:ascii="Calibri" w:hAnsi="Calibri" w:cs="Calibri"/>
      <w:szCs w:val="22"/>
    </w:rPr>
  </w:style>
  <w:style w:type="paragraph" w:styleId="Tableheader" w:customStyle="1">
    <w:name w:val="Table_header"/>
    <w:basedOn w:val="Normal"/>
    <w:qFormat/>
    <w:pPr>
      <w:spacing w:before="120" w:after="0"/>
    </w:pPr>
    <w:rPr>
      <w:b/>
      <w:sz w:val="20"/>
      <w:szCs w:val="24"/>
    </w:rPr>
  </w:style>
  <w:style w:type="paragraph" w:styleId="Style49" w:customStyle="1">
    <w:name w:val="русгидро п.п.п.п."/>
    <w:basedOn w:val="Normal"/>
    <w:qFormat/>
    <w:pPr>
      <w:numPr>
        <w:ilvl w:val="3"/>
        <w:numId w:val="8"/>
      </w:numPr>
      <w:tabs>
        <w:tab w:val="clear" w:pos="708"/>
        <w:tab w:val="left" w:pos="1843" w:leader="none"/>
      </w:tabs>
    </w:pPr>
    <w:rPr>
      <w:szCs w:val="28"/>
    </w:rPr>
  </w:style>
  <w:style w:type="paragraph" w:styleId="112" w:customStyle="1">
    <w:name w:val="Заголовок1"/>
    <w:basedOn w:val="Normal"/>
    <w:qFormat/>
    <w:pPr>
      <w:numPr>
        <w:ilvl w:val="0"/>
        <w:numId w:val="8"/>
      </w:numPr>
      <w:spacing w:before="240" w:after="0"/>
      <w:jc w:val="center"/>
    </w:pPr>
    <w:rPr>
      <w:b/>
      <w:szCs w:val="28"/>
    </w:rPr>
  </w:style>
  <w:style w:type="paragraph" w:styleId="310" w:customStyle="1">
    <w:name w:val="Основной текст3"/>
    <w:basedOn w:val="Normal"/>
    <w:qFormat/>
    <w:pPr>
      <w:widowControl w:val="false"/>
      <w:shd w:val="clear" w:color="auto" w:fill="FFFFFF"/>
      <w:spacing w:lineRule="atLeast" w:line="0" w:before="0" w:after="120"/>
      <w:ind w:hanging="4780"/>
    </w:pPr>
    <w:rPr>
      <w:sz w:val="23"/>
      <w:szCs w:val="23"/>
    </w:rPr>
  </w:style>
  <w:style w:type="paragraph" w:styleId="Tabletext" w:customStyle="1">
    <w:name w:val="Table_text"/>
    <w:basedOn w:val="Normal"/>
    <w:qFormat/>
    <w:pPr/>
    <w:rPr>
      <w:sz w:val="20"/>
      <w:szCs w:val="24"/>
    </w:rPr>
  </w:style>
  <w:style w:type="paragraph" w:styleId="1-21" w:customStyle="1">
    <w:name w:val="Средняя сетка 1 - Акцент 21"/>
    <w:basedOn w:val="Normal"/>
    <w:qFormat/>
    <w:pPr>
      <w:spacing w:before="0" w:after="0"/>
      <w:ind w:left="720" w:firstLine="567"/>
      <w:contextualSpacing/>
    </w:pPr>
    <w:rPr/>
  </w:style>
  <w:style w:type="paragraph" w:styleId="251" w:customStyle="1">
    <w:name w:val="Основной текст 25"/>
    <w:basedOn w:val="Normal"/>
    <w:qFormat/>
    <w:pPr/>
    <w:rPr/>
  </w:style>
  <w:style w:type="paragraph" w:styleId="2-21" w:customStyle="1">
    <w:name w:val="Средняя сетка 2 - Акцент 21"/>
    <w:basedOn w:val="Normal"/>
    <w:next w:val="Normal"/>
    <w:qFormat/>
    <w:pPr/>
    <w:rPr>
      <w:i/>
      <w:iCs/>
      <w:color w:val="000000"/>
    </w:rPr>
  </w:style>
  <w:style w:type="paragraph" w:styleId="2-211" w:customStyle="1">
    <w:name w:val="Средний список 2 - Акцент 2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14" w:customStyle="1">
    <w:name w:val="Основной текст 21"/>
    <w:basedOn w:val="Normal"/>
    <w:qFormat/>
    <w:pPr/>
    <w:rPr/>
  </w:style>
  <w:style w:type="paragraph" w:styleId="Style50" w:customStyle="1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113" w:customStyle="1">
    <w:name w:val="Пункт1"/>
    <w:basedOn w:val="Normal"/>
    <w:qFormat/>
    <w:pPr>
      <w:numPr>
        <w:ilvl w:val="0"/>
        <w:numId w:val="6"/>
      </w:numPr>
      <w:tabs>
        <w:tab w:val="clear" w:pos="708"/>
        <w:tab w:val="left" w:pos="567" w:leader="none"/>
      </w:tabs>
      <w:spacing w:before="240" w:after="0"/>
      <w:ind w:left="567" w:hanging="567"/>
      <w:jc w:val="center"/>
    </w:pPr>
    <w:rPr>
      <w:rFonts w:ascii="Arial" w:hAnsi="Arial"/>
      <w:b/>
      <w:szCs w:val="28"/>
    </w:rPr>
  </w:style>
  <w:style w:type="paragraph" w:styleId="Style51" w:customStyle="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  <w:tab w:val="left" w:pos="2448" w:leader="none"/>
      </w:tabs>
      <w:ind w:left="2448" w:hanging="1008"/>
    </w:pPr>
    <w:rPr/>
  </w:style>
  <w:style w:type="paragraph" w:styleId="Closing">
    <w:name w:val="Closing"/>
    <w:basedOn w:val="Heading1"/>
    <w:qFormat/>
    <w:pPr>
      <w:spacing w:lineRule="auto" w:line="360" w:before="60" w:after="0"/>
      <w:ind w:firstLine="567"/>
      <w:jc w:val="center"/>
    </w:pPr>
    <w:rPr>
      <w:rFonts w:cs="Arial"/>
      <w:bCs/>
    </w:rPr>
  </w:style>
  <w:style w:type="paragraph" w:styleId="312" w:customStyle="1">
    <w:name w:val="заголовок 3"/>
    <w:basedOn w:val="Normal"/>
    <w:next w:val="Normal"/>
    <w:qFormat/>
    <w:pPr>
      <w:keepNext w:val="true"/>
      <w:spacing w:before="120" w:after="0"/>
      <w:ind w:firstLine="720"/>
      <w:jc w:val="center"/>
      <w:outlineLvl w:val="2"/>
    </w:pPr>
    <w:rPr>
      <w:sz w:val="20"/>
      <w:szCs w:val="24"/>
    </w:rPr>
  </w:style>
  <w:style w:type="paragraph" w:styleId="ListBullet2">
    <w:name w:val="List Bullet 2"/>
    <w:basedOn w:val="Normal"/>
    <w:qFormat/>
    <w:pPr>
      <w:widowControl w:val="false"/>
      <w:numPr>
        <w:ilvl w:val="0"/>
        <w:numId w:val="7"/>
      </w:numPr>
      <w:spacing w:before="120" w:after="0"/>
      <w:ind w:left="1429" w:hanging="357"/>
    </w:pPr>
    <w:rPr/>
  </w:style>
  <w:style w:type="paragraph" w:styleId="ListBullet3">
    <w:name w:val="List Bullet 3"/>
    <w:basedOn w:val="Normal"/>
    <w:qFormat/>
    <w:pPr>
      <w:tabs>
        <w:tab w:val="clear" w:pos="708"/>
        <w:tab w:val="left" w:pos="1080" w:leader="none"/>
        <w:tab w:val="left" w:pos="1430" w:leader="none"/>
      </w:tabs>
      <w:spacing w:before="120" w:after="0"/>
      <w:ind w:firstLine="720"/>
    </w:pPr>
    <w:rPr>
      <w:i/>
      <w:iCs/>
      <w:szCs w:val="24"/>
    </w:rPr>
  </w:style>
  <w:style w:type="paragraph" w:styleId="ListBullet">
    <w:name w:val="List Bullet"/>
    <w:basedOn w:val="Normal"/>
    <w:qFormat/>
    <w:pPr>
      <w:ind w:left="731" w:hanging="374"/>
    </w:pPr>
    <w:rPr/>
  </w:style>
  <w:style w:type="paragraph" w:styleId="Style52" w:customStyle="1">
    <w:name w:val="Пункт б/н"/>
    <w:basedOn w:val="Normal"/>
    <w:qFormat/>
    <w:pPr>
      <w:tabs>
        <w:tab w:val="clear" w:pos="708"/>
        <w:tab w:val="left" w:pos="1134" w:leader="none"/>
      </w:tabs>
    </w:pPr>
    <w:rPr/>
  </w:style>
  <w:style w:type="paragraph" w:styleId="Style53" w:customStyle="1">
    <w:name w:val="Текст таблицы"/>
    <w:basedOn w:val="Normal"/>
    <w:qFormat/>
    <w:pPr>
      <w:spacing w:before="40" w:after="40"/>
      <w:ind w:left="57" w:right="57" w:hanging="0"/>
    </w:pPr>
    <w:rPr>
      <w:szCs w:val="24"/>
    </w:rPr>
  </w:style>
  <w:style w:type="paragraph" w:styleId="ListNumber">
    <w:name w:val="List Number"/>
    <w:basedOn w:val="Normal"/>
    <w:qFormat/>
    <w:pPr>
      <w:spacing w:before="60" w:after="0"/>
    </w:pPr>
    <w:rPr>
      <w:szCs w:val="24"/>
    </w:rPr>
  </w:style>
  <w:style w:type="paragraph" w:styleId="-21" w:customStyle="1">
    <w:name w:val="Пункт-2"/>
    <w:basedOn w:val="Style36"/>
    <w:qFormat/>
    <w:pPr>
      <w:keepNext w:val="true"/>
      <w:numPr>
        <w:ilvl w:val="4"/>
        <w:numId w:val="3"/>
      </w:numPr>
      <w:ind w:left="1134" w:right="0" w:hanging="1134"/>
      <w:outlineLvl w:val="2"/>
    </w:pPr>
    <w:rPr/>
  </w:style>
  <w:style w:type="paragraph" w:styleId="Style54" w:customStyle="1">
    <w:name w:val="маркированный"/>
    <w:basedOn w:val="Normal"/>
    <w:qFormat/>
    <w:pPr/>
    <w:rPr/>
  </w:style>
  <w:style w:type="paragraph" w:styleId="Style55" w:customStyle="1">
    <w:name w:val="Структура"/>
    <w:basedOn w:val="Normal"/>
    <w:qFormat/>
    <w:pPr>
      <w:pageBreakBefore/>
      <w:pBdr>
        <w:bottom w:val="thinThickSmallGap" w:sz="24" w:space="1" w:color="000000"/>
      </w:pBdr>
      <w:tabs>
        <w:tab w:val="clear" w:pos="708"/>
        <w:tab w:val="left" w:pos="851" w:leader="none"/>
      </w:tabs>
      <w:spacing w:before="480" w:after="240"/>
      <w:ind w:right="2835" w:hanging="0"/>
      <w:outlineLvl w:val="0"/>
    </w:pPr>
    <w:rPr>
      <w:rFonts w:ascii="Arial" w:hAnsi="Arial" w:cs="Arial"/>
      <w:b/>
      <w:caps/>
      <w:sz w:val="36"/>
      <w:szCs w:val="36"/>
    </w:rPr>
  </w:style>
  <w:style w:type="paragraph" w:styleId="Style56" w:customStyle="1">
    <w:name w:val="Главы"/>
    <w:basedOn w:val="Style55"/>
    <w:next w:val="Normal"/>
    <w:qFormat/>
    <w:pPr>
      <w:pBdr>
        <w:bottom w:val="nil"/>
      </w:pBdr>
      <w:spacing w:lineRule="auto" w:line="360" w:before="1440" w:after="720"/>
      <w:ind w:right="0" w:hanging="0"/>
      <w:jc w:val="center"/>
    </w:pPr>
    <w:rPr>
      <w:spacing w:val="40"/>
      <w:sz w:val="44"/>
      <w:szCs w:val="44"/>
    </w:rPr>
  </w:style>
  <w:style w:type="paragraph" w:styleId="Style57" w:customStyle="1">
    <w:name w:val="Служебный"/>
    <w:basedOn w:val="Style56"/>
    <w:qFormat/>
    <w:pPr/>
    <w:rPr/>
  </w:style>
  <w:style w:type="paragraph" w:styleId="DocumentMap">
    <w:name w:val="Document Map"/>
    <w:basedOn w:val="Normal"/>
    <w:qFormat/>
    <w:pPr>
      <w:shd w:val="clear" w:color="auto" w:fill="000080"/>
    </w:pPr>
    <w:rPr>
      <w:rFonts w:ascii="Tahoma" w:hAnsi="Tahoma"/>
      <w:sz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qFormat/>
  </w:style>
  <w:style w:type="numbering" w:styleId="215" w:customStyle="1">
    <w:name w:val="Стиль2"/>
    <w:qFormat/>
  </w:style>
  <w:style w:type="numbering" w:styleId="115" w:customStyle="1">
    <w:name w:val="Нет списка1"/>
    <w:qFormat/>
  </w:style>
  <w:style w:type="table" w:default="1" w:styleId="a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5888</TotalTime>
  <Application>AlterOffice/3.4.0.9$Linux_X86_64 LibreOffice_project/b8daf9e823b1a5463a2f48435ddc2e8696e7d4fc</Application>
  <AppVersion>15.0000</AppVersion>
  <Pages>10</Pages>
  <Words>609</Words>
  <Characters>4542</Characters>
  <CharactersWithSpaces>5000</CharactersWithSpaces>
  <Paragraphs>154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/>
  <dcterms:modified xsi:type="dcterms:W3CDTF">2026-08-20T17:01:34Z</dcterms:modified>
  <cp:revision>496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