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sz w:val="12"/>
          <w:szCs w:val="12"/>
          <w:lang w:val="ru-RU"/>
        </w:rPr>
      </w:pPr>
      <w:r>
        <w:rPr>
          <w:b/>
          <w:sz w:val="12"/>
          <w:szCs w:val="12"/>
          <w:lang w:val="ru-RU"/>
        </w:rPr>
      </w:r>
    </w:p>
    <w:p>
      <w:pPr>
        <w:pStyle w:val="Normal"/>
        <w:shd w:val="clear" w:color="auto" w:fill="FFFFFF"/>
        <w:tabs>
          <w:tab w:val="clear" w:pos="709"/>
          <w:tab w:val="right" w:pos="9639" w:leader="none"/>
        </w:tabs>
        <w:jc w:val="right"/>
        <w:rPr>
          <w:bCs/>
          <w:sz w:val="24"/>
          <w:szCs w:val="24"/>
        </w:rPr>
      </w:pPr>
      <w:r>
        <w:rPr>
          <w:bCs/>
          <w:sz w:val="24"/>
          <w:szCs w:val="24"/>
        </w:rPr>
        <w:t>г. Пятигорск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BodyText3"/>
        <w:spacing w:before="0" w:after="0"/>
        <w:ind w:firstLine="708"/>
        <w:jc w:val="both"/>
        <w:rPr>
          <w:sz w:val="24"/>
          <w:szCs w:val="24"/>
          <w:lang w:val="ru-RU"/>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действующего на основании доверенность от 12.11.2025 №806 (доверенности (МЧД) от 13.01.2026 №841cfce5-0bb8-4268-ac08-961a66772c32), с одной стороны, и</w:t>
      </w:r>
      <w:r>
        <w:rPr>
          <w:sz w:val="24"/>
          <w:szCs w:val="24"/>
          <w:lang w:val="ru-RU"/>
        </w:rPr>
        <w:t xml:space="preserve"> </w:t>
      </w:r>
    </w:p>
    <w:p>
      <w:pPr>
        <w:pStyle w:val="BodyText3"/>
        <w:spacing w:before="0" w:after="0"/>
        <w:ind w:firstLine="708"/>
        <w:jc w:val="both"/>
        <w:rPr>
          <w:sz w:val="24"/>
          <w:szCs w:val="24"/>
          <w:lang w:val="ru-RU"/>
        </w:rPr>
      </w:pPr>
      <w:r>
        <w:rPr>
          <w:sz w:val="24"/>
          <w:szCs w:val="24"/>
          <w:lang w:val="ru-RU"/>
        </w:rPr>
        <w:t xml:space="preserve">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bCs/>
          <w:lang w:val="ru-RU"/>
        </w:rPr>
        <w:t>заключили настоящий договор (далее – «Договор») о нижеследующем:</w:t>
      </w:r>
    </w:p>
    <w:p>
      <w:pPr>
        <w:pStyle w:val="BodyText3"/>
        <w:spacing w:before="0" w:after="0"/>
        <w:jc w:val="both"/>
        <w:rPr>
          <w:sz w:val="12"/>
          <w:szCs w:val="12"/>
          <w:lang w:val="ru-RU"/>
        </w:rPr>
      </w:pPr>
      <w:r>
        <w:rPr>
          <w:sz w:val="12"/>
          <w:szCs w:val="12"/>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jc w:val="center"/>
        <w:rPr>
          <w:sz w:val="12"/>
          <w:szCs w:val="12"/>
        </w:rPr>
      </w:pPr>
      <w:r>
        <w:rPr>
          <w:sz w:val="12"/>
          <w:szCs w:val="12"/>
        </w:rPr>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12"/>
          <w:szCs w:val="12"/>
          <w:lang w:val="ru-RU"/>
        </w:rPr>
      </w:pPr>
      <w:r>
        <w:rPr>
          <w:sz w:val="12"/>
          <w:szCs w:val="12"/>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0"/>
          <w:numId w:val="0"/>
        </w:numPr>
        <w:shd w:val="clear" w:color="auto" w:fill="FFFFFF"/>
        <w:tabs>
          <w:tab w:val="left" w:pos="284" w:leader="none"/>
          <w:tab w:val="left" w:pos="709" w:leader="none"/>
        </w:tabs>
        <w:ind w:left="0" w:hanging="0"/>
        <w:jc w:val="center"/>
        <w:rPr>
          <w:b/>
          <w:sz w:val="12"/>
          <w:szCs w:val="12"/>
        </w:rPr>
      </w:pPr>
      <w:r>
        <w:rPr>
          <w:b/>
          <w:sz w:val="12"/>
          <w:szCs w:val="12"/>
        </w:rPr>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sectPr>
          <w:headerReference w:type="default" r:id="rId2"/>
          <w:type w:val="nextPage"/>
          <w:pgSz w:w="11906" w:h="16838"/>
          <w:pgMar w:left="1418" w:right="851" w:gutter="0" w:header="709" w:top="1134" w:footer="0" w:bottom="1134"/>
          <w:pgNumType w:fmt="decimal"/>
          <w:formProt w:val="false"/>
          <w:textDirection w:val="lrTb"/>
          <w:docGrid w:type="default" w:linePitch="360" w:charSpace="0"/>
        </w:sect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 xml:space="preserve">Объем и состав (содержание) Услуг по Договору определяются Заданием на оказание Услуг (Приложение № 1 к Договору). Услуги по Договору подлежат оказанию </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sz w:val="12"/>
          <w:szCs w:val="12"/>
          <w:lang w:val="ru-RU"/>
        </w:rPr>
      </w:pPr>
      <w:r>
        <w:rPr>
          <w:bCs/>
          <w:sz w:val="12"/>
          <w:szCs w:val="12"/>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sz w:val="12"/>
          <w:szCs w:val="12"/>
        </w:rPr>
      </w:pPr>
      <w:r>
        <w:rPr>
          <w:bCs/>
          <w:sz w:val="12"/>
          <w:szCs w:val="12"/>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0"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0"/>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1"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2" w:name="_Ref361319348"/>
      <w:bookmarkEnd w:id="1"/>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2"/>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sz w:val="12"/>
          <w:szCs w:val="12"/>
          <w:lang w:val="ru-RU"/>
        </w:rPr>
      </w:pPr>
      <w:r>
        <w:rPr>
          <w:bCs/>
          <w:sz w:val="12"/>
          <w:szCs w:val="12"/>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3"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3"/>
    </w:p>
    <w:p>
      <w:pPr>
        <w:pStyle w:val="ListParagraph"/>
        <w:numPr>
          <w:ilvl w:val="3"/>
          <w:numId w:val="17"/>
        </w:numPr>
        <w:shd w:val="clear" w:color="auto" w:fill="FFFFFF"/>
        <w:tabs>
          <w:tab w:val="clear" w:pos="709"/>
          <w:tab w:val="left" w:pos="1701" w:leader="none"/>
        </w:tabs>
        <w:ind w:left="0" w:firstLine="709"/>
        <w:jc w:val="both"/>
        <w:rPr/>
      </w:pPr>
      <w:bookmarkStart w:id="4"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4"/>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sz w:val="12"/>
          <w:szCs w:val="12"/>
        </w:rPr>
      </w:pPr>
      <w:r>
        <w:rPr>
          <w:sz w:val="12"/>
          <w:szCs w:val="12"/>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tabs>
          <w:tab w:val="clear" w:pos="709"/>
          <w:tab w:val="left" w:pos="1418" w:leader="none"/>
        </w:tabs>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FootnoteReference"/>
          <w:bCs/>
          <w:highlight w:val="lightGray"/>
        </w:rPr>
        <w:footnoteReference w:id="3"/>
      </w:r>
      <w:r>
        <w:rPr>
          <w:bCs/>
        </w:rPr>
        <w:t>.</w:t>
      </w:r>
    </w:p>
    <w:p>
      <w:pPr>
        <w:pStyle w:val="ListParagraph"/>
        <w:numPr>
          <w:ilvl w:val="1"/>
          <w:numId w:val="17"/>
        </w:numPr>
        <w:shd w:val="clear" w:color="auto" w:fill="FFFFFF"/>
        <w:tabs>
          <w:tab w:val="clear" w:pos="709"/>
          <w:tab w:val="left" w:pos="1134" w:leader="none"/>
        </w:tabs>
        <w:ind w:left="0" w:firstLine="709"/>
        <w:jc w:val="both"/>
        <w:rPr>
          <w:bCs/>
          <w:highlight w:val="lightGray"/>
          <w:u w:val="single"/>
        </w:rPr>
      </w:pPr>
      <w:r>
        <w:rPr>
          <w:bCs/>
          <w:highlight w:val="lightGray"/>
          <w:u w:val="single"/>
        </w:rPr>
        <w:t>Иные права и обязанности Сторон</w:t>
      </w:r>
      <w:r>
        <w:rPr>
          <w:rStyle w:val="FootnoteReference"/>
          <w:highlight w:val="lightGray"/>
          <w:u w:val="single"/>
        </w:rPr>
        <w:footnoteReference w:id="4"/>
      </w:r>
      <w:r>
        <w:rPr>
          <w:bCs/>
          <w:highlight w:val="lightGray"/>
          <w:u w:val="single"/>
        </w:rPr>
        <w:t>:</w:t>
      </w:r>
    </w:p>
    <w:p>
      <w:pPr>
        <w:pStyle w:val="ListParagraph"/>
        <w:numPr>
          <w:ilvl w:val="2"/>
          <w:numId w:val="17"/>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FootnoteReference"/>
          <w:highlight w:val="lightGray"/>
        </w:rPr>
        <w:footnoteReference w:id="5"/>
      </w:r>
      <w:r>
        <w:rPr>
          <w:highlight w:val="lightGray"/>
        </w:rPr>
        <w:t>.</w:t>
      </w:r>
    </w:p>
    <w:p>
      <w:pPr>
        <w:pStyle w:val="ListParagraph"/>
        <w:numPr>
          <w:ilvl w:val="1"/>
          <w:numId w:val="17"/>
        </w:numPr>
        <w:tabs>
          <w:tab w:val="left" w:pos="709" w:leader="none"/>
          <w:tab w:val="left" w:pos="851" w:leader="none"/>
          <w:tab w:val="left" w:pos="1418"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19"/>
        <w:tabs>
          <w:tab w:val="clear" w:pos="360"/>
        </w:tabs>
        <w:rPr>
          <w:rFonts w:ascii="Times New Roman" w:hAnsi="Times New Roman"/>
          <w:bCs/>
          <w:sz w:val="12"/>
          <w:szCs w:val="12"/>
        </w:rPr>
      </w:pPr>
      <w:r>
        <w:rPr>
          <w:rFonts w:ascii="Times New Roman" w:hAnsi="Times New Roman"/>
          <w:bCs/>
          <w:sz w:val="12"/>
          <w:szCs w:val="12"/>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5"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5"/>
    </w:p>
    <w:p>
      <w:pPr>
        <w:pStyle w:val="ListParagraph"/>
        <w:shd w:val="clear" w:color="auto" w:fill="FFFFFF"/>
        <w:tabs>
          <w:tab w:val="clear" w:pos="709"/>
          <w:tab w:val="left" w:pos="284" w:leader="none"/>
          <w:tab w:val="left" w:pos="1134" w:leader="none"/>
        </w:tabs>
        <w:ind w:left="0" w:hanging="0"/>
        <w:jc w:val="both"/>
        <w:rPr>
          <w:sz w:val="12"/>
          <w:szCs w:val="12"/>
        </w:rPr>
      </w:pPr>
      <w:r>
        <w:rPr>
          <w:sz w:val="12"/>
          <w:szCs w:val="12"/>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shd w:val="clear" w:color="auto" w:fill="FFFFFF"/>
        <w:tabs>
          <w:tab w:val="clear" w:pos="709"/>
          <w:tab w:val="left" w:pos="284" w:leader="none"/>
        </w:tabs>
        <w:jc w:val="center"/>
        <w:rPr>
          <w:sz w:val="12"/>
          <w:szCs w:val="12"/>
        </w:rPr>
      </w:pPr>
      <w:r>
        <w:rPr>
          <w:sz w:val="12"/>
          <w:szCs w:val="12"/>
        </w:rPr>
      </w:r>
    </w:p>
    <w:p>
      <w:pPr>
        <w:pStyle w:val="Normal"/>
        <w:widowControl w:val="false"/>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6"/>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FootnoteReference"/>
          <w:highlight w:val="lightGray"/>
        </w:rPr>
        <w:footnoteReference w:id="7"/>
      </w:r>
      <w:r>
        <w:rPr>
          <w:highlight w:val="lightGray"/>
        </w:rPr>
        <w:t xml:space="preserve"> / 45 (сорока пяти) календарных дней</w:t>
      </w:r>
      <w:r>
        <w:rPr>
          <w:rStyle w:val="FootnoteReference"/>
          <w:highlight w:val="lightGray"/>
        </w:rPr>
        <w:footnoteReference w:id="8"/>
      </w:r>
      <w:r>
        <w:rPr>
          <w:highlight w:val="lightGray"/>
        </w:rPr>
        <w:t xml:space="preserve"> / 7 (семи) рабочих дней</w:t>
      </w:r>
      <w:r>
        <w:rPr>
          <w:rStyle w:val="FootnoteReference"/>
          <w:highlight w:val="lightGray"/>
        </w:rPr>
        <w:footnoteReference w:id="9"/>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numPr>
          <w:ilvl w:val="0"/>
          <w:numId w:val="0"/>
        </w:numPr>
        <w:shd w:val="clear" w:color="auto" w:fill="FFFFFF"/>
        <w:tabs>
          <w:tab w:val="clear" w:pos="709"/>
          <w:tab w:val="left" w:pos="1134" w:leader="none"/>
        </w:tabs>
        <w:ind w:left="540" w:hanging="0"/>
        <w:jc w:val="center"/>
        <w:rPr>
          <w:b/>
          <w:sz w:val="12"/>
          <w:szCs w:val="12"/>
        </w:rPr>
      </w:pPr>
      <w:r>
        <w:rPr>
          <w:b/>
          <w:sz w:val="12"/>
          <w:szCs w:val="12"/>
        </w:rPr>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sz w:val="12"/>
          <w:szCs w:val="12"/>
        </w:rPr>
      </w:pPr>
      <w:r>
        <w:rPr>
          <w:bCs/>
          <w:sz w:val="12"/>
          <w:szCs w:val="12"/>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0"/>
          <w:numId w:val="0"/>
        </w:numPr>
        <w:shd w:val="clear" w:color="auto" w:fill="FFFFFF"/>
        <w:tabs>
          <w:tab w:val="clear" w:pos="709"/>
          <w:tab w:val="left" w:pos="284" w:leader="none"/>
          <w:tab w:val="left" w:pos="1276"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sz w:val="12"/>
          <w:szCs w:val="12"/>
        </w:rPr>
      </w:pPr>
      <w:r>
        <w:rPr>
          <w:bCs/>
          <w:sz w:val="12"/>
          <w:szCs w:val="12"/>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6"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6"/>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7"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7"/>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8"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8"/>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sz w:val="12"/>
          <w:szCs w:val="12"/>
        </w:rPr>
      </w:pPr>
      <w:r>
        <w:rPr>
          <w:bCs/>
          <w:sz w:val="12"/>
          <w:szCs w:val="12"/>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0"/>
          <w:numId w:val="0"/>
        </w:numPr>
        <w:tabs>
          <w:tab w:val="clear" w:pos="709"/>
          <w:tab w:val="left" w:pos="284" w:leader="none"/>
          <w:tab w:val="left" w:pos="1134" w:leader="none"/>
        </w:tabs>
        <w:ind w:left="0" w:hanging="0"/>
        <w:jc w:val="center"/>
        <w:rPr>
          <w:sz w:val="12"/>
          <w:szCs w:val="12"/>
        </w:rPr>
      </w:pPr>
      <w:r>
        <w:rPr>
          <w:sz w:val="12"/>
          <w:szCs w:val="12"/>
        </w:rPr>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bCs/>
        </w:rPr>
        <w:t xml:space="preserve">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sz w:val="12"/>
          <w:szCs w:val="12"/>
        </w:rPr>
      </w:pPr>
      <w:r>
        <w:rPr>
          <w:bCs/>
          <w:sz w:val="12"/>
          <w:szCs w:val="12"/>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numPr>
          <w:ilvl w:val="0"/>
          <w:numId w:val="0"/>
        </w:numPr>
        <w:tabs>
          <w:tab w:val="clear" w:pos="709"/>
          <w:tab w:val="left" w:pos="284" w:leader="none"/>
          <w:tab w:val="left" w:pos="1134" w:leader="none"/>
        </w:tabs>
        <w:ind w:left="0" w:hanging="0"/>
        <w:jc w:val="center"/>
        <w:rPr>
          <w:sz w:val="12"/>
          <w:szCs w:val="12"/>
        </w:rPr>
      </w:pPr>
      <w:r>
        <w:rPr>
          <w:sz w:val="12"/>
          <w:szCs w:val="12"/>
        </w:rPr>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sz w:val="12"/>
          <w:szCs w:val="12"/>
        </w:rPr>
      </w:pPr>
      <w:r>
        <w:rPr>
          <w:b/>
          <w:bCs/>
          <w:sz w:val="12"/>
          <w:szCs w:val="12"/>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sz w:val="12"/>
          <w:szCs w:val="12"/>
        </w:rPr>
      </w:pPr>
      <w:r>
        <w:rPr>
          <w:bCs/>
          <w:sz w:val="12"/>
          <w:szCs w:val="12"/>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0"/>
          <w:numId w:val="0"/>
        </w:numPr>
        <w:shd w:val="clear" w:color="auto" w:fill="FFFFFF"/>
        <w:tabs>
          <w:tab w:val="clear" w:pos="709"/>
          <w:tab w:val="left" w:pos="426" w:leader="none"/>
          <w:tab w:val="left" w:pos="1418"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9"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9"/>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0"/>
          <w:numId w:val="0"/>
        </w:numPr>
        <w:shd w:val="clear" w:color="auto" w:fill="FFFFFF"/>
        <w:tabs>
          <w:tab w:val="clear" w:pos="709"/>
          <w:tab w:val="left" w:pos="426" w:leader="none"/>
          <w:tab w:val="left" w:pos="1134" w:leader="none"/>
        </w:tabs>
        <w:ind w:left="0" w:hanging="0"/>
        <w:jc w:val="center"/>
        <w:rPr>
          <w:sz w:val="12"/>
          <w:szCs w:val="12"/>
        </w:rPr>
      </w:pPr>
      <w:r>
        <w:rPr>
          <w:sz w:val="12"/>
          <w:szCs w:val="12"/>
        </w:rPr>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0" w:name="_GoBack"/>
      <w:bookmarkEnd w:id="10"/>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sz w:val="12"/>
          <w:szCs w:val="12"/>
        </w:rPr>
      </w:pPr>
      <w:r>
        <w:rPr>
          <w:sz w:val="12"/>
          <w:szCs w:val="12"/>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0"/>
          <w:numId w:val="0"/>
        </w:numPr>
        <w:shd w:val="clear" w:color="auto" w:fill="FFFFFF"/>
        <w:tabs>
          <w:tab w:val="clear" w:pos="709"/>
          <w:tab w:val="left" w:pos="426" w:leader="none"/>
          <w:tab w:val="left" w:pos="1134" w:leader="none"/>
          <w:tab w:val="left" w:pos="1418" w:leader="none"/>
        </w:tabs>
        <w:ind w:left="0" w:hanging="0"/>
        <w:jc w:val="center"/>
        <w:rPr>
          <w:b/>
          <w:sz w:val="12"/>
          <w:szCs w:val="12"/>
        </w:rPr>
      </w:pPr>
      <w:r>
        <w:rPr>
          <w:b/>
          <w:sz w:val="12"/>
          <w:szCs w:val="12"/>
        </w:rPr>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0"/>
          <w:numId w:val="0"/>
        </w:numPr>
        <w:shd w:val="clear" w:color="auto" w:fill="FFFFFF"/>
        <w:tabs>
          <w:tab w:val="clear" w:pos="709"/>
          <w:tab w:val="left" w:pos="426" w:leader="none"/>
          <w:tab w:val="left" w:pos="1134" w:leader="none"/>
        </w:tabs>
        <w:ind w:left="0" w:hanging="0"/>
        <w:jc w:val="center"/>
        <w:rPr>
          <w:b/>
          <w:bCs/>
          <w:sz w:val="12"/>
          <w:szCs w:val="12"/>
        </w:rPr>
      </w:pPr>
      <w:r>
        <w:rPr>
          <w:b/>
          <w:bCs/>
          <w:sz w:val="12"/>
          <w:szCs w:val="12"/>
        </w:rPr>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0"/>
      </w:r>
      <w:r>
        <w:rPr>
          <w:highlight w:val="lightGray"/>
          <w:lang w:val="ru-RU" w:eastAsia="en-US"/>
        </w:rPr>
        <w:t>.</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1" w:name="_Ref361338032"/>
      <w:r>
        <w:rPr>
          <w:bCs/>
        </w:rPr>
        <w:t xml:space="preserve">14.8.3.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1"/>
      </w:r>
      <w:r>
        <w:rPr>
          <w:highlight w:val="lightGray"/>
        </w:rPr>
        <w:t>.</w:t>
      </w:r>
    </w:p>
    <w:p>
      <w:pPr>
        <w:pStyle w:val="Normal"/>
        <w:shd w:val="clear" w:color="auto" w:fill="FFFFFF"/>
        <w:tabs>
          <w:tab w:val="clear" w:pos="709"/>
          <w:tab w:val="left" w:pos="1418" w:leader="none"/>
        </w:tabs>
        <w:ind w:firstLine="426"/>
        <w:jc w:val="both"/>
        <w:rPr>
          <w:sz w:val="12"/>
          <w:szCs w:val="12"/>
          <w:lang w:val="ru-RU"/>
        </w:rPr>
      </w:pPr>
      <w:r>
        <w:rPr>
          <w:sz w:val="12"/>
          <w:szCs w:val="12"/>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ListParagraph"/>
        <w:numPr>
          <w:ilvl w:val="0"/>
          <w:numId w:val="0"/>
        </w:numPr>
        <w:shd w:val="clear" w:color="auto" w:fill="FFFFFF"/>
        <w:tabs>
          <w:tab w:val="clear" w:pos="709"/>
          <w:tab w:val="left" w:pos="426" w:leader="none"/>
        </w:tabs>
        <w:ind w:left="0" w:hanging="0"/>
        <w:jc w:val="center"/>
        <w:rPr>
          <w:b/>
          <w:bCs/>
          <w:sz w:val="12"/>
          <w:szCs w:val="12"/>
        </w:rPr>
      </w:pPr>
      <w:r>
        <w:rPr>
          <w:b/>
          <w:bCs/>
          <w:sz w:val="12"/>
          <w:szCs w:val="12"/>
        </w:rPr>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sz w:val="12"/>
          <w:szCs w:val="12"/>
          <w:lang w:val="ru-RU"/>
        </w:rPr>
      </w:pPr>
      <w:r>
        <w:rPr>
          <w:sz w:val="12"/>
          <w:szCs w:val="12"/>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Spacing"/>
              <w:widowControl w:val="false"/>
              <w:rPr>
                <w:b/>
                <w:bCs/>
              </w:rPr>
            </w:pPr>
            <w:r>
              <w:rPr>
                <w:rFonts w:cs="Times New Roman" w:ascii="Times New Roman" w:hAnsi="Times New Roman"/>
                <w:b/>
                <w:bCs/>
                <w:sz w:val="24"/>
                <w:szCs w:val="24"/>
              </w:rPr>
              <w:t>Акционерное общество «ТК РусГидро»</w:t>
            </w:r>
          </w:p>
          <w:p>
            <w:pPr>
              <w:pStyle w:val="NoSpacing"/>
              <w:widowControl w:val="false"/>
              <w:rPr>
                <w:b/>
                <w:bCs/>
              </w:rPr>
            </w:pPr>
            <w:r>
              <w:rPr>
                <w:rFonts w:cs="Times New Roman" w:ascii="Times New Roman" w:hAnsi="Times New Roman"/>
                <w:b/>
                <w:bCs/>
                <w:sz w:val="24"/>
                <w:szCs w:val="24"/>
              </w:rPr>
              <w:t>(АО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д. 101.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190201001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ОГРН 1031900676356 ОКПО 42213224</w:t>
            </w:r>
          </w:p>
          <w:p>
            <w:pPr>
              <w:pStyle w:val="NoSpacing"/>
              <w:widowControl w:val="false"/>
              <w:rPr>
                <w:b/>
                <w:bCs/>
              </w:rPr>
            </w:pPr>
            <w:r>
              <w:rPr>
                <w:rFonts w:cs="Times New Roman" w:ascii="Times New Roman" w:hAnsi="Times New Roman"/>
                <w:b/>
                <w:bCs/>
                <w:sz w:val="24"/>
                <w:szCs w:val="24"/>
              </w:rPr>
              <w:t>Южный филиал 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Телефон, факс: +7(86554)4-16-55</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263243001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ОКПО 21967982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р/с 40702810795000000002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b/>
                <w:lang w:val="ru-RU"/>
              </w:rPr>
              <w:t>БИК 044525823 к/с 30101810200000000823</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w:t>
            </w:r>
            <w:r>
              <w:rPr>
                <w:rFonts w:cs="Times New Roman"/>
                <w:sz w:val="24"/>
                <w:szCs w:val="24"/>
                <w:highlight w:val="lightGray"/>
              </w:rPr>
              <w:t>В.А. Изотов</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VBand="0" w:noHBand="0" w:lastColumn="1" w:firstColumn="1" w:lastRow="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left="4820" w:hanging="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6"/>
          <w:headerReference w:type="first" r:id="rId7"/>
          <w:footerReference w:type="default" r:id="rId8"/>
          <w:footerReference w:type="first" r:id="rId9"/>
          <w:footnotePr>
            <w:numFmt w:val="decimal"/>
          </w:footnotePr>
          <w:type w:val="nextPage"/>
          <w:pgSz w:w="11906" w:h="16838"/>
          <w:pgMar w:left="1418" w:right="851" w:gutter="0" w:header="709" w:top="1276"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lang w:val="ru-RU"/>
        </w:rPr>
      </w:pPr>
      <w:r>
        <w:rPr>
          <w:sz w:val="22"/>
          <w:szCs w:val="22"/>
          <w:lang w:val="ru-RU"/>
        </w:rPr>
        <w:t xml:space="preserve">                                                                                                               </w:t>
      </w:r>
      <w:r>
        <w:rPr>
          <w:sz w:val="22"/>
          <w:szCs w:val="22"/>
          <w:lang w:val="ru-RU"/>
        </w:rPr>
        <w:t>от «____» ________ 20 _ г. №_______</w:t>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79"/>
        <w:gridCol w:w="825"/>
        <w:gridCol w:w="1219"/>
        <w:gridCol w:w="1456"/>
        <w:gridCol w:w="2473"/>
        <w:gridCol w:w="3056"/>
        <w:gridCol w:w="2913"/>
        <w:gridCol w:w="1019"/>
        <w:gridCol w:w="2178"/>
      </w:tblGrid>
      <w:tr>
        <w:trPr>
          <w:trHeight w:val="1327"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474"/>
        <w:gridCol w:w="1762"/>
        <w:gridCol w:w="1175"/>
        <w:gridCol w:w="1173"/>
        <w:gridCol w:w="1322"/>
        <w:gridCol w:w="2205"/>
        <w:gridCol w:w="1909"/>
        <w:gridCol w:w="1323"/>
        <w:gridCol w:w="3075"/>
      </w:tblGrid>
      <w:tr>
        <w:trPr>
          <w:trHeight w:val="1289" w:hRule="atLeast"/>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2"/>
              <w:t></w:t>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3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3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537"/>
        <w:gridCol w:w="1849"/>
        <w:gridCol w:w="1232"/>
        <w:gridCol w:w="1229"/>
        <w:gridCol w:w="1386"/>
        <w:gridCol w:w="1231"/>
        <w:gridCol w:w="2003"/>
        <w:gridCol w:w="1077"/>
        <w:gridCol w:w="1231"/>
        <w:gridCol w:w="922"/>
        <w:gridCol w:w="769"/>
        <w:gridCol w:w="953"/>
      </w:tblGrid>
      <w:tr>
        <w:trPr>
          <w:trHeight w:val="566"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jc w:val="center"/>
        <w:rPr>
          <w:i/>
          <w:i/>
          <w:color w:val="FF0000"/>
          <w:lang w:val="ru-RU"/>
        </w:rPr>
      </w:pPr>
      <w:r>
        <w:rPr>
          <w:i/>
          <w:color w:val="FF0000"/>
          <w:lang w:val="ru-RU"/>
        </w:rPr>
      </w:r>
    </w:p>
    <w:p>
      <w:pPr>
        <w:pStyle w:val="Normal"/>
        <w:rPr>
          <w:i/>
          <w:i/>
          <w:color w:val="FF0000"/>
          <w:lang w:val="ru-RU"/>
        </w:rPr>
      </w:pPr>
      <w:r>
        <w:rPr/>
      </w:r>
    </w:p>
    <w:sectPr>
      <w:headerReference w:type="default" r:id="rId10"/>
      <w:headerReference w:type="first" r:id="rId11"/>
      <w:footerReference w:type="default" r:id="rId12"/>
      <w:footerReference w:type="first" r:id="rId13"/>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11">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2">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5.3.2_ЮФ</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Pr>
        <w:sz w:val="20"/>
        <w:szCs w:val="20"/>
        <w:lang w:val="ru-RU"/>
      </w:rPr>
      <w:t>25</w:t>
    </w:r>
    <w:r>
      <w:rPr>
        <w:sz w:val="20"/>
        <w:szCs w:val="20"/>
        <w:lang w:val="ru-RU"/>
      </w:rPr>
      <w:fldChar w:fldCharType="end"/>
    </w:r>
  </w:p>
  <w:p>
    <w:pPr>
      <w:pStyle w:val="Header"/>
      <w:jc w:val="right"/>
      <w:rPr>
        <w:sz w:val="20"/>
        <w:szCs w:val="20"/>
        <w:lang w:val="ru-RU"/>
      </w:rPr>
    </w:pPr>
    <w:r>
      <w:rPr>
        <w:sz w:val="20"/>
        <w:szCs w:val="20"/>
        <w:lang w:val="ru-RU"/>
      </w:rPr>
      <w:t>ТФД 5.3.2_ЮФ</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Pr>
        <w:sz w:val="20"/>
        <w:szCs w:val="20"/>
        <w:lang w:val="ru-RU"/>
      </w:rPr>
      <w:t>3</w:t>
    </w:r>
    <w:r>
      <w:rPr>
        <w:sz w:val="20"/>
        <w:szCs w:val="20"/>
        <w:lang w:val="ru-RU"/>
      </w:rPr>
      <w:fldChar w:fldCharType="end"/>
    </w:r>
  </w:p>
  <w:p>
    <w:pPr>
      <w:pStyle w:val="Header"/>
      <w:jc w:val="right"/>
      <w:rPr>
        <w:sz w:val="20"/>
        <w:szCs w:val="20"/>
        <w:lang w:val="ru-RU"/>
      </w:rPr>
    </w:pPr>
    <w:r>
      <w:rPr>
        <w:sz w:val="20"/>
        <w:szCs w:val="20"/>
        <w:lang w:val="ru-RU"/>
      </w:rPr>
      <w:t>ТФД 5.3.2_ЮФ</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5.3.2_ЮФ</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8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Relationship Id="rId24" Type="http://schemas.openxmlformats.org/officeDocument/2006/relationships/customXml" Target="../customXml/item6.xml"/><Relationship Id="rId25"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AlterOffice/3.4.0.9$Linux_X86_64 LibreOffice_project/b8daf9e823b1a5463a2f48435ddc2e8696e7d4fc</Application>
  <AppVersion>15.0000</AppVersion>
  <Pages>26</Pages>
  <Words>8303</Words>
  <Characters>58585</Characters>
  <CharactersWithSpaces>66889</CharactersWithSpaces>
  <Paragraphs>471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romanenkoav@corp.gidroogk.com</cp:lastModifiedBy>
  <cp:lastPrinted>2016-12-15T13:00:00Z</cp:lastPrinted>
  <dcterms:modified xsi:type="dcterms:W3CDTF">2026-01-20T14:45:24Z</dcterms:modified>
  <cp:revision>12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