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5.xml" ContentType="application/vnd.openxmlformats-officedocument.wordprocessingml.header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44"/>
        <w:keepNext w:val="true"/>
        <w:keepLines w:val="true"/>
        <w:pBdr/>
        <w:spacing/>
        <w:ind/>
        <w:jc w:val="right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44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44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44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44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44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44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44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44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44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44"/>
        <w:keepNext w:val="true"/>
        <w:keepLines w:val="true"/>
        <w:pBdr/>
        <w:spacing/>
        <w:ind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требования.</w:t>
      </w:r>
      <w:r>
        <w:rPr>
          <w:sz w:val="26"/>
          <w:szCs w:val="26"/>
        </w:rPr>
      </w:r>
    </w:p>
    <w:p>
      <w:pPr>
        <w:pStyle w:val="744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44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744"/>
        <w:keepNext w:val="true"/>
        <w:keepLines w:val="true"/>
        <w:pBdr/>
        <w:bidi w:val="false"/>
        <w:spacing/>
        <w:ind/>
        <w:jc w:val="center"/>
        <w:rPr>
          <w:color w:val="auto"/>
          <w:sz w:val="26"/>
          <w:szCs w:val="26"/>
        </w:rPr>
      </w:pPr>
      <w:r>
        <w:rPr>
          <w:b w:val="0"/>
          <w:i w:val="0"/>
          <w:strike w:val="0"/>
          <w:color w:val="auto"/>
          <w:sz w:val="26"/>
          <w:szCs w:val="26"/>
          <w:u w:val="none"/>
        </w:rPr>
        <w:t xml:space="preserve">ОКПД2 95.11.10.120. </w:t>
      </w:r>
      <w:r>
        <w:rPr>
          <w:b w:val="0"/>
          <w:i w:val="0"/>
          <w:strike w:val="0"/>
          <w:color w:val="auto"/>
          <w:sz w:val="26"/>
          <w:szCs w:val="26"/>
          <w:u w:val="none"/>
        </w:rPr>
        <w:t xml:space="preserve">Ремонт копировально-множительной</w:t>
      </w:r>
      <w:r>
        <w:rPr>
          <w:color w:val="auto"/>
          <w:sz w:val="26"/>
          <w:szCs w:val="26"/>
        </w:rPr>
      </w:r>
    </w:p>
    <w:p>
      <w:pPr>
        <w:pStyle w:val="744"/>
        <w:pBdr/>
        <w:bidi w:val="false"/>
        <w:spacing/>
        <w:ind/>
        <w:jc w:val="center"/>
        <w:rPr>
          <w:color w:val="auto"/>
          <w:sz w:val="26"/>
          <w:szCs w:val="26"/>
        </w:rPr>
      </w:pPr>
      <w:r>
        <w:rPr>
          <w:b w:val="0"/>
          <w:i w:val="0"/>
          <w:strike w:val="0"/>
          <w:color w:val="auto"/>
          <w:sz w:val="26"/>
          <w:szCs w:val="26"/>
          <w:u w:val="none"/>
        </w:rPr>
        <w:t xml:space="preserve"> </w:t>
      </w:r>
      <w:r>
        <w:rPr>
          <w:b w:val="0"/>
          <w:i w:val="0"/>
          <w:strike w:val="0"/>
          <w:color w:val="auto"/>
          <w:sz w:val="26"/>
          <w:szCs w:val="26"/>
          <w:u w:val="none"/>
        </w:rPr>
        <w:t xml:space="preserve">и вычислительной техники </w:t>
      </w:r>
      <w:r>
        <w:rPr>
          <w:b w:val="0"/>
          <w:i w:val="0"/>
          <w:strike w:val="0"/>
          <w:color w:val="auto"/>
          <w:sz w:val="26"/>
          <w:szCs w:val="26"/>
          <w:u w:val="none"/>
        </w:rPr>
        <w:t xml:space="preserve">в 2027 году</w:t>
      </w:r>
      <w:r>
        <w:rPr>
          <w:color w:val="auto"/>
          <w:sz w:val="26"/>
          <w:szCs w:val="26"/>
        </w:rPr>
      </w:r>
    </w:p>
    <w:p>
      <w:pPr>
        <w:pStyle w:val="744"/>
        <w:pBdr/>
        <w:spacing/>
        <w:ind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744"/>
        <w:pBdr/>
        <w:spacing/>
        <w:ind/>
        <w:jc w:val="center"/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p>
      <w:pPr>
        <w:pStyle w:val="744"/>
        <w:pBdr/>
        <w:spacing/>
        <w:ind/>
        <w:jc w:val="center"/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p>
      <w:pPr>
        <w:pStyle w:val="744"/>
        <w:pBdr/>
        <w:spacing/>
        <w:ind/>
        <w:jc w:val="center"/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p>
      <w:pPr>
        <w:pStyle w:val="744"/>
        <w:pBdr/>
        <w:spacing/>
        <w:ind/>
        <w:jc w:val="center"/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p>
      <w:pPr>
        <w:pStyle w:val="744"/>
        <w:pBdr/>
        <w:spacing/>
        <w:ind/>
        <w:jc w:val="center"/>
        <w:rPr>
          <w:lang w:val="en-US"/>
        </w:rPr>
        <w:sectPr>
          <w:headerReference w:type="default" r:id="rId9"/>
          <w:footnotePr/>
          <w:endnotePr/>
          <w:type w:val="nextPage"/>
          <w:pgSz w:h="16838" w:orient="portrait" w:w="11906"/>
          <w:pgMar w:top="1134" w:right="709" w:bottom="992" w:left="1134" w:header="680" w:footer="0" w:gutter="0"/>
          <w:cols w:num="1" w:sep="0" w:space="1701" w:equalWidth="1"/>
        </w:sectPr>
      </w:pPr>
      <w:r>
        <w:rPr>
          <w:lang w:val="en-US"/>
        </w:rPr>
      </w:r>
      <w:r>
        <w:rPr>
          <w:lang w:val="en-US"/>
        </w:rPr>
      </w:r>
    </w:p>
    <w:p>
      <w:pPr>
        <w:pStyle w:val="744"/>
        <w:pBdr/>
        <w:spacing/>
        <w:ind/>
        <w:jc w:val="center"/>
        <w:rPr>
          <w:sz w:val="26"/>
          <w:szCs w:val="26"/>
        </w:rPr>
      </w:pPr>
      <w:r>
        <w:rPr>
          <w:b/>
        </w:rPr>
        <w:t xml:space="preserve">СОДЕРЖАНИЕ</w:t>
      </w:r>
      <w:r>
        <w:rPr>
          <w:sz w:val="26"/>
          <w:szCs w:val="26"/>
        </w:rPr>
      </w:r>
    </w:p>
    <w:sdt>
      <w:sdtPr>
        <w15:appearance w15:val="boundingBox"/>
        <w:docPartObj>
          <w:docPartGallery w:val="Table of Contents"/>
          <w:docPartUnique w:val="true"/>
        </w:docPartObj>
        <w:rPr/>
      </w:sdtPr>
      <w:sdtContent>
        <w:p>
          <w:pPr>
            <w:pStyle w:val="782"/>
            <w:pBdr/>
            <w:tabs>
              <w:tab w:val="clear" w:leader="none" w:pos="708"/>
              <w:tab w:val="right" w:leader="dot" w:pos="10040"/>
            </w:tabs>
            <w:spacing/>
            <w:ind/>
            <w:rPr>
              <w:lang w:val="en-US"/>
            </w:rPr>
          </w:pPr>
          <w:r>
            <w:fldChar w:fldCharType="begin"/>
          </w:r>
          <w:r>
            <w:rPr>
              <w:rStyle w:val="768"/>
              <w:vanish w:val="0"/>
            </w:rPr>
            <w:instrText xml:space="preserve"> TOC \z \o "1-4" \u \h</w:instrText>
          </w:r>
          <w:r>
            <w:rPr>
              <w:rStyle w:val="768"/>
              <w:vanish w:val="0"/>
            </w:rPr>
            <w:fldChar w:fldCharType="separate"/>
          </w:r>
          <w:hyperlink w:tooltip="#__RefHeading___Toc1490_1404068585" w:anchor="__RefHeading___Toc1490_1404068585" w:history="1">
            <w:r>
              <w:rPr>
                <w:rStyle w:val="768"/>
                <w:vanish w:val="0"/>
              </w:rPr>
              <w:t xml:space="preserve">1. Общие сведения</w:t>
              <w:tab/>
              <w:t xml:space="preserve">3</w:t>
            </w:r>
          </w:hyperlink>
          <w:r/>
          <w:r>
            <w:rPr>
              <w:lang w:val="en-US"/>
            </w:rPr>
          </w:r>
        </w:p>
        <w:p>
          <w:pPr>
            <w:pStyle w:val="784"/>
            <w:pBdr/>
            <w:tabs>
              <w:tab w:val="clear" w:leader="none" w:pos="708"/>
              <w:tab w:val="right" w:leader="dot" w:pos="10040"/>
            </w:tabs>
            <w:spacing/>
            <w:ind/>
            <w:rPr>
              <w:lang w:val="en-US"/>
            </w:rPr>
          </w:pPr>
          <w:r/>
          <w:hyperlink w:tooltip="#__RefHeading___Toc1492_1404068585" w:anchor="__RefHeading___Toc1492_1404068585" w:history="1">
            <w:r>
              <w:rPr>
                <w:rStyle w:val="768"/>
                <w:vanish w:val="0"/>
              </w:rPr>
              <w:t xml:space="preserve">1.1. Наименование объекта, место выполнения работ</w:t>
              <w:tab/>
              <w:t xml:space="preserve">3</w:t>
            </w:r>
          </w:hyperlink>
          <w:r/>
          <w:r>
            <w:rPr>
              <w:lang w:val="en-US"/>
            </w:rPr>
          </w:r>
        </w:p>
        <w:p>
          <w:pPr>
            <w:pStyle w:val="784"/>
            <w:pBdr/>
            <w:tabs>
              <w:tab w:val="clear" w:leader="none" w:pos="708"/>
              <w:tab w:val="right" w:leader="dot" w:pos="10040"/>
            </w:tabs>
            <w:spacing/>
            <w:ind/>
            <w:rPr>
              <w:lang w:val="en-US"/>
            </w:rPr>
          </w:pPr>
          <w:r/>
          <w:hyperlink w:tooltip="#__RefHeading___Toc1494_1404068585" w:anchor="__RefHeading___Toc1494_1404068585" w:history="1">
            <w:r>
              <w:rPr>
                <w:rStyle w:val="768"/>
                <w:vanish w:val="0"/>
              </w:rPr>
              <w:t xml:space="preserve">1.2. Цель использования закупаемой услуги.</w:t>
              <w:tab/>
              <w:t xml:space="preserve">3</w:t>
            </w:r>
          </w:hyperlink>
          <w:r/>
          <w:r>
            <w:rPr>
              <w:lang w:val="en-US"/>
            </w:rPr>
          </w:r>
        </w:p>
        <w:p>
          <w:pPr>
            <w:pStyle w:val="784"/>
            <w:pBdr/>
            <w:tabs>
              <w:tab w:val="clear" w:leader="none" w:pos="708"/>
              <w:tab w:val="right" w:leader="dot" w:pos="10040"/>
            </w:tabs>
            <w:spacing/>
            <w:ind/>
            <w:rPr>
              <w:lang w:val="en-US"/>
            </w:rPr>
          </w:pPr>
          <w:r/>
          <w:hyperlink w:tooltip="#__RefHeading___Toc1496_1404068585" w:anchor="__RefHeading___Toc1496_1404068585" w:history="1">
            <w:r>
              <w:rPr>
                <w:rStyle w:val="768"/>
                <w:vanish w:val="0"/>
              </w:rPr>
              <w:t xml:space="preserve">1.3. Существующее положение.</w:t>
              <w:tab/>
              <w:t xml:space="preserve">3</w:t>
            </w:r>
          </w:hyperlink>
          <w:r/>
          <w:r>
            <w:rPr>
              <w:lang w:val="en-US"/>
            </w:rPr>
          </w:r>
        </w:p>
        <w:p>
          <w:pPr>
            <w:pStyle w:val="782"/>
            <w:pBdr/>
            <w:tabs>
              <w:tab w:val="clear" w:leader="none" w:pos="708"/>
              <w:tab w:val="right" w:leader="dot" w:pos="10040"/>
            </w:tabs>
            <w:spacing/>
            <w:ind/>
            <w:rPr>
              <w:lang w:val="en-US"/>
            </w:rPr>
          </w:pPr>
          <w:r/>
          <w:hyperlink w:tooltip="#__RefHeading___Toc1498_1404068585" w:anchor="__RefHeading___Toc1498_1404068585" w:history="1">
            <w:r>
              <w:rPr>
                <w:rStyle w:val="768"/>
                <w:vanish w:val="0"/>
              </w:rPr>
              <w:t xml:space="preserve">2. Требования заказчика</w:t>
              <w:tab/>
              <w:t xml:space="preserve">4</w:t>
            </w:r>
          </w:hyperlink>
          <w:r/>
          <w:r>
            <w:rPr>
              <w:lang w:val="en-US"/>
            </w:rPr>
          </w:r>
        </w:p>
        <w:p>
          <w:pPr>
            <w:pStyle w:val="783"/>
            <w:pBdr/>
            <w:tabs>
              <w:tab w:val="clear" w:leader="none" w:pos="1100"/>
              <w:tab w:val="right" w:leader="dot" w:pos="10040"/>
              <w:tab w:val="clear" w:leader="none" w:pos="10053"/>
            </w:tabs>
            <w:spacing/>
            <w:ind/>
            <w:rPr>
              <w:lang w:val="en-US"/>
            </w:rPr>
          </w:pPr>
          <w:r/>
          <w:hyperlink w:tooltip="#__RefHeading___Toc1500_1404068585" w:anchor="__RefHeading___Toc1500_1404068585" w:history="1">
            <w:r>
              <w:rPr>
                <w:rStyle w:val="768"/>
                <w:vanish w:val="0"/>
              </w:rPr>
              <w:t xml:space="preserve">2.1. Требования к объемам и срокам выполнения работ</w:t>
              <w:tab/>
              <w:t xml:space="preserve">4</w:t>
            </w:r>
          </w:hyperlink>
          <w:r/>
          <w:r>
            <w:rPr>
              <w:lang w:val="en-US"/>
            </w:rPr>
          </w:r>
        </w:p>
        <w:p>
          <w:pPr>
            <w:pStyle w:val="783"/>
            <w:pBdr/>
            <w:tabs>
              <w:tab w:val="clear" w:leader="none" w:pos="1100"/>
              <w:tab w:val="right" w:leader="dot" w:pos="10040"/>
              <w:tab w:val="clear" w:leader="none" w:pos="10053"/>
            </w:tabs>
            <w:spacing/>
            <w:ind/>
            <w:rPr>
              <w:lang w:val="en-US"/>
            </w:rPr>
          </w:pPr>
          <w:r/>
          <w:hyperlink w:tooltip="#__RefHeading___Toc1502_1404068585" w:anchor="__RefHeading___Toc1502_1404068585" w:history="1">
            <w:r>
              <w:rPr>
                <w:rStyle w:val="768"/>
                <w:vanish w:val="0"/>
              </w:rPr>
              <w:t xml:space="preserve">2.1.1. Перечень и объем выполняемых работ</w:t>
              <w:tab/>
              <w:t xml:space="preserve">4</w:t>
            </w:r>
          </w:hyperlink>
          <w:r/>
          <w:r>
            <w:rPr>
              <w:lang w:val="en-US"/>
            </w:rPr>
          </w:r>
        </w:p>
        <w:p>
          <w:pPr>
            <w:pStyle w:val="783"/>
            <w:pBdr/>
            <w:tabs>
              <w:tab w:val="clear" w:leader="none" w:pos="1100"/>
              <w:tab w:val="right" w:leader="dot" w:pos="10040"/>
              <w:tab w:val="clear" w:leader="none" w:pos="10053"/>
            </w:tabs>
            <w:spacing/>
            <w:ind/>
            <w:rPr>
              <w:lang w:val="en-US"/>
            </w:rPr>
          </w:pPr>
          <w:r/>
          <w:hyperlink w:tooltip="#__RefHeading___Toc1504_1404068585" w:anchor="__RefHeading___Toc1504_1404068585" w:history="1">
            <w:r>
              <w:rPr>
                <w:rStyle w:val="768"/>
                <w:vanish w:val="0"/>
              </w:rPr>
              <w:t xml:space="preserve">Таблица 1. Перечень и объем выполняемых работ</w:t>
              <w:tab/>
              <w:t xml:space="preserve">4</w:t>
            </w:r>
          </w:hyperlink>
          <w:r/>
          <w:r>
            <w:rPr>
              <w:lang w:val="en-US"/>
            </w:rPr>
          </w:r>
        </w:p>
        <w:p>
          <w:pPr>
            <w:pStyle w:val="783"/>
            <w:pBdr/>
            <w:tabs>
              <w:tab w:val="clear" w:leader="none" w:pos="1100"/>
              <w:tab w:val="right" w:leader="dot" w:pos="10040"/>
              <w:tab w:val="clear" w:leader="none" w:pos="10053"/>
            </w:tabs>
            <w:spacing/>
            <w:ind/>
            <w:rPr>
              <w:lang w:val="en-US"/>
            </w:rPr>
          </w:pPr>
          <w:r/>
          <w:hyperlink w:tooltip="#__RefHeading___Toc1506_1404068585" w:anchor="__RefHeading___Toc1506_1404068585" w:history="1">
            <w:r>
              <w:rPr>
                <w:rStyle w:val="768"/>
                <w:vanish w:val="0"/>
              </w:rPr>
              <w:t xml:space="preserve">2.2. Требования к объемам и срокам выполнения работ</w:t>
              <w:tab/>
              <w:t xml:space="preserve">6</w:t>
            </w:r>
          </w:hyperlink>
          <w:r/>
          <w:r>
            <w:rPr>
              <w:lang w:val="en-US"/>
            </w:rPr>
          </w:r>
        </w:p>
        <w:p>
          <w:pPr>
            <w:pStyle w:val="783"/>
            <w:pBdr/>
            <w:tabs>
              <w:tab w:val="clear" w:leader="none" w:pos="1100"/>
              <w:tab w:val="right" w:leader="dot" w:pos="10040"/>
              <w:tab w:val="clear" w:leader="none" w:pos="10053"/>
            </w:tabs>
            <w:spacing/>
            <w:ind/>
            <w:rPr>
              <w:lang w:val="en-US"/>
            </w:rPr>
          </w:pPr>
          <w:r/>
          <w:hyperlink w:tooltip="#__RefHeading___Toc1508_1404068585" w:anchor="__RefHeading___Toc1508_1404068585" w:history="1">
            <w:r>
              <w:rPr>
                <w:rStyle w:val="768"/>
                <w:vanish w:val="0"/>
              </w:rPr>
              <w:t xml:space="preserve">Таблица 2. Требования к качеству выполняемых работ</w:t>
              <w:tab/>
              <w:t xml:space="preserve">6</w:t>
            </w:r>
          </w:hyperlink>
          <w:r>
            <w:rPr>
              <w:rStyle w:val="768"/>
              <w:vanish w:val="0"/>
            </w:rPr>
            <w:fldChar w:fldCharType="end"/>
          </w:r>
          <w:r>
            <w:rPr>
              <w:lang w:val="en-US"/>
            </w:rPr>
          </w:r>
        </w:p>
      </w:sdtContent>
    </w:sdt>
    <w:p>
      <w:pPr>
        <w:pStyle w:val="782"/>
        <w:pBdr/>
        <w:tabs>
          <w:tab w:val="clear" w:leader="none" w:pos="708"/>
          <w:tab w:val="right" w:leader="dot" w:pos="10053"/>
        </w:tabs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46"/>
        <w:pBdr/>
        <w:spacing/>
        <w:ind/>
        <w:rPr/>
      </w:pPr>
      <w:r/>
      <w:r/>
    </w:p>
    <w:p>
      <w:pPr>
        <w:pStyle w:val="744"/>
        <w:keepNext w:val="true"/>
        <w:keepLines w:val="true"/>
        <w:pBdr/>
        <w:spacing/>
        <w:ind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 w:clear="all"/>
      </w:r>
      <w:r>
        <w:rPr>
          <w:rFonts w:eastAsia="Calibri"/>
          <w:b/>
          <w:i/>
          <w:sz w:val="24"/>
          <w:szCs w:val="24"/>
        </w:rPr>
      </w:r>
    </w:p>
    <w:p>
      <w:pPr>
        <w:pStyle w:val="745"/>
        <w:keepNext w:val="true"/>
        <w:widowControl w:val="true"/>
        <w:numPr>
          <w:ilvl w:val="0"/>
          <w:numId w:val="1"/>
        </w:numPr>
        <w:pBdr/>
        <w:bidi w:val="false"/>
        <w:spacing w:after="60" w:before="240"/>
        <w:ind w:right="0" w:hanging="340" w:left="3458"/>
        <w:jc w:val="left"/>
        <w:rPr/>
      </w:pPr>
      <w:r/>
      <w:bookmarkStart w:id="0" w:name="__RefHeading___Toc1490_1404068585"/>
      <w:r/>
      <w:bookmarkStart w:id="1" w:name="_Toc155972253"/>
      <w:r/>
      <w:bookmarkStart w:id="2" w:name="_Toc51339692"/>
      <w:r/>
      <w:bookmarkEnd w:id="0"/>
      <w:r>
        <w:t xml:space="preserve">Общие сведения</w:t>
      </w:r>
      <w:bookmarkEnd w:id="1"/>
      <w:r/>
      <w:bookmarkEnd w:id="2"/>
      <w:r/>
      <w:r/>
    </w:p>
    <w:p>
      <w:pPr>
        <w:pStyle w:val="748"/>
        <w:numPr>
          <w:ilvl w:val="1"/>
          <w:numId w:val="1"/>
        </w:numPr>
        <w:pBdr/>
        <w:spacing/>
        <w:ind/>
        <w:rPr/>
      </w:pPr>
      <w:r/>
      <w:bookmarkStart w:id="3" w:name="__RefHeading___Toc1492_1404068585"/>
      <w:r/>
      <w:bookmarkStart w:id="4" w:name="_Toc46743505"/>
      <w:r/>
      <w:bookmarkStart w:id="5" w:name="_Toc155972254"/>
      <w:r/>
      <w:bookmarkEnd w:id="3"/>
      <w:r>
        <w:t xml:space="preserve">Наименование объекта, место выполнения работ</w:t>
      </w:r>
      <w:bookmarkEnd w:id="4"/>
      <w:r/>
      <w:bookmarkEnd w:id="5"/>
      <w:r/>
      <w:r/>
    </w:p>
    <w:p>
      <w:pPr>
        <w:pStyle w:val="744"/>
        <w:pBdr/>
        <w:spacing/>
        <w:ind w:firstLine="709"/>
        <w:jc w:val="both"/>
        <w:rPr>
          <w:color w:val="000000"/>
          <w:highlight w:val="none"/>
          <w:shd w:val="clear" w:color="auto" w:fill="auto"/>
        </w:rPr>
      </w:pPr>
      <w:r>
        <w:rPr>
          <w:color w:val="000000"/>
          <w:sz w:val="24"/>
          <w:szCs w:val="24"/>
          <w:shd w:val="clear" w:color="auto" w:fill="auto"/>
        </w:rPr>
        <w:t xml:space="preserve">Выполнение работ по ремонту копировально-множительной </w:t>
      </w:r>
      <w:r>
        <w:rPr>
          <w:b w:val="0"/>
          <w:i w:val="0"/>
          <w:strike w:val="0"/>
          <w:color w:val="000000"/>
          <w:sz w:val="22"/>
          <w:szCs w:val="24"/>
          <w:u w:val="none"/>
          <w:shd w:val="clear" w:color="auto" w:fill="auto"/>
        </w:rPr>
        <w:t xml:space="preserve">техники для нужд АО «Сахаэнерго»</w:t>
      </w:r>
      <w:r>
        <w:rPr>
          <w:color w:val="000000"/>
          <w:highlight w:val="none"/>
          <w:shd w:val="clear" w:color="auto" w:fill="auto"/>
        </w:rPr>
      </w:r>
    </w:p>
    <w:p>
      <w:pPr>
        <w:pStyle w:val="748"/>
        <w:numPr>
          <w:ilvl w:val="1"/>
          <w:numId w:val="1"/>
        </w:numPr>
        <w:pBdr/>
        <w:spacing/>
        <w:ind/>
        <w:rPr/>
      </w:pPr>
      <w:r/>
      <w:bookmarkStart w:id="6" w:name="__RefHeading___Toc1494_1404068585"/>
      <w:r/>
      <w:bookmarkStart w:id="7" w:name="_Toc155972255"/>
      <w:r/>
      <w:bookmarkStart w:id="8" w:name="_Toc46743507"/>
      <w:r/>
      <w:bookmarkEnd w:id="6"/>
      <w:r>
        <w:t xml:space="preserve">Цель </w:t>
      </w:r>
      <w:bookmarkEnd w:id="8"/>
      <w:r>
        <w:t xml:space="preserve">использования закупаемой услуги.</w:t>
      </w:r>
      <w:bookmarkEnd w:id="7"/>
      <w:r/>
      <w:r/>
    </w:p>
    <w:p>
      <w:pPr>
        <w:pStyle w:val="744"/>
        <w:pBdr/>
        <w:spacing/>
        <w:ind w:firstLine="709"/>
        <w:jc w:val="both"/>
        <w:rPr/>
      </w:pPr>
      <w:r>
        <w:rPr>
          <w:sz w:val="24"/>
          <w:szCs w:val="24"/>
        </w:rPr>
        <w:t xml:space="preserve">Ремонт копировально-множительной техники для их дальнейшего использования.</w:t>
      </w:r>
      <w:r/>
    </w:p>
    <w:p>
      <w:pPr>
        <w:pStyle w:val="744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8"/>
        <w:pBdr/>
        <w:spacing/>
        <w:ind w:firstLine="0" w:left="1225"/>
        <w:rPr/>
      </w:pPr>
      <w:r/>
      <w:bookmarkStart w:id="9" w:name="__RefHeading___Toc1496_1404068585"/>
      <w:r/>
      <w:bookmarkEnd w:id="9"/>
      <w:r>
        <w:rPr>
          <w:sz w:val="24"/>
          <w:szCs w:val="24"/>
        </w:rPr>
        <w:t xml:space="preserve">1.3. </w:t>
      </w:r>
      <w:bookmarkStart w:id="10" w:name="_Toc127444551"/>
      <w:r>
        <w:rPr>
          <w:sz w:val="24"/>
          <w:szCs w:val="24"/>
          <w:lang w:val="ru-RU"/>
        </w:rPr>
        <w:t xml:space="preserve">Существующее положение.</w:t>
      </w:r>
      <w:bookmarkEnd w:id="10"/>
      <w:r/>
      <w:r/>
    </w:p>
    <w:p>
      <w:pPr>
        <w:pStyle w:val="744"/>
        <w:pBdr/>
        <w:tabs>
          <w:tab w:val="left" w:leader="none" w:pos="426"/>
          <w:tab w:val="clear" w:leader="none" w:pos="708"/>
        </w:tabs>
        <w:spacing w:line="276" w:lineRule="auto"/>
        <w:ind w:right="0" w:firstLine="432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 Заказчика имеется оргтехника различных производителей и моделей:</w:t>
      </w:r>
      <w:r>
        <w:rPr>
          <w:sz w:val="24"/>
          <w:szCs w:val="24"/>
        </w:rPr>
      </w:r>
    </w:p>
    <w:p>
      <w:pPr>
        <w:pStyle w:val="744"/>
        <w:pBdr/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Таблица 1. Перечень оргтехники Заказчика</w:t>
      </w:r>
      <w:r>
        <w:rPr>
          <w:b/>
          <w:sz w:val="24"/>
          <w:szCs w:val="24"/>
        </w:rPr>
      </w:r>
    </w:p>
    <w:tbl>
      <w:tblPr>
        <w:tblW w:w="9918" w:type="dxa"/>
        <w:tblInd w:w="60" w:type="dxa"/>
        <w:tblBorders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680"/>
        <w:gridCol w:w="4255"/>
        <w:gridCol w:w="1305"/>
        <w:gridCol w:w="3677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</w:t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744"/>
              <w:widowControl w:val="false"/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п/п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25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Наименование объекта</w:t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744"/>
              <w:widowControl w:val="false"/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Кол, шт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7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Расположение объекта</w:t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5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7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14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785"/>
              <w:widowControl w:val="false"/>
              <w:numPr>
                <w:ilvl w:val="0"/>
                <w:numId w:val="3"/>
              </w:numPr>
              <w:pBdr/>
              <w:spacing/>
              <w:ind w:right="0" w:hanging="360"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5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/>
            </w:pPr>
            <w:r>
              <w:rPr>
                <w:sz w:val="20"/>
                <w:szCs w:val="20"/>
              </w:rPr>
              <w:t xml:space="preserve">HP LJ Pro 401</w:t>
            </w:r>
            <w:r>
              <w:rPr>
                <w:sz w:val="20"/>
                <w:szCs w:val="20"/>
                <w:lang w:val="en-US"/>
              </w:rPr>
              <w:t xml:space="preserve">/425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iCs/>
                <w:sz w:val="20"/>
                <w:szCs w:val="20"/>
                <w:shd w:val="clear" w:color="auto" w:fill="auto"/>
                <w:lang w:val="en-US"/>
              </w:rPr>
              <w:t xml:space="preserve">10</w:t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7" w:type="dxa"/>
            <w:vAlign w:val="center"/>
            <w:vMerge w:val="restart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iCs/>
                <w:sz w:val="24"/>
                <w:szCs w:val="24"/>
                <w:shd w:val="clear" w:color="auto" w:fill="auto"/>
              </w:rPr>
              <w:t xml:space="preserve">г. Якутск, переулок Энергетиков 2</w:t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>
          <w:trHeight w:val="103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785"/>
              <w:widowControl w:val="false"/>
              <w:numPr>
                <w:ilvl w:val="0"/>
                <w:numId w:val="3"/>
              </w:numPr>
              <w:pBdr/>
              <w:spacing/>
              <w:ind w:right="0" w:hanging="360"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5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/>
            </w:pPr>
            <w:r>
              <w:rPr>
                <w:sz w:val="20"/>
                <w:szCs w:val="20"/>
              </w:rPr>
              <w:t xml:space="preserve">HP LJ </w:t>
            </w:r>
            <w:r>
              <w:rPr>
                <w:sz w:val="20"/>
                <w:szCs w:val="20"/>
                <w:lang w:val="en-US"/>
              </w:rPr>
              <w:t xml:space="preserve">Enterprise</w:t>
            </w:r>
            <w:r>
              <w:rPr>
                <w:sz w:val="20"/>
                <w:szCs w:val="20"/>
              </w:rPr>
              <w:t xml:space="preserve"> M</w:t>
            </w:r>
            <w:r>
              <w:rPr>
                <w:sz w:val="20"/>
                <w:szCs w:val="20"/>
                <w:lang w:val="en-US"/>
              </w:rPr>
              <w:t xml:space="preserve">525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iCs/>
                <w:sz w:val="20"/>
                <w:szCs w:val="20"/>
                <w:shd w:val="clear" w:color="auto" w:fill="auto"/>
              </w:rPr>
              <w:t xml:space="preserve">5</w:t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7" w:type="dxa"/>
            <w:vMerge w:val="continue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>
          <w:trHeight w:val="3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785"/>
              <w:widowControl w:val="false"/>
              <w:numPr>
                <w:ilvl w:val="0"/>
                <w:numId w:val="3"/>
              </w:numPr>
              <w:pBdr/>
              <w:spacing/>
              <w:ind w:right="0" w:hanging="360"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5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HP LaserJet 13хх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iCs/>
                <w:sz w:val="20"/>
                <w:szCs w:val="20"/>
                <w:shd w:val="clear" w:color="auto" w:fill="auto"/>
              </w:rPr>
              <w:t xml:space="preserve">7</w:t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7" w:type="dxa"/>
            <w:vMerge w:val="continue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>
          <w:trHeight w:val="2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785"/>
              <w:widowControl w:val="false"/>
              <w:numPr>
                <w:ilvl w:val="0"/>
                <w:numId w:val="3"/>
              </w:numPr>
              <w:pBdr/>
              <w:spacing/>
              <w:ind w:right="0" w:hanging="360"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5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HP LJ 3005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iCs/>
                <w:sz w:val="20"/>
                <w:szCs w:val="20"/>
                <w:shd w:val="clear" w:color="auto" w:fill="auto"/>
              </w:rPr>
              <w:t xml:space="preserve">4</w:t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7" w:type="dxa"/>
            <w:vMerge w:val="continue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>
          <w:trHeight w:val="7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785"/>
              <w:widowControl w:val="false"/>
              <w:numPr>
                <w:ilvl w:val="0"/>
                <w:numId w:val="3"/>
              </w:numPr>
              <w:pBdr/>
              <w:spacing/>
              <w:ind w:right="0" w:hanging="360"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5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HP LJ 2015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iCs/>
                <w:sz w:val="20"/>
                <w:szCs w:val="20"/>
                <w:shd w:val="clear" w:color="auto" w:fill="auto"/>
              </w:rPr>
              <w:t xml:space="preserve">9</w:t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7" w:type="dxa"/>
            <w:vMerge w:val="continue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>
          <w:trHeight w:val="2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785"/>
              <w:widowControl w:val="false"/>
              <w:numPr>
                <w:ilvl w:val="0"/>
                <w:numId w:val="3"/>
              </w:numPr>
              <w:pBdr/>
              <w:spacing/>
              <w:ind w:right="0" w:hanging="360"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5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HP LJ 2055/2035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iCs/>
                <w:sz w:val="20"/>
                <w:szCs w:val="20"/>
                <w:shd w:val="clear" w:color="auto" w:fill="auto"/>
              </w:rPr>
              <w:t xml:space="preserve">10</w:t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7" w:type="dxa"/>
            <w:vMerge w:val="continue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>
          <w:trHeight w:val="2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785"/>
              <w:widowControl w:val="false"/>
              <w:numPr>
                <w:ilvl w:val="0"/>
                <w:numId w:val="3"/>
              </w:numPr>
              <w:pBdr/>
              <w:spacing/>
              <w:ind w:right="0" w:hanging="360"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5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CANON MF4018/4120/4140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iCs/>
                <w:sz w:val="20"/>
                <w:szCs w:val="20"/>
                <w:shd w:val="clear" w:color="auto" w:fill="auto"/>
              </w:rPr>
              <w:t xml:space="preserve">4</w:t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7" w:type="dxa"/>
            <w:vMerge w:val="continue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>
          <w:trHeight w:val="2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785"/>
              <w:widowControl w:val="false"/>
              <w:numPr>
                <w:ilvl w:val="0"/>
                <w:numId w:val="3"/>
              </w:numPr>
              <w:pBdr/>
              <w:spacing/>
              <w:ind w:right="0" w:hanging="360"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5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Canon iR Advanced C2230i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iCs/>
                <w:sz w:val="20"/>
                <w:szCs w:val="20"/>
                <w:shd w:val="clear" w:color="auto" w:fill="auto"/>
              </w:rPr>
              <w:t xml:space="preserve">4</w:t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7" w:type="dxa"/>
            <w:vMerge w:val="continue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>
          <w:trHeight w:val="123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785"/>
              <w:widowControl w:val="false"/>
              <w:numPr>
                <w:ilvl w:val="0"/>
                <w:numId w:val="3"/>
              </w:numPr>
              <w:pBdr/>
              <w:spacing/>
              <w:ind w:right="0" w:hanging="360"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5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Canon iR Advanced C3320i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iCs/>
                <w:sz w:val="20"/>
                <w:szCs w:val="20"/>
                <w:shd w:val="clear" w:color="auto" w:fill="auto"/>
              </w:rPr>
              <w:t xml:space="preserve">4</w:t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7" w:type="dxa"/>
            <w:vMerge w:val="continue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>
          <w:trHeight w:val="2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785"/>
              <w:widowControl w:val="false"/>
              <w:numPr>
                <w:ilvl w:val="0"/>
                <w:numId w:val="3"/>
              </w:numPr>
              <w:pBdr/>
              <w:spacing/>
              <w:ind w:right="0" w:hanging="360"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5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Canon iR Advanced DX C3730i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iCs/>
                <w:sz w:val="20"/>
                <w:szCs w:val="20"/>
                <w:shd w:val="clear" w:color="auto" w:fill="auto"/>
              </w:rPr>
              <w:t xml:space="preserve">4</w:t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7" w:type="dxa"/>
            <w:vMerge w:val="continue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>
          <w:trHeight w:val="2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785"/>
              <w:widowControl w:val="false"/>
              <w:numPr>
                <w:ilvl w:val="0"/>
                <w:numId w:val="3"/>
              </w:numPr>
              <w:pBdr/>
              <w:spacing/>
              <w:ind w:right="0" w:hanging="360"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5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Canon iPF710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iCs/>
                <w:sz w:val="20"/>
                <w:szCs w:val="20"/>
                <w:shd w:val="clear" w:color="auto" w:fill="auto"/>
              </w:rPr>
              <w:t xml:space="preserve">4</w:t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7" w:type="dxa"/>
            <w:vMerge w:val="continue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>
          <w:trHeight w:val="2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785"/>
              <w:widowControl w:val="false"/>
              <w:numPr>
                <w:ilvl w:val="0"/>
                <w:numId w:val="3"/>
              </w:numPr>
              <w:pBdr/>
              <w:spacing/>
              <w:ind w:right="0" w:hanging="360"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5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Canon iR-2520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iCs/>
                <w:sz w:val="20"/>
                <w:szCs w:val="20"/>
                <w:shd w:val="clear" w:color="auto" w:fill="auto"/>
              </w:rPr>
              <w:t xml:space="preserve">4</w:t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7" w:type="dxa"/>
            <w:vMerge w:val="continue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>
          <w:trHeight w:val="2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785"/>
              <w:widowControl w:val="false"/>
              <w:numPr>
                <w:ilvl w:val="0"/>
                <w:numId w:val="3"/>
              </w:numPr>
              <w:pBdr/>
              <w:spacing/>
              <w:ind w:right="0" w:hanging="360"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5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/>
            </w:pPr>
            <w:r>
              <w:rPr>
                <w:sz w:val="20"/>
                <w:szCs w:val="20"/>
              </w:rPr>
              <w:t xml:space="preserve">Canon iR-1133А/1133</w:t>
            </w:r>
            <w:r>
              <w:rPr>
                <w:sz w:val="20"/>
                <w:szCs w:val="20"/>
                <w:lang w:val="en-US"/>
              </w:rPr>
              <w:t xml:space="preserve">iF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iCs/>
                <w:sz w:val="20"/>
                <w:szCs w:val="20"/>
                <w:shd w:val="clear" w:color="auto" w:fill="auto"/>
              </w:rPr>
              <w:t xml:space="preserve">40</w:t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7" w:type="dxa"/>
            <w:vMerge w:val="continue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rPr>
          <w:trHeight w:val="2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785"/>
              <w:widowControl w:val="false"/>
              <w:numPr>
                <w:ilvl w:val="0"/>
                <w:numId w:val="3"/>
              </w:numPr>
              <w:pBdr/>
              <w:spacing/>
              <w:ind w:right="0" w:hanging="360"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5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/>
            </w:pPr>
            <w:r>
              <w:rPr>
                <w:sz w:val="20"/>
                <w:szCs w:val="20"/>
              </w:rPr>
              <w:t xml:space="preserve">Canon i</w:t>
            </w:r>
            <w:r>
              <w:rPr>
                <w:sz w:val="20"/>
                <w:szCs w:val="20"/>
                <w:lang w:val="en-US"/>
              </w:rPr>
              <w:t xml:space="preserve">R</w:t>
            </w:r>
            <w:r>
              <w:rPr>
                <w:sz w:val="20"/>
                <w:szCs w:val="20"/>
              </w:rPr>
              <w:t xml:space="preserve">-1435</w:t>
            </w:r>
            <w:r>
              <w:rPr>
                <w:sz w:val="20"/>
                <w:szCs w:val="20"/>
                <w:lang w:val="en-US"/>
              </w:rPr>
              <w:t xml:space="preserve">x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10</w:t>
            </w:r>
            <w:r>
              <w:rPr>
                <w:iCs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7" w:type="dxa"/>
            <w:vMerge w:val="continue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rHeight w:val="2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785"/>
              <w:widowControl w:val="false"/>
              <w:numPr>
                <w:ilvl w:val="0"/>
                <w:numId w:val="3"/>
              </w:numPr>
              <w:pBdr/>
              <w:spacing/>
              <w:ind w:right="0" w:hanging="360"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5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Canon iR-2206iF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4</w:t>
            </w:r>
            <w:r>
              <w:rPr>
                <w:iCs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7" w:type="dxa"/>
            <w:vMerge w:val="continue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rHeight w:val="2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680" w:type="dxa"/>
            <w:textDirection w:val="lrTb"/>
            <w:noWrap w:val="false"/>
          </w:tcPr>
          <w:p>
            <w:pPr>
              <w:pStyle w:val="785"/>
              <w:widowControl w:val="false"/>
              <w:numPr>
                <w:ilvl w:val="0"/>
                <w:numId w:val="3"/>
              </w:numPr>
              <w:pBdr/>
              <w:spacing/>
              <w:ind w:right="0" w:hanging="360"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25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/>
            </w:pPr>
            <w:r>
              <w:rPr>
                <w:sz w:val="20"/>
                <w:szCs w:val="20"/>
              </w:rPr>
              <w:t xml:space="preserve">МФУ</w:t>
            </w:r>
            <w:r>
              <w:rPr>
                <w:sz w:val="20"/>
                <w:szCs w:val="20"/>
                <w:lang w:val="en-US"/>
              </w:rPr>
              <w:t xml:space="preserve"> Canon i-SENSYS MF443dw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0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20</w:t>
            </w:r>
            <w:r>
              <w:rPr>
                <w:iCs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7" w:type="dxa"/>
            <w:vMerge w:val="continue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rHeight w:val="181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Mar>
              <w:left w:w="108" w:type="dxa"/>
              <w:right w:w="108" w:type="dxa"/>
            </w:tcMar>
            <w:tcW w:w="680" w:type="dxa"/>
            <w:textDirection w:val="lrTb"/>
            <w:noWrap w:val="false"/>
          </w:tcPr>
          <w:p>
            <w:pPr>
              <w:pStyle w:val="785"/>
              <w:widowControl w:val="false"/>
              <w:numPr>
                <w:ilvl w:val="0"/>
                <w:numId w:val="3"/>
              </w:numPr>
              <w:pBdr/>
              <w:spacing/>
              <w:ind w:right="0" w:hanging="360" w:left="36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Mar>
              <w:left w:w="108" w:type="dxa"/>
              <w:right w:w="108" w:type="dxa"/>
            </w:tcMar>
            <w:tcW w:w="425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Epson WorkForce Pro WF-C5790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130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2</w:t>
            </w:r>
            <w:r>
              <w:rPr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77" w:type="dxa"/>
            <w:vMerge w:val="continue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rHeight w:val="3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Mar>
              <w:left w:w="108" w:type="dxa"/>
              <w:right w:w="108" w:type="dxa"/>
            </w:tcMar>
            <w:tcW w:w="680" w:type="dxa"/>
            <w:textDirection w:val="lrTb"/>
            <w:noWrap w:val="false"/>
          </w:tcPr>
          <w:p>
            <w:pPr>
              <w:pStyle w:val="785"/>
              <w:widowControl w:val="false"/>
              <w:numPr>
                <w:ilvl w:val="0"/>
                <w:numId w:val="3"/>
              </w:numPr>
              <w:pBdr/>
              <w:spacing/>
              <w:ind w:right="0" w:hanging="360" w:left="36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Mar>
              <w:left w:w="108" w:type="dxa"/>
              <w:right w:w="108" w:type="dxa"/>
            </w:tcMar>
            <w:tcW w:w="425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SAMSUNG ML 1510/1710/1750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130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2</w:t>
            </w:r>
            <w:r>
              <w:rPr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77" w:type="dxa"/>
            <w:vMerge w:val="continue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rHeight w:val="7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Mar>
              <w:left w:w="108" w:type="dxa"/>
              <w:right w:w="108" w:type="dxa"/>
            </w:tcMar>
            <w:tcW w:w="680" w:type="dxa"/>
            <w:textDirection w:val="lrTb"/>
            <w:noWrap w:val="false"/>
          </w:tcPr>
          <w:p>
            <w:pPr>
              <w:pStyle w:val="785"/>
              <w:widowControl w:val="false"/>
              <w:numPr>
                <w:ilvl w:val="0"/>
                <w:numId w:val="3"/>
              </w:numPr>
              <w:pBdr/>
              <w:spacing/>
              <w:ind w:right="0" w:hanging="360" w:left="36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Mar>
              <w:left w:w="108" w:type="dxa"/>
              <w:right w:w="108" w:type="dxa"/>
            </w:tcMar>
            <w:tcW w:w="425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Panasonic KX-MB2051RU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130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2</w:t>
            </w:r>
            <w:r>
              <w:rPr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77" w:type="dxa"/>
            <w:vMerge w:val="continue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rHeight w:val="2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Mar>
              <w:left w:w="108" w:type="dxa"/>
              <w:right w:w="108" w:type="dxa"/>
            </w:tcMar>
            <w:tcW w:w="680" w:type="dxa"/>
            <w:textDirection w:val="lrTb"/>
            <w:noWrap w:val="false"/>
          </w:tcPr>
          <w:p>
            <w:pPr>
              <w:pStyle w:val="785"/>
              <w:widowControl w:val="false"/>
              <w:numPr>
                <w:ilvl w:val="0"/>
                <w:numId w:val="3"/>
              </w:numPr>
              <w:pBdr/>
              <w:spacing/>
              <w:ind w:right="0" w:hanging="360"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Mar>
              <w:left w:w="108" w:type="dxa"/>
              <w:right w:w="108" w:type="dxa"/>
            </w:tcMar>
            <w:tcW w:w="425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Oki C511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130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3</w:t>
            </w:r>
            <w:r>
              <w:rPr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77" w:type="dxa"/>
            <w:vMerge w:val="continue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rHeight w:val="86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Mar>
              <w:left w:w="108" w:type="dxa"/>
              <w:right w:w="108" w:type="dxa"/>
            </w:tcMar>
            <w:tcW w:w="680" w:type="dxa"/>
            <w:textDirection w:val="lrTb"/>
            <w:noWrap w:val="false"/>
          </w:tcPr>
          <w:p>
            <w:pPr>
              <w:pStyle w:val="785"/>
              <w:widowControl w:val="false"/>
              <w:numPr>
                <w:ilvl w:val="0"/>
                <w:numId w:val="3"/>
              </w:numPr>
              <w:pBdr/>
              <w:spacing/>
              <w:ind w:right="0" w:hanging="360"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Mar>
              <w:left w:w="108" w:type="dxa"/>
              <w:right w:w="108" w:type="dxa"/>
            </w:tcMar>
            <w:tcW w:w="425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Oki C830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130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2</w:t>
            </w:r>
            <w:r>
              <w:rPr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77" w:type="dxa"/>
            <w:vMerge w:val="continue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rHeight w:val="25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Mar>
              <w:left w:w="108" w:type="dxa"/>
              <w:right w:w="108" w:type="dxa"/>
            </w:tcMar>
            <w:tcW w:w="680" w:type="dxa"/>
            <w:textDirection w:val="lrTb"/>
            <w:noWrap w:val="false"/>
          </w:tcPr>
          <w:p>
            <w:pPr>
              <w:pStyle w:val="785"/>
              <w:widowControl w:val="false"/>
              <w:numPr>
                <w:ilvl w:val="0"/>
                <w:numId w:val="3"/>
              </w:numPr>
              <w:pBdr/>
              <w:spacing/>
              <w:ind w:right="0" w:hanging="360"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Mar>
              <w:left w:w="108" w:type="dxa"/>
              <w:right w:w="108" w:type="dxa"/>
            </w:tcMar>
            <w:tcW w:w="4255" w:type="dxa"/>
            <w:vAlign w:val="bottom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Xerox WorkCentre 3225DNI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130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30</w:t>
            </w:r>
            <w:r>
              <w:rPr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77" w:type="dxa"/>
            <w:vMerge w:val="continue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rHeight w:val="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80" w:type="dxa"/>
            <w:textDirection w:val="lrTb"/>
            <w:noWrap w:val="false"/>
          </w:tcPr>
          <w:p>
            <w:pPr>
              <w:pStyle w:val="785"/>
              <w:widowControl w:val="false"/>
              <w:numPr>
                <w:ilvl w:val="0"/>
                <w:numId w:val="3"/>
              </w:numPr>
              <w:pBdr/>
              <w:spacing/>
              <w:ind w:right="0" w:hanging="360"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255" w:type="dxa"/>
            <w:vAlign w:val="bottom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Xerox WorkCentre B205/B210/B215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0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30</w:t>
            </w:r>
            <w:r>
              <w:rPr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77" w:type="dxa"/>
            <w:vMerge w:val="continue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rHeight w:val="20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80" w:type="dxa"/>
            <w:textDirection w:val="lrTb"/>
            <w:noWrap w:val="false"/>
          </w:tcPr>
          <w:p>
            <w:pPr>
              <w:pStyle w:val="785"/>
              <w:widowControl w:val="false"/>
              <w:numPr>
                <w:ilvl w:val="0"/>
                <w:numId w:val="3"/>
              </w:numPr>
              <w:pBdr/>
              <w:spacing/>
              <w:ind w:right="0" w:hanging="360" w:left="36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25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Kyocera M8124cidn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0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2</w:t>
            </w:r>
            <w:r>
              <w:rPr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77" w:type="dxa"/>
            <w:vMerge w:val="continue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rHeight w:val="1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80" w:type="dxa"/>
            <w:textDirection w:val="lrTb"/>
            <w:noWrap w:val="false"/>
          </w:tcPr>
          <w:p>
            <w:pPr>
              <w:pStyle w:val="785"/>
              <w:widowControl w:val="false"/>
              <w:numPr>
                <w:ilvl w:val="0"/>
                <w:numId w:val="3"/>
              </w:numPr>
              <w:pBdr/>
              <w:spacing/>
              <w:ind w:right="0" w:hanging="360" w:left="36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25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Xerox WC3345DNI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0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8</w:t>
            </w:r>
            <w:r>
              <w:rPr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77" w:type="dxa"/>
            <w:vMerge w:val="continue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rHeight w:val="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80" w:type="dxa"/>
            <w:textDirection w:val="lrTb"/>
            <w:noWrap w:val="false"/>
          </w:tcPr>
          <w:p>
            <w:pPr>
              <w:pStyle w:val="785"/>
              <w:widowControl w:val="false"/>
              <w:numPr>
                <w:ilvl w:val="0"/>
                <w:numId w:val="3"/>
              </w:numPr>
              <w:pBdr/>
              <w:spacing/>
              <w:ind w:right="0" w:hanging="360" w:left="36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25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Xerox VersaLink B405DN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0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2</w:t>
            </w:r>
            <w:r>
              <w:rPr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77" w:type="dxa"/>
            <w:vMerge w:val="continue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rHeight w:val="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80" w:type="dxa"/>
            <w:textDirection w:val="lrTb"/>
            <w:noWrap w:val="false"/>
          </w:tcPr>
          <w:p>
            <w:pPr>
              <w:pStyle w:val="785"/>
              <w:widowControl w:val="false"/>
              <w:numPr>
                <w:ilvl w:val="0"/>
                <w:numId w:val="3"/>
              </w:numPr>
              <w:pBdr/>
              <w:spacing/>
              <w:ind w:right="0" w:hanging="360" w:left="36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25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Pantum BM5100ADN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0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50</w:t>
            </w:r>
            <w:r>
              <w:rPr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77" w:type="dxa"/>
            <w:vMerge w:val="continue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rHeight w:val="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80" w:type="dxa"/>
            <w:textDirection w:val="lrTb"/>
            <w:noWrap w:val="false"/>
          </w:tcPr>
          <w:p>
            <w:pPr>
              <w:pStyle w:val="785"/>
              <w:widowControl w:val="false"/>
              <w:numPr>
                <w:ilvl w:val="0"/>
                <w:numId w:val="3"/>
              </w:numPr>
              <w:pBdr/>
              <w:spacing/>
              <w:ind w:right="0" w:hanging="360" w:left="36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25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Pantum M6607NW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tcW w:w="130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20</w:t>
            </w:r>
            <w:r>
              <w:rPr>
                <w:i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677" w:type="dxa"/>
            <w:vMerge w:val="continue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rPr/>
            </w:pPr>
            <w:r/>
            <w:r/>
          </w:p>
        </w:tc>
      </w:tr>
    </w:tbl>
    <w:p>
      <w:pPr>
        <w:pStyle w:val="745"/>
        <w:keepNext w:val="true"/>
        <w:widowControl w:val="true"/>
        <w:numPr>
          <w:ilvl w:val="0"/>
          <w:numId w:val="1"/>
        </w:numPr>
        <w:pBdr/>
        <w:bidi w:val="false"/>
        <w:spacing w:after="60" w:before="240"/>
        <w:ind w:right="0" w:hanging="340" w:left="3458"/>
        <w:jc w:val="left"/>
        <w:rPr/>
      </w:pPr>
      <w:r/>
      <w:bookmarkStart w:id="11" w:name="__RefHeading___Toc1498_1404068585"/>
      <w:r/>
      <w:bookmarkStart w:id="12" w:name="_Toc155972256"/>
      <w:r/>
      <w:bookmarkStart w:id="13" w:name="_Toc51339693"/>
      <w:r/>
      <w:bookmarkEnd w:id="11"/>
      <w:r>
        <w:t xml:space="preserve">Требования </w:t>
      </w:r>
      <w:bookmarkEnd w:id="13"/>
      <w:r>
        <w:t xml:space="preserve">заказчика</w:t>
      </w:r>
      <w:bookmarkEnd w:id="12"/>
      <w:r/>
      <w:r/>
    </w:p>
    <w:p>
      <w:pPr>
        <w:pStyle w:val="747"/>
        <w:numPr>
          <w:ilvl w:val="1"/>
          <w:numId w:val="1"/>
        </w:numPr>
        <w:pBdr/>
        <w:spacing/>
        <w:ind/>
        <w:rPr/>
      </w:pPr>
      <w:r/>
      <w:bookmarkStart w:id="14" w:name="__RefHeading___Toc1500_1404068585"/>
      <w:r/>
      <w:bookmarkStart w:id="15" w:name="_Toc155972257"/>
      <w:r/>
      <w:bookmarkEnd w:id="14"/>
      <w:r>
        <w:t xml:space="preserve">Требования к объемам и срокам </w:t>
      </w:r>
      <w:r>
        <w:rPr>
          <w:lang w:val="ru-RU"/>
        </w:rPr>
        <w:t xml:space="preserve">выполнения работ</w:t>
      </w:r>
      <w:bookmarkEnd w:id="15"/>
      <w:r/>
      <w:r/>
    </w:p>
    <w:p>
      <w:pPr>
        <w:pStyle w:val="747"/>
        <w:numPr>
          <w:ilvl w:val="2"/>
          <w:numId w:val="1"/>
        </w:numPr>
        <w:pBdr/>
        <w:spacing/>
        <w:ind/>
        <w:rPr>
          <w:lang w:val="en-US"/>
        </w:rPr>
      </w:pPr>
      <w:r/>
      <w:bookmarkStart w:id="16" w:name="__RefHeading___Toc1502_1404068585"/>
      <w:r/>
      <w:bookmarkStart w:id="17" w:name="_Toc155972258"/>
      <w:r/>
      <w:bookmarkEnd w:id="16"/>
      <w:r>
        <w:t xml:space="preserve">Перечень и объем выполняемых работ</w:t>
      </w:r>
      <w:bookmarkEnd w:id="17"/>
      <w:r/>
      <w:r>
        <w:rPr>
          <w:lang w:val="en-US"/>
        </w:rPr>
      </w:r>
    </w:p>
    <w:p>
      <w:pPr>
        <w:pStyle w:val="744"/>
        <w:pBdr/>
        <w:spacing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Заказчик по мере необходимости в течение года будет передавать на ремонт оргтехнику, указанных в Таблице 1.</w:t>
      </w:r>
      <w:r>
        <w:rPr>
          <w:sz w:val="24"/>
          <w:szCs w:val="24"/>
        </w:rPr>
      </w:r>
    </w:p>
    <w:p>
      <w:pPr>
        <w:pStyle w:val="747"/>
        <w:pBdr/>
        <w:spacing/>
        <w:ind/>
        <w:rPr/>
      </w:pPr>
      <w:r/>
      <w:bookmarkStart w:id="18" w:name="__RefHeading___Toc1504_1404068585"/>
      <w:r/>
      <w:bookmarkStart w:id="19" w:name="_Toc155972259"/>
      <w:r/>
      <w:bookmarkStart w:id="20" w:name="_Toc51339695"/>
      <w:r/>
      <w:bookmarkEnd w:id="18"/>
      <w:r>
        <w:t xml:space="preserve">Таблица 1. Перечень </w:t>
      </w:r>
      <w:bookmarkEnd w:id="20"/>
      <w:r>
        <w:t xml:space="preserve">и объем выполняемых работ</w:t>
      </w:r>
      <w:bookmarkEnd w:id="19"/>
      <w:r/>
      <w:r/>
    </w:p>
    <w:p>
      <w:pPr>
        <w:pStyle w:val="744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744"/>
        <w:pBdr/>
        <w:spacing/>
        <w:ind/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val="ru-RU" w:eastAsia="ru-RU" w:bidi="ar-SA"/>
        </w:rPr>
      </w:pPr>
      <w:r>
        <w:rPr>
          <w:rFonts w:eastAsia="Times New Roman" w:cs="Times New Roman"/>
          <w:b/>
          <w:bCs/>
          <w:color w:val="auto"/>
          <w:sz w:val="20"/>
          <w:szCs w:val="20"/>
          <w:lang w:val="ru-RU" w:eastAsia="ru-RU" w:bidi="ar-SA"/>
        </w:rPr>
      </w:r>
      <w:r>
        <w:rPr>
          <w:rFonts w:ascii="Times New Roman" w:hAnsi="Times New Roman" w:eastAsia="Times New Roman" w:cs="Times New Roman"/>
          <w:b/>
          <w:bCs/>
          <w:color w:val="auto"/>
          <w:sz w:val="20"/>
          <w:szCs w:val="20"/>
          <w:lang w:val="ru-RU" w:eastAsia="ru-RU" w:bidi="ar-SA"/>
        </w:rPr>
      </w:r>
    </w:p>
    <w:tbl>
      <w:tblPr>
        <w:tblW w:w="10139" w:type="dxa"/>
        <w:tblInd w:w="69" w:type="dxa"/>
        <w:tblBorders/>
        <w:tblLayout w:type="fixed"/>
        <w:tblCellMar>
          <w:left w:w="108" w:type="dxa"/>
          <w:top w:w="55" w:type="dxa"/>
          <w:right w:w="108" w:type="dxa"/>
          <w:bottom w:w="55" w:type="dxa"/>
        </w:tblCellMar>
        <w:tblLook w:val="04A0" w:firstRow="1" w:lastRow="0" w:firstColumn="1" w:lastColumn="0" w:noHBand="0" w:noVBand="1"/>
      </w:tblPr>
      <w:tblGrid>
        <w:gridCol w:w="497"/>
        <w:gridCol w:w="1515"/>
        <w:gridCol w:w="5578"/>
        <w:gridCol w:w="1199"/>
        <w:gridCol w:w="1350"/>
      </w:tblGrid>
      <w:tr>
        <w:trPr>
          <w:trHeight w:val="90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</w:t>
            </w:r>
            <w:r>
              <w:rPr>
                <w:b/>
                <w:bCs/>
                <w:sz w:val="20"/>
                <w:szCs w:val="20"/>
              </w:rPr>
              <w:t xml:space="preserve">п/п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</w:t>
            </w:r>
            <w:r>
              <w:rPr>
                <w:b/>
                <w:bCs/>
                <w:sz w:val="20"/>
                <w:szCs w:val="20"/>
              </w:rPr>
              <w:t xml:space="preserve">позиции </w:t>
              <w:br/>
              <w:t xml:space="preserve">Таблицы 1 «Перечень оргтехники»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578" w:type="dxa"/>
            <w:vAlign w:val="center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работ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99" w:type="dxa"/>
            <w:vAlign w:val="center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Единица измерения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vAlign w:val="center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Кол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17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1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HP LJ Pro 401/425 простой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17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1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HP LJ Pro 401/425 сложный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2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HP LJ Enterprise M525 простой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2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HP LJ Enterprise M525 сложный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3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HP LaserJet 13хх простой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3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HP LaserJet 13хх сложный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4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HP LJ 3005 простой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4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HP LJ 3005 сложный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5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HP LJ 2015 простой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5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HP LJ 2015 сложный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6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HP LJ 2055/2035 простой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6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HP LJ 2055/2035 сложный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7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CANON MF4018/4120/4140 простой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7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CANON MF4018/4120/4140 сложный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8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Canon iR Advanced C2230i простой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8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Canon iR Advanced C2230i сложный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9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Canon iR Advanced C3320i простой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9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Canon iR Advanced C3320i сложный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10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Canon iR Advanced DX C3730i простой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10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Canon iR Advanced DX C3730i сложный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11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Canon iPF710 простой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11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Canon iPF710 сложный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12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Canon iR-2520 простой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12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Canon iR-2520 сложный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13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Canon iR-1133А/1133iF простой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13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Canon iR-1133А/1133iF сложный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14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Canon iR-1435x простой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14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Canon iR-1435x сложный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15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Canon iR-2206iF простой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15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Canon iR-2206iF сложный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16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МФУ Canon i-SENSYS MF443dw простой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16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МФУ Canon i-SENSYS MF443dw сложный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17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Epson WorkForce Pro WF-C5790 простой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17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Epson WorkForce Pro WF-C5790 сложный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18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SAMSUNG ML 1510/1710/1750 простой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18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SAMSUNG ML 1510/1710/1750 сложный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19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Panasonic KX-MB2051RU простой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19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Panasonic KX-MB2051RU сложный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20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Oki C511 простой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20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Oki C511 сложный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21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Oki C830 простой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21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Oki C830 сложный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22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Xerox WorkCentre 3225DNI простой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22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Xerox WorkCentre 3225DNI сложный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23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Xerox WorkCentre B205/B210/B215 простой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23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Xerox WorkCentre B205/B210/B215 сложный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24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Kyocera M8124cidn простой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24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Kyocera M8124cidn сложный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25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Xerox WC3345DNI простой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25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Xerox WC3345DNI сложный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26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Xerox VersaLink B405DN простой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26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Xerox VersaLink B405DN сложный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27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Pantum BM5100ADN простой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27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Pantum BM5100ADN сложный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28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Pantum M6607NW простой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497" w:type="dxa"/>
            <w:textDirection w:val="lrTb"/>
            <w:noWrap w:val="false"/>
          </w:tcPr>
          <w:p>
            <w:pPr>
              <w:pStyle w:val="795"/>
              <w:widowControl w:val="false"/>
              <w:numPr>
                <w:ilvl w:val="0"/>
                <w:numId w:val="4"/>
              </w:numPr>
              <w:pBdr/>
              <w:spacing/>
              <w:ind w:right="0" w:firstLine="0" w:left="0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15" w:type="dxa"/>
            <w:vAlign w:val="center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Позиция 28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78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Pantum M6607NW сложный ремонт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99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0" w:type="dxa"/>
            <w:textDirection w:val="lrTb"/>
            <w:noWrap w:val="false"/>
          </w:tcPr>
          <w:p>
            <w:pPr>
              <w:pStyle w:val="793"/>
              <w:widowControl w:val="false"/>
              <w:pBdr/>
              <w:spacing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Bdr/>
        <w:spacing/>
        <w:ind/>
        <w:rPr/>
        <w:sectPr>
          <w:headerReference w:type="default" r:id="rId10"/>
          <w:headerReference w:type="even" r:id="rId11"/>
          <w:headerReference w:type="first" r:id="rId12"/>
          <w:footnotePr/>
          <w:endnotePr/>
          <w:type w:val="nextPage"/>
          <w:pgSz w:h="16838" w:orient="portrait" w:w="11906"/>
          <w:pgMar w:top="1134" w:right="732" w:bottom="992" w:left="1134" w:header="680" w:footer="0" w:gutter="0"/>
          <w:cols w:num="1" w:sep="0" w:space="1701" w:equalWidth="1"/>
        </w:sectPr>
      </w:pPr>
      <w:r/>
      <w:r/>
    </w:p>
    <w:p>
      <w:pPr>
        <w:pStyle w:val="747"/>
        <w:numPr>
          <w:ilvl w:val="1"/>
          <w:numId w:val="1"/>
        </w:numPr>
        <w:pBdr/>
        <w:spacing/>
        <w:ind/>
        <w:rPr>
          <w:sz w:val="24"/>
          <w:szCs w:val="24"/>
        </w:rPr>
      </w:pPr>
      <w:r/>
      <w:bookmarkStart w:id="21" w:name="__RefHeading___Toc1506_1404068585"/>
      <w:r/>
      <w:bookmarkStart w:id="22" w:name="_Toc155972260"/>
      <w:r/>
      <w:bookmarkEnd w:id="21"/>
      <w:r>
        <w:rPr>
          <w:sz w:val="24"/>
          <w:szCs w:val="24"/>
        </w:rPr>
        <w:t xml:space="preserve">Требования к объемам и срокам </w:t>
      </w:r>
      <w:r>
        <w:rPr>
          <w:sz w:val="24"/>
          <w:szCs w:val="24"/>
          <w:lang w:val="ru-RU"/>
        </w:rPr>
        <w:t xml:space="preserve">выполнения работ</w:t>
      </w:r>
      <w:bookmarkEnd w:id="22"/>
      <w:r/>
      <w:r>
        <w:rPr>
          <w:sz w:val="24"/>
          <w:szCs w:val="24"/>
        </w:rPr>
      </w:r>
    </w:p>
    <w:p>
      <w:pPr>
        <w:pStyle w:val="747"/>
        <w:pBdr/>
        <w:spacing/>
        <w:ind/>
        <w:rPr>
          <w:sz w:val="24"/>
          <w:szCs w:val="24"/>
        </w:rPr>
      </w:pPr>
      <w:r/>
      <w:bookmarkStart w:id="23" w:name="__RefHeading___Toc1508_1404068585"/>
      <w:r/>
      <w:bookmarkStart w:id="24" w:name="_Toc155972261"/>
      <w:r/>
      <w:bookmarkStart w:id="25" w:name="_Toc143591236"/>
      <w:r/>
      <w:bookmarkEnd w:id="23"/>
      <w:r>
        <w:rPr>
          <w:sz w:val="24"/>
          <w:szCs w:val="24"/>
        </w:rPr>
        <w:t xml:space="preserve">Таблица 2. Требования к качеству </w:t>
      </w:r>
      <w:bookmarkEnd w:id="25"/>
      <w:r>
        <w:rPr>
          <w:sz w:val="24"/>
          <w:szCs w:val="24"/>
        </w:rPr>
        <w:t xml:space="preserve">выполняемых работ</w:t>
      </w:r>
      <w:bookmarkEnd w:id="24"/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</w:p>
    <w:p>
      <w:pPr>
        <w:pStyle w:val="744"/>
        <w:pBdr/>
        <w:spacing/>
        <w:ind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выполняемых работ:: </w:t>
      </w:r>
      <w:r>
        <w:rPr>
          <w:b/>
          <w:bCs/>
          <w:sz w:val="24"/>
          <w:szCs w:val="24"/>
        </w:rPr>
        <w:t xml:space="preserve"> Р</w:t>
      </w:r>
      <w:r>
        <w:rPr>
          <w:b/>
          <w:bCs/>
          <w:color w:val="000000"/>
          <w:sz w:val="24"/>
          <w:szCs w:val="24"/>
          <w:shd w:val="clear" w:color="auto" w:fill="auto"/>
        </w:rPr>
        <w:t xml:space="preserve">емонт копировально-множительной </w:t>
      </w:r>
      <w:r>
        <w:rPr>
          <w:b/>
          <w:bCs/>
          <w:i w:val="0"/>
          <w:strike w:val="0"/>
          <w:color w:val="000000"/>
          <w:sz w:val="24"/>
          <w:szCs w:val="24"/>
          <w:u w:val="none"/>
          <w:shd w:val="clear" w:color="auto" w:fill="auto"/>
        </w:rPr>
        <w:t xml:space="preserve">техники</w:t>
      </w:r>
      <w:r>
        <w:rPr>
          <w:sz w:val="24"/>
          <w:szCs w:val="24"/>
        </w:rPr>
      </w:r>
    </w:p>
    <w:tbl>
      <w:tblPr>
        <w:tblStyle w:val="798"/>
        <w:tblW w:w="14743" w:type="dxa"/>
        <w:tblInd w:w="108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49"/>
        <w:gridCol w:w="2269"/>
        <w:gridCol w:w="1"/>
        <w:gridCol w:w="5837"/>
        <w:gridCol w:w="3"/>
        <w:gridCol w:w="2098"/>
        <w:gridCol w:w="1981"/>
        <w:gridCol w:w="3"/>
        <w:gridCol w:w="426"/>
        <w:gridCol w:w="1275"/>
      </w:tblGrid>
      <w:tr>
        <w:trPr/>
        <w:tc>
          <w:tcPr>
            <w:tcBorders/>
            <w:tcW w:w="849" w:type="dxa"/>
            <w:vAlign w:val="center"/>
            <w:vMerge w:val="restart"/>
            <w:textDirection w:val="lrTb"/>
            <w:noWrap w:val="false"/>
          </w:tcPr>
          <w:p>
            <w:pPr>
              <w:pStyle w:val="744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  <w:t xml:space="preserve">№ </w:t>
            </w:r>
            <w:r>
              <w:rPr>
                <w:b/>
                <w:bCs/>
                <w:sz w:val="22"/>
                <w:szCs w:val="22"/>
                <w:lang w:val="ru-RU" w:bidi="ar-SA"/>
              </w:rPr>
              <w:t xml:space="preserve">п/п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2"/>
            <w:tcBorders/>
            <w:tcW w:w="2270" w:type="dxa"/>
            <w:vAlign w:val="center"/>
            <w:vMerge w:val="restart"/>
            <w:textDirection w:val="lrTb"/>
            <w:noWrap w:val="false"/>
          </w:tcPr>
          <w:p>
            <w:pPr>
              <w:pStyle w:val="744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  <w:t xml:space="preserve">Наименование параметра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5837" w:type="dxa"/>
            <w:vAlign w:val="center"/>
            <w:vMerge w:val="restart"/>
            <w:textDirection w:val="lrTb"/>
            <w:noWrap w:val="false"/>
          </w:tcPr>
          <w:p>
            <w:pPr>
              <w:pStyle w:val="744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  <w:t xml:space="preserve">Требование заказчика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4"/>
            <w:tcBorders/>
            <w:tcW w:w="4085" w:type="dxa"/>
            <w:vAlign w:val="center"/>
            <w:textDirection w:val="lrTb"/>
            <w:noWrap w:val="false"/>
          </w:tcPr>
          <w:p>
            <w:pPr>
              <w:pStyle w:val="744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  <w:t xml:space="preserve">Способ подтверждения участником соответствия требованиям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2"/>
            <w:tcBorders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Style w:val="744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  <w:t xml:space="preserve">Предложение участника по характеристикам и параметрам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849" w:type="dxa"/>
            <w:vAlign w:val="center"/>
            <w:vMerge w:val="continue"/>
            <w:textDirection w:val="lrTb"/>
            <w:noWrap w:val="false"/>
          </w:tcPr>
          <w:p>
            <w:pPr>
              <w:pStyle w:val="74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</w:r>
          </w:p>
        </w:tc>
        <w:tc>
          <w:tcPr>
            <w:gridSpan w:val="2"/>
            <w:tcBorders/>
            <w:tcW w:w="2270" w:type="dxa"/>
            <w:vAlign w:val="center"/>
            <w:vMerge w:val="continue"/>
            <w:textDirection w:val="lrTb"/>
            <w:noWrap w:val="false"/>
          </w:tcPr>
          <w:p>
            <w:pPr>
              <w:pStyle w:val="74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</w:r>
          </w:p>
        </w:tc>
        <w:tc>
          <w:tcPr>
            <w:tcBorders/>
            <w:tcW w:w="5837" w:type="dxa"/>
            <w:vAlign w:val="center"/>
            <w:vMerge w:val="continue"/>
            <w:textDirection w:val="lrTb"/>
            <w:noWrap w:val="false"/>
          </w:tcPr>
          <w:p>
            <w:pPr>
              <w:pStyle w:val="74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</w:r>
          </w:p>
        </w:tc>
        <w:tc>
          <w:tcPr>
            <w:gridSpan w:val="2"/>
            <w:tcBorders/>
            <w:tcW w:w="2101" w:type="dxa"/>
            <w:vAlign w:val="center"/>
            <w:textDirection w:val="lrTb"/>
            <w:noWrap w:val="false"/>
          </w:tcPr>
          <w:p>
            <w:pPr>
              <w:pStyle w:val="744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  <w:t xml:space="preserve">Согласие с требованием/ указание характеристик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2"/>
            <w:tcBorders/>
            <w:tcW w:w="1984" w:type="dxa"/>
            <w:vAlign w:val="center"/>
            <w:textDirection w:val="lrTb"/>
            <w:noWrap w:val="false"/>
          </w:tcPr>
          <w:p>
            <w:pPr>
              <w:pStyle w:val="744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  <w:t xml:space="preserve">Предоставление подтверждающего документа или иной способ подтверждения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2"/>
            <w:tcBorders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pStyle w:val="74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849" w:type="dxa"/>
            <w:vAlign w:val="center"/>
            <w:textDirection w:val="lrTb"/>
            <w:noWrap w:val="false"/>
          </w:tcPr>
          <w:p>
            <w:pPr>
              <w:pStyle w:val="744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/>
            <w:bookmarkStart w:id="26" w:name="_Toc53499667"/>
            <w:r>
              <w:rPr>
                <w:b/>
                <w:bCs/>
                <w:sz w:val="22"/>
                <w:szCs w:val="22"/>
                <w:lang w:val="ru-RU" w:bidi="ar-SA"/>
              </w:rPr>
              <w:t xml:space="preserve">1</w:t>
            </w:r>
            <w:bookmarkEnd w:id="26"/>
            <w:r/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2"/>
            <w:tcBorders/>
            <w:tcW w:w="2270" w:type="dxa"/>
            <w:vAlign w:val="center"/>
            <w:textDirection w:val="lrTb"/>
            <w:noWrap w:val="false"/>
          </w:tcPr>
          <w:p>
            <w:pPr>
              <w:pStyle w:val="744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  <w:t xml:space="preserve">2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5837" w:type="dxa"/>
            <w:vAlign w:val="center"/>
            <w:textDirection w:val="lrTb"/>
            <w:noWrap w:val="false"/>
          </w:tcPr>
          <w:p>
            <w:pPr>
              <w:pStyle w:val="744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  <w:t xml:space="preserve">3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2"/>
            <w:tcBorders/>
            <w:tcW w:w="2101" w:type="dxa"/>
            <w:vAlign w:val="center"/>
            <w:textDirection w:val="lrTb"/>
            <w:noWrap w:val="false"/>
          </w:tcPr>
          <w:p>
            <w:pPr>
              <w:pStyle w:val="744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  <w:t xml:space="preserve">4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2"/>
            <w:tcBorders/>
            <w:tcW w:w="1984" w:type="dxa"/>
            <w:vAlign w:val="center"/>
            <w:textDirection w:val="lrTb"/>
            <w:noWrap w:val="false"/>
          </w:tcPr>
          <w:p>
            <w:pPr>
              <w:pStyle w:val="744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  <w:t xml:space="preserve">5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2"/>
            <w:tcBorders/>
            <w:tcW w:w="1701" w:type="dxa"/>
            <w:vAlign w:val="center"/>
            <w:textDirection w:val="lrTb"/>
            <w:noWrap w:val="false"/>
          </w:tcPr>
          <w:p>
            <w:pPr>
              <w:pStyle w:val="744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  <w:t xml:space="preserve">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849" w:type="dxa"/>
            <w:vAlign w:val="center"/>
            <w:textDirection w:val="lrTb"/>
            <w:noWrap w:val="false"/>
          </w:tcPr>
          <w:p>
            <w:pPr>
              <w:pStyle w:val="785"/>
              <w:widowControl w:val="false"/>
              <w:numPr>
                <w:ilvl w:val="0"/>
                <w:numId w:val="2"/>
              </w:numPr>
              <w:pBdr/>
              <w:spacing w:after="60" w:before="60"/>
              <w:ind/>
              <w:contextualSpacing w:val="true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3"/>
            <w:tcBorders/>
            <w:tcW w:w="8107" w:type="dxa"/>
            <w:vAlign w:val="center"/>
            <w:textDirection w:val="lrTb"/>
            <w:noWrap w:val="false"/>
          </w:tcPr>
          <w:p>
            <w:pPr>
              <w:pStyle w:val="74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Требования к выполняемым работам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2"/>
            <w:tcBorders/>
            <w:tcW w:w="2101" w:type="dxa"/>
            <w:textDirection w:val="lrTb"/>
            <w:noWrap w:val="false"/>
          </w:tcPr>
          <w:p>
            <w:pPr>
              <w:pStyle w:val="744"/>
              <w:keepNext w:val="true"/>
              <w:widowControl w:val="false"/>
              <w:pBdr/>
              <w:spacing w:after="60" w:before="6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-//-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2"/>
            <w:tcBorders/>
            <w:tcW w:w="1984" w:type="dxa"/>
            <w:textDirection w:val="lrTb"/>
            <w:noWrap w:val="false"/>
          </w:tcPr>
          <w:p>
            <w:pPr>
              <w:pStyle w:val="744"/>
              <w:keepNext w:val="true"/>
              <w:widowControl w:val="false"/>
              <w:pBdr/>
              <w:spacing w:after="60" w:before="6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-//-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2"/>
            <w:tcBorders/>
            <w:tcW w:w="1701" w:type="dxa"/>
            <w:textDirection w:val="lrTb"/>
            <w:noWrap w:val="false"/>
          </w:tcPr>
          <w:p>
            <w:pPr>
              <w:pStyle w:val="744"/>
              <w:keepNext w:val="true"/>
              <w:widowControl w:val="false"/>
              <w:pBdr/>
              <w:spacing w:after="60" w:before="6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-//-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849" w:type="dxa"/>
            <w:vAlign w:val="center"/>
            <w:textDirection w:val="lrTb"/>
            <w:noWrap w:val="false"/>
          </w:tcPr>
          <w:p>
            <w:pPr>
              <w:pStyle w:val="785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  <w:t xml:space="preserve">1.1.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2269" w:type="dxa"/>
            <w:vAlign w:val="center"/>
            <w:textDirection w:val="lrTb"/>
            <w:noWrap w:val="false"/>
          </w:tcPr>
          <w:p>
            <w:pPr>
              <w:pStyle w:val="744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Общие требования к оказанию услуг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3"/>
            <w:tcBorders/>
            <w:tcW w:w="5841" w:type="dxa"/>
            <w:vAlign w:val="center"/>
            <w:textDirection w:val="lrTb"/>
            <w:noWrap w:val="false"/>
          </w:tcPr>
          <w:p>
            <w:pPr>
              <w:pStyle w:val="744"/>
              <w:widowControl w:val="false"/>
              <w:pBdr/>
              <w:spacing w:after="0" w:before="0"/>
              <w:ind w:firstLine="51"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  <w:lang w:val="ru-RU" w:eastAsia="ar-SA" w:bidi="ar-SA"/>
              </w:rPr>
              <w:t xml:space="preserve">Исполнитель после приема от Заказчика оргтехники должен провести техническое обслуживание оргтехники. Исполнитель после проведения технического обслуживания/диагностики оргтехники в обязательном порядке согласовывает с Заказчиком необходимость про</w:t>
            </w:r>
            <w:r>
              <w:rPr>
                <w:sz w:val="22"/>
                <w:szCs w:val="22"/>
                <w:lang w:val="ru-RU" w:eastAsia="ar-SA" w:bidi="ar-SA"/>
              </w:rPr>
              <w:t xml:space="preserve">ведения ремонта и в случае экономической нецелесообразности его проведения Исполнитель выдаёт техническое заключение. В случае ремонта оборудования с заменой комплектующих Исполнитель должен предоставить Заказчику информацию по необходимым запасным частям.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744"/>
              <w:widowControl w:val="false"/>
              <w:numPr>
                <w:ilvl w:val="0"/>
                <w:numId w:val="0"/>
              </w:numPr>
              <w:pBdr/>
              <w:shd w:val="clear" w:color="auto" w:fill="ffffff"/>
              <w:spacing/>
              <w:ind w:firstLine="0"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SimSun"/>
                <w:b/>
                <w:sz w:val="22"/>
                <w:szCs w:val="22"/>
              </w:rPr>
              <w:t xml:space="preserve">Техническое обслуживание оборудования включает в себя: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744"/>
              <w:widowControl w:val="false"/>
              <w:numPr>
                <w:ilvl w:val="0"/>
                <w:numId w:val="5"/>
              </w:numPr>
              <w:pBdr/>
              <w:shd w:val="clear" w:color="auto" w:fill="ffffff"/>
              <w:bidi w:val="false"/>
              <w:spacing w:after="0" w:before="0"/>
              <w:ind w:right="0" w:hanging="340" w:left="39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Диагностика состояния оборудования;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744"/>
              <w:widowControl w:val="false"/>
              <w:numPr>
                <w:ilvl w:val="0"/>
                <w:numId w:val="5"/>
              </w:numPr>
              <w:pBdr/>
              <w:shd w:val="clear" w:color="auto" w:fill="ffffff"/>
              <w:bidi w:val="false"/>
              <w:spacing w:after="0" w:before="0"/>
              <w:ind w:right="0" w:hanging="340" w:left="39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Очистка оптической системы аппарата: зеркал, линз, оптронных пар, датчиков и т.д.;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744"/>
              <w:widowControl w:val="false"/>
              <w:numPr>
                <w:ilvl w:val="0"/>
                <w:numId w:val="5"/>
              </w:numPr>
              <w:pBdr/>
              <w:shd w:val="clear" w:color="auto" w:fill="ffffff"/>
              <w:bidi w:val="false"/>
              <w:spacing w:after="0" w:before="0"/>
              <w:ind w:right="0" w:hanging="340" w:left="39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Очистка блока подачи и транспорта бумаги;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744"/>
              <w:widowControl w:val="false"/>
              <w:numPr>
                <w:ilvl w:val="0"/>
                <w:numId w:val="5"/>
              </w:numPr>
              <w:pBdr/>
              <w:shd w:val="clear" w:color="auto" w:fill="ffffff"/>
              <w:bidi w:val="false"/>
              <w:spacing w:after="0" w:before="0"/>
              <w:ind w:right="0" w:hanging="340" w:left="39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Очистка роликов регистрации бумаги;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744"/>
              <w:widowControl w:val="false"/>
              <w:numPr>
                <w:ilvl w:val="0"/>
                <w:numId w:val="5"/>
              </w:numPr>
              <w:pBdr/>
              <w:shd w:val="clear" w:color="auto" w:fill="ffffff"/>
              <w:bidi w:val="false"/>
              <w:spacing w:after="0" w:before="0"/>
              <w:ind w:right="0" w:hanging="340" w:left="39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Очистка и смазка шестерен передаточного механизма;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744"/>
              <w:widowControl w:val="false"/>
              <w:numPr>
                <w:ilvl w:val="0"/>
                <w:numId w:val="5"/>
              </w:numPr>
              <w:pBdr/>
              <w:shd w:val="clear" w:color="auto" w:fill="ffffff"/>
              <w:bidi w:val="false"/>
              <w:spacing w:after="0" w:before="0"/>
              <w:ind w:right="0" w:hanging="340" w:left="39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Очистка бункеров отработанного тонера и проверка картриджей, драм юнитов;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744"/>
              <w:widowControl w:val="false"/>
              <w:numPr>
                <w:ilvl w:val="0"/>
                <w:numId w:val="5"/>
              </w:numPr>
              <w:pBdr/>
              <w:shd w:val="clear" w:color="auto" w:fill="ffffff"/>
              <w:bidi w:val="false"/>
              <w:spacing w:after="0" w:before="0"/>
              <w:ind w:right="0" w:hanging="340" w:left="39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Очистка лотков для бумаги и внешних панелей аппарата;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744"/>
              <w:widowControl w:val="false"/>
              <w:numPr>
                <w:ilvl w:val="0"/>
                <w:numId w:val="5"/>
              </w:numPr>
              <w:pBdr/>
              <w:shd w:val="clear" w:color="auto" w:fill="ffffff"/>
              <w:bidi w:val="false"/>
              <w:spacing w:after="0" w:before="0"/>
              <w:ind w:right="0" w:hanging="340" w:left="39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Очистка прижимного и тефлонового валов, лапок отделения копира или узла термозакрепления оборудования;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744"/>
              <w:widowControl w:val="false"/>
              <w:numPr>
                <w:ilvl w:val="0"/>
                <w:numId w:val="5"/>
              </w:numPr>
              <w:pBdr/>
              <w:shd w:val="clear" w:color="auto" w:fill="ffffff"/>
              <w:bidi w:val="false"/>
              <w:spacing w:after="0" w:before="0"/>
              <w:ind w:right="0" w:hanging="340" w:left="39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Выявление необходимости замены деталей и узлов;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744"/>
              <w:widowControl w:val="false"/>
              <w:numPr>
                <w:ilvl w:val="0"/>
                <w:numId w:val="5"/>
              </w:numPr>
              <w:pBdr/>
              <w:shd w:val="clear" w:color="auto" w:fill="ffffff"/>
              <w:bidi w:val="false"/>
              <w:spacing w:after="0" w:before="0"/>
              <w:ind w:right="0" w:hanging="340" w:left="39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Тестирование оборудования, настройка необходимых параметров после проведения техобслуживания.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744"/>
              <w:widowControl w:val="false"/>
              <w:numPr>
                <w:ilvl w:val="0"/>
                <w:numId w:val="0"/>
              </w:numPr>
              <w:pBdr/>
              <w:shd w:val="clear" w:color="auto" w:fill="ffffff"/>
              <w:spacing/>
              <w:ind w:firstLine="0"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SimSun"/>
                <w:b/>
                <w:sz w:val="22"/>
                <w:szCs w:val="22"/>
              </w:rPr>
              <w:t xml:space="preserve">Ремонт оборудования включает в себя: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744"/>
              <w:widowControl w:val="false"/>
              <w:numPr>
                <w:ilvl w:val="0"/>
                <w:numId w:val="6"/>
              </w:numPr>
              <w:pBdr/>
              <w:shd w:val="clear" w:color="auto" w:fill="ffffff"/>
              <w:bidi w:val="false"/>
              <w:spacing w:after="0" w:before="0"/>
              <w:ind w:right="0" w:firstLine="0" w:left="11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Разборка оборудования до отдельных узлов (при необходимости до деталей);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744"/>
              <w:widowControl w:val="false"/>
              <w:numPr>
                <w:ilvl w:val="0"/>
                <w:numId w:val="6"/>
              </w:numPr>
              <w:pBdr/>
              <w:shd w:val="clear" w:color="auto" w:fill="ffffff"/>
              <w:bidi w:val="false"/>
              <w:spacing w:after="0" w:before="0"/>
              <w:ind w:right="0" w:firstLine="0" w:left="11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Очистка, промывку механических узлов и деталей оборудования;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744"/>
              <w:widowControl w:val="false"/>
              <w:numPr>
                <w:ilvl w:val="0"/>
                <w:numId w:val="6"/>
              </w:numPr>
              <w:pBdr/>
              <w:shd w:val="clear" w:color="auto" w:fill="ffffff"/>
              <w:bidi w:val="false"/>
              <w:spacing w:after="0" w:before="0"/>
              <w:ind w:right="0" w:firstLine="0" w:left="11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Очистка, восстановление специальными техническими жидкостями резиновых роликов подачи бумаги оборудования;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744"/>
              <w:widowControl w:val="false"/>
              <w:numPr>
                <w:ilvl w:val="0"/>
                <w:numId w:val="6"/>
              </w:numPr>
              <w:pBdr/>
              <w:shd w:val="clear" w:color="auto" w:fill="ffffff"/>
              <w:bidi w:val="false"/>
              <w:spacing w:after="0" w:before="0"/>
              <w:ind w:right="0" w:firstLine="0" w:left="11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Диагностика, регулировку отдельных узлов оборудования;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744"/>
              <w:widowControl w:val="false"/>
              <w:numPr>
                <w:ilvl w:val="0"/>
                <w:numId w:val="6"/>
              </w:numPr>
              <w:pBdr/>
              <w:shd w:val="clear" w:color="auto" w:fill="ffffff"/>
              <w:bidi w:val="false"/>
              <w:spacing w:after="0" w:before="0"/>
              <w:ind w:right="0" w:firstLine="0" w:left="11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Ремонт неисправных деталей и узлов оборудования (без замены комплектующих);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744"/>
              <w:widowControl w:val="false"/>
              <w:numPr>
                <w:ilvl w:val="0"/>
                <w:numId w:val="6"/>
              </w:numPr>
              <w:pBdr/>
              <w:shd w:val="clear" w:color="auto" w:fill="ffffff"/>
              <w:bidi w:val="false"/>
              <w:spacing w:after="0" w:before="0"/>
              <w:ind w:right="0" w:firstLine="0" w:left="11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Смазка механических узлов оборудования;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744"/>
              <w:widowControl w:val="false"/>
              <w:numPr>
                <w:ilvl w:val="0"/>
                <w:numId w:val="6"/>
              </w:numPr>
              <w:pBdr/>
              <w:shd w:val="clear" w:color="auto" w:fill="ffffff"/>
              <w:bidi w:val="false"/>
              <w:spacing w:after="0" w:before="0"/>
              <w:ind w:right="0" w:firstLine="0" w:left="11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Сборка оборудования, проверку работоспособности при автономной работе;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744"/>
              <w:widowControl w:val="false"/>
              <w:numPr>
                <w:ilvl w:val="0"/>
                <w:numId w:val="6"/>
              </w:numPr>
              <w:pBdr/>
              <w:shd w:val="clear" w:color="auto" w:fill="ffffff"/>
              <w:bidi w:val="false"/>
              <w:spacing w:after="0" w:before="0"/>
              <w:ind w:right="0" w:firstLine="0" w:left="11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Проверка работоспособности оборудования после подключения к компьютеру.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744"/>
              <w:widowControl w:val="false"/>
              <w:numPr>
                <w:ilvl w:val="0"/>
                <w:numId w:val="6"/>
              </w:numPr>
              <w:pBdr/>
              <w:shd w:val="clear" w:color="auto" w:fill="ffffff"/>
              <w:bidi w:val="false"/>
              <w:spacing w:after="0" w:before="0"/>
              <w:ind w:right="0" w:firstLine="0" w:left="113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  <w:lang w:val="ru-RU" w:eastAsia="ar-SA" w:bidi="ar-SA"/>
              </w:rPr>
              <w:t xml:space="preserve">Замена комплектующих вышедших из строя (включая стоимость запасной части).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2098" w:type="dxa"/>
            <w:textDirection w:val="lrTb"/>
            <w:noWrap w:val="false"/>
          </w:tcPr>
          <w:p>
            <w:pPr>
              <w:pStyle w:val="744"/>
              <w:keepNext w:val="true"/>
              <w:widowControl w:val="false"/>
              <w:pBdr/>
              <w:spacing w:after="60" w:before="6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ru-RU" w:bidi="ar-SA"/>
              </w:rPr>
              <w:t xml:space="preserve">Согласие с требованием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1981" w:type="dxa"/>
            <w:textDirection w:val="lrTb"/>
            <w:noWrap w:val="false"/>
          </w:tcPr>
          <w:p>
            <w:pPr>
              <w:pStyle w:val="744"/>
              <w:keepNext w:val="true"/>
              <w:widowControl w:val="false"/>
              <w:pBdr/>
              <w:spacing w:after="60" w:before="60"/>
              <w:ind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gridSpan w:val="3"/>
            <w:tcBorders/>
            <w:tcW w:w="1704" w:type="dxa"/>
            <w:textDirection w:val="lrTb"/>
            <w:noWrap w:val="false"/>
          </w:tcPr>
          <w:p>
            <w:pPr>
              <w:pStyle w:val="744"/>
              <w:keepNext w:val="true"/>
              <w:widowControl w:val="false"/>
              <w:pBdr/>
              <w:spacing w:after="60" w:before="60"/>
              <w:ind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/>
            <w:bookmarkStart w:id="28" w:name="_GoBack"/>
            <w:r/>
            <w:bookmarkEnd w:id="28"/>
            <w:r/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849" w:type="dxa"/>
            <w:vAlign w:val="center"/>
            <w:textDirection w:val="lrTb"/>
            <w:noWrap w:val="false"/>
          </w:tcPr>
          <w:p>
            <w:pPr>
              <w:pStyle w:val="785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  <w:t xml:space="preserve">1.2.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2269" w:type="dxa"/>
            <w:vAlign w:val="center"/>
            <w:textDirection w:val="lrTb"/>
            <w:noWrap w:val="false"/>
          </w:tcPr>
          <w:p>
            <w:pPr>
              <w:pStyle w:val="744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Место выполнения работ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3"/>
            <w:tcBorders/>
            <w:tcW w:w="5841" w:type="dxa"/>
            <w:vAlign w:val="center"/>
            <w:textDirection w:val="lrTb"/>
            <w:noWrap w:val="false"/>
          </w:tcPr>
          <w:p>
            <w:pPr>
              <w:pStyle w:val="744"/>
              <w:widowControl w:val="false"/>
              <w:pBdr/>
              <w:spacing w:after="60" w:before="60"/>
              <w:ind/>
              <w:jc w:val="both"/>
              <w:rPr>
                <w:highlight w:val="none"/>
                <w:shd w:val="clear" w:color="auto" w:fill="auto"/>
              </w:rPr>
            </w:pPr>
            <w:r>
              <w:rPr>
                <w:sz w:val="22"/>
                <w:szCs w:val="22"/>
                <w:shd w:val="clear" w:color="auto" w:fill="auto"/>
                <w:lang w:val="ru-RU" w:bidi="ar-SA"/>
              </w:rPr>
              <w:t xml:space="preserve">Участник должен выполнять работы по ремонту в городе Якутск.</w:t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/>
            <w:tcW w:w="2098" w:type="dxa"/>
            <w:textDirection w:val="lrTb"/>
            <w:noWrap w:val="false"/>
          </w:tcPr>
          <w:p>
            <w:pPr>
              <w:pStyle w:val="744"/>
              <w:keepNext w:val="true"/>
              <w:widowControl w:val="false"/>
              <w:pBdr/>
              <w:spacing w:after="60" w:before="6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ru-RU" w:bidi="ar-SA"/>
              </w:rPr>
              <w:t xml:space="preserve">Согласие с требованием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/>
            <w:tcW w:w="1981" w:type="dxa"/>
            <w:textDirection w:val="lrTb"/>
            <w:noWrap w:val="false"/>
          </w:tcPr>
          <w:p>
            <w:pPr>
              <w:pStyle w:val="744"/>
              <w:keepNext w:val="true"/>
              <w:widowControl w:val="false"/>
              <w:pBdr/>
              <w:spacing w:after="60" w:before="60"/>
              <w:ind/>
              <w:jc w:val="center"/>
              <w:rPr>
                <w:highlight w:val="none"/>
                <w:shd w:val="clear" w:color="auto" w:fill="ffff00"/>
              </w:rPr>
            </w:pPr>
            <w:r>
              <w:rPr>
                <w:shd w:val="clear" w:color="auto" w:fill="ffff00"/>
              </w:rPr>
            </w:r>
            <w:r>
              <w:rPr>
                <w:highlight w:val="none"/>
                <w:shd w:val="clear" w:color="auto" w:fill="ffff00"/>
              </w:rPr>
            </w:r>
          </w:p>
        </w:tc>
        <w:tc>
          <w:tcPr>
            <w:gridSpan w:val="3"/>
            <w:tcBorders/>
            <w:tcW w:w="1704" w:type="dxa"/>
            <w:textDirection w:val="lrTb"/>
            <w:noWrap w:val="false"/>
          </w:tcPr>
          <w:p>
            <w:pPr>
              <w:pStyle w:val="744"/>
              <w:keepNext w:val="true"/>
              <w:widowControl w:val="false"/>
              <w:pBdr/>
              <w:spacing w:after="60" w:before="60"/>
              <w:ind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849" w:type="dxa"/>
            <w:vAlign w:val="center"/>
            <w:textDirection w:val="lrTb"/>
            <w:noWrap w:val="false"/>
          </w:tcPr>
          <w:p>
            <w:pPr>
              <w:pStyle w:val="785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1.5.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269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Требования к оплате работ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/>
            <w:tcW w:w="5838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 w:after="0" w:before="0"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Оплата по настоящему Договору осуществляется: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744"/>
              <w:widowControl w:val="false"/>
              <w:pBdr/>
              <w:spacing w:after="0" w:before="0"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  </w:t>
            </w:r>
            <w:r>
              <w:rPr>
                <w:sz w:val="22"/>
                <w:szCs w:val="22"/>
                <w:lang w:val="ru-RU" w:bidi="ar-SA"/>
              </w:rPr>
              <w:t xml:space="preserve">-для договоров с СМП в течение 7 (семи) рабочих дней с даты подписания акта выполненных работ, на основании счета, выставленного Исполнителем.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744"/>
              <w:widowControl w:val="false"/>
              <w:pBdr/>
              <w:spacing w:after="60" w:before="60"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-для остальных Исполнителей договоров в течение 20(двадцати) календарных дней с даты подписания акта выполненных работ, на основании счета, выставленного Исполнителем.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/>
            <w:tcW w:w="2101" w:type="dxa"/>
            <w:textDirection w:val="lrTb"/>
            <w:noWrap w:val="false"/>
          </w:tcPr>
          <w:p>
            <w:pPr>
              <w:pStyle w:val="744"/>
              <w:keepNext w:val="true"/>
              <w:widowControl w:val="false"/>
              <w:pBdr/>
              <w:spacing w:after="60" w:before="6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ru-RU" w:bidi="ar-SA"/>
              </w:rPr>
              <w:t xml:space="preserve">Согласие с требованием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3"/>
            <w:shd w:val="clear" w:color="auto" w:fill="auto"/>
            <w:tcBorders/>
            <w:tcW w:w="2410" w:type="dxa"/>
            <w:textDirection w:val="lrTb"/>
            <w:noWrap w:val="false"/>
          </w:tcPr>
          <w:p>
            <w:pPr>
              <w:pStyle w:val="744"/>
              <w:keepNext w:val="true"/>
              <w:widowControl w:val="false"/>
              <w:pBdr/>
              <w:spacing w:after="60" w:before="60"/>
              <w:ind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275" w:type="dxa"/>
            <w:textDirection w:val="lrTb"/>
            <w:noWrap w:val="false"/>
          </w:tcPr>
          <w:p>
            <w:pPr>
              <w:pStyle w:val="744"/>
              <w:keepNext w:val="true"/>
              <w:widowControl w:val="false"/>
              <w:pBdr/>
              <w:spacing w:after="60" w:before="60"/>
              <w:ind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849" w:type="dxa"/>
            <w:vAlign w:val="center"/>
            <w:textDirection w:val="lrTb"/>
            <w:noWrap w:val="false"/>
          </w:tcPr>
          <w:p>
            <w:pPr>
              <w:pStyle w:val="785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1.6.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269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Требования по сроку выполнения работ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/>
            <w:tcW w:w="5838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Заказчик по мере необходимости в течение года будет передавать на ремонт оргтехнику.</w:t>
            </w:r>
            <w:r>
              <w:rPr>
                <w:sz w:val="22"/>
                <w:szCs w:val="22"/>
                <w:lang w:val="ru-RU" w:bidi="ar-SA"/>
              </w:rPr>
              <w:t xml:space="preserve"> Участник обязуется выполнить работы в течении 5 рабочих дней с момента передачи оргтехники.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/>
            <w:tcW w:w="2101" w:type="dxa"/>
            <w:textDirection w:val="lrTb"/>
            <w:noWrap w:val="false"/>
          </w:tcPr>
          <w:p>
            <w:pPr>
              <w:pStyle w:val="744"/>
              <w:keepNext w:val="true"/>
              <w:widowControl w:val="false"/>
              <w:pBdr/>
              <w:spacing w:after="60" w:before="6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ru-RU" w:bidi="ar-SA"/>
              </w:rPr>
              <w:t xml:space="preserve">Согласие с требованием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3"/>
            <w:shd w:val="clear" w:color="auto" w:fill="auto"/>
            <w:tcBorders/>
            <w:tcW w:w="2410" w:type="dxa"/>
            <w:textDirection w:val="lrTb"/>
            <w:noWrap w:val="false"/>
          </w:tcPr>
          <w:p>
            <w:pPr>
              <w:pStyle w:val="744"/>
              <w:keepNext w:val="true"/>
              <w:widowControl w:val="false"/>
              <w:pBdr/>
              <w:spacing w:after="60" w:before="60"/>
              <w:ind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275" w:type="dxa"/>
            <w:textDirection w:val="lrTb"/>
            <w:noWrap w:val="false"/>
          </w:tcPr>
          <w:p>
            <w:pPr>
              <w:pStyle w:val="744"/>
              <w:keepNext w:val="true"/>
              <w:widowControl w:val="false"/>
              <w:pBdr/>
              <w:spacing w:after="60" w:before="60"/>
              <w:ind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849" w:type="dxa"/>
            <w:vAlign w:val="center"/>
            <w:textDirection w:val="lrTb"/>
            <w:noWrap w:val="false"/>
          </w:tcPr>
          <w:p>
            <w:pPr>
              <w:pStyle w:val="785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1.7.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269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Требования к выполняемым работам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/>
            <w:tcW w:w="5838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 w:after="0" w:before="0"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1.</w:t>
              <w:tab/>
              <w:t xml:space="preserve">Участник гарантирует качество выполненных работ и используемых расходных материалов.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744"/>
              <w:widowControl w:val="false"/>
              <w:pBdr/>
              <w:spacing w:after="0" w:before="0"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2. </w:t>
            </w:r>
            <w:r>
              <w:rPr>
                <w:sz w:val="22"/>
                <w:szCs w:val="22"/>
                <w:lang w:val="ru-RU" w:eastAsia="ar-SA" w:bidi="ar-SA"/>
              </w:rPr>
              <w:t xml:space="preserve">В случае ремонта оборудования с заменой комплектующих Исполнитель должен предоставить Заказчику информацию по необходимым запасным частям.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744"/>
              <w:widowControl w:val="false"/>
              <w:pBdr/>
              <w:spacing w:after="0" w:before="0"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3.</w:t>
            </w:r>
            <w:r>
              <w:rPr>
                <w:rFonts w:eastAsia="SimSun"/>
                <w:sz w:val="22"/>
                <w:szCs w:val="22"/>
                <w:lang w:val="ru-RU" w:bidi="hi-IN"/>
              </w:rPr>
              <w:t xml:space="preserve">Цена оказываемых </w:t>
            </w:r>
            <w:r>
              <w:rPr>
                <w:rFonts w:eastAsia="SimSun"/>
                <w:sz w:val="22"/>
                <w:szCs w:val="22"/>
                <w:lang w:val="ru-RU" w:bidi="hi-IN"/>
              </w:rPr>
              <w:t xml:space="preserve">услуг должна включать все затраты Исполнителя на материалы и оборудование (запасные части), на перевозку, страхование, хранение, уплату налогов, таможенных пошлин и др. Вышедшие из строя оборудования детали, узлы должны быть упакованы и переданы Заказчику.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744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4.Участник выполняет свои обязательства лично.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/>
            <w:tcW w:w="2101" w:type="dxa"/>
            <w:textDirection w:val="lrTb"/>
            <w:noWrap w:val="false"/>
          </w:tcPr>
          <w:p>
            <w:pPr>
              <w:pStyle w:val="744"/>
              <w:keepNext w:val="true"/>
              <w:widowControl w:val="false"/>
              <w:pBdr/>
              <w:spacing w:after="60" w:before="6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ru-RU" w:bidi="ar-SA"/>
              </w:rPr>
              <w:t xml:space="preserve">Согласие с требованием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3"/>
            <w:shd w:val="clear" w:color="auto" w:fill="auto"/>
            <w:tcBorders/>
            <w:tcW w:w="2410" w:type="dxa"/>
            <w:textDirection w:val="lrTb"/>
            <w:noWrap w:val="false"/>
          </w:tcPr>
          <w:p>
            <w:pPr>
              <w:pStyle w:val="744"/>
              <w:keepNext w:val="true"/>
              <w:widowControl w:val="false"/>
              <w:pBdr/>
              <w:spacing w:after="60" w:before="60"/>
              <w:ind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275" w:type="dxa"/>
            <w:textDirection w:val="lrTb"/>
            <w:noWrap w:val="false"/>
          </w:tcPr>
          <w:p>
            <w:pPr>
              <w:pStyle w:val="744"/>
              <w:keepNext w:val="true"/>
              <w:widowControl w:val="false"/>
              <w:pBdr/>
              <w:spacing w:after="60" w:before="60"/>
              <w:ind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849" w:type="dxa"/>
            <w:vAlign w:val="center"/>
            <w:textDirection w:val="lrTb"/>
            <w:noWrap w:val="false"/>
          </w:tcPr>
          <w:p>
            <w:pPr>
              <w:pStyle w:val="785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1.8.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269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Требования к гарантии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/>
            <w:tcW w:w="5838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1. Участник предоставляет гарантийный срок на замененные комплектующие оргтехники и на выполненные работы в течении 6 месяцев после выполнения работ.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/>
            <w:tcW w:w="2101" w:type="dxa"/>
            <w:textDirection w:val="lrTb"/>
            <w:noWrap w:val="false"/>
          </w:tcPr>
          <w:p>
            <w:pPr>
              <w:pStyle w:val="744"/>
              <w:keepNext w:val="true"/>
              <w:widowControl w:val="false"/>
              <w:pBdr/>
              <w:spacing w:after="60" w:before="6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ru-RU" w:bidi="ar-SA"/>
              </w:rPr>
              <w:t xml:space="preserve">Согласие с требованием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3"/>
            <w:shd w:val="clear" w:color="auto" w:fill="auto"/>
            <w:tcBorders/>
            <w:tcW w:w="2410" w:type="dxa"/>
            <w:textDirection w:val="lrTb"/>
            <w:noWrap w:val="false"/>
          </w:tcPr>
          <w:p>
            <w:pPr>
              <w:pStyle w:val="744"/>
              <w:keepNext w:val="true"/>
              <w:widowControl w:val="false"/>
              <w:pBdr/>
              <w:spacing w:after="60" w:before="60"/>
              <w:ind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275" w:type="dxa"/>
            <w:textDirection w:val="lrTb"/>
            <w:noWrap w:val="false"/>
          </w:tcPr>
          <w:p>
            <w:pPr>
              <w:pStyle w:val="744"/>
              <w:keepNext w:val="true"/>
              <w:widowControl w:val="false"/>
              <w:pBdr/>
              <w:spacing w:after="60" w:before="60"/>
              <w:ind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849" w:type="dxa"/>
            <w:vAlign w:val="center"/>
            <w:textDirection w:val="lrTb"/>
            <w:noWrap w:val="false"/>
          </w:tcPr>
          <w:p>
            <w:pPr>
              <w:pStyle w:val="785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1.9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269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Требование к безопасности по выполнению работ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/>
            <w:tcW w:w="5838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1. Выполняемые работы должны отвечать требованиям безопасности для жизни и здоровья людей. Используемые материалы не должны содер</w:t>
            </w:r>
            <w:r>
              <w:rPr>
                <w:sz w:val="22"/>
                <w:szCs w:val="22"/>
                <w:lang w:val="ru-RU" w:bidi="ar-SA"/>
              </w:rPr>
              <w:t xml:space="preserve">жать ядовитых (токсичных) компонентов, должны соответствовать установленным санитарным нормам и правилам Российской Федерации, государственным стандартам или техническим условиям, должны быть разрешены к применению и иметь необходимые сертификаты качества.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785"/>
              <w:widowControl w:val="false"/>
              <w:numPr>
                <w:ilvl w:val="0"/>
                <w:numId w:val="2"/>
              </w:numPr>
              <w:pBdr/>
              <w:tabs>
                <w:tab w:val="left" w:leader="none" w:pos="426"/>
                <w:tab w:val="clear" w:leader="none" w:pos="708"/>
              </w:tabs>
              <w:spacing w:after="0" w:before="60"/>
              <w:ind w:hanging="360" w:left="0"/>
              <w:contextualSpacing w:val="tru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2.Работы должны выполняться в соответствии с действующим законодательством Российской Федерации с обязательным выполнением норм и правил охраны труда, пожарной безопасности и техники безопасности, производственной санитарии.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/>
            <w:tcW w:w="2101" w:type="dxa"/>
            <w:textDirection w:val="lrTb"/>
            <w:noWrap w:val="false"/>
          </w:tcPr>
          <w:p>
            <w:pPr>
              <w:pStyle w:val="744"/>
              <w:keepNext w:val="true"/>
              <w:widowControl w:val="false"/>
              <w:pBdr/>
              <w:spacing w:after="0" w:before="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ru-RU" w:bidi="ar-SA"/>
              </w:rPr>
              <w:t xml:space="preserve">Согласие с требованием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3"/>
            <w:shd w:val="clear" w:color="auto" w:fill="auto"/>
            <w:tcBorders/>
            <w:tcW w:w="2410" w:type="dxa"/>
            <w:textDirection w:val="lrTb"/>
            <w:noWrap w:val="false"/>
          </w:tcPr>
          <w:p>
            <w:pPr>
              <w:pStyle w:val="744"/>
              <w:keepNext w:val="true"/>
              <w:widowControl w:val="false"/>
              <w:pBdr/>
              <w:spacing w:after="60" w:before="60"/>
              <w:ind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275" w:type="dxa"/>
            <w:textDirection w:val="lrTb"/>
            <w:noWrap w:val="false"/>
          </w:tcPr>
          <w:p>
            <w:pPr>
              <w:pStyle w:val="744"/>
              <w:keepNext w:val="true"/>
              <w:widowControl w:val="false"/>
              <w:pBdr/>
              <w:spacing w:after="60" w:before="60"/>
              <w:ind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rFonts w:ascii="Times New Roman" w:hAnsi="Times New Roman"/>
                <w:b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849" w:type="dxa"/>
            <w:vAlign w:val="center"/>
            <w:textDirection w:val="lrTb"/>
            <w:noWrap w:val="false"/>
          </w:tcPr>
          <w:p>
            <w:pPr>
              <w:pStyle w:val="744"/>
              <w:widowControl w:val="false"/>
              <w:pBdr/>
              <w:spacing w:after="60" w:before="60"/>
              <w:ind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2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3"/>
            <w:shd w:val="clear" w:color="auto" w:fill="auto"/>
            <w:tcBorders/>
            <w:tcW w:w="8107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Дополнительные к установленным в документации о закупке требования к участникам. Перечень документов, подтверждающих соответствие Участника закупки установленным дополнительным требованиям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/>
            <w:tcW w:w="2101" w:type="dxa"/>
            <w:textDirection w:val="lrTb"/>
            <w:noWrap w:val="false"/>
          </w:tcPr>
          <w:p>
            <w:pPr>
              <w:pStyle w:val="744"/>
              <w:keepNext w:val="true"/>
              <w:widowControl w:val="false"/>
              <w:pBdr/>
              <w:spacing w:after="60" w:before="6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-//-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3"/>
            <w:shd w:val="clear" w:color="auto" w:fill="auto"/>
            <w:tcBorders/>
            <w:tcW w:w="2410" w:type="dxa"/>
            <w:textDirection w:val="lrTb"/>
            <w:noWrap w:val="false"/>
          </w:tcPr>
          <w:p>
            <w:pPr>
              <w:pStyle w:val="744"/>
              <w:keepNext w:val="true"/>
              <w:widowControl w:val="false"/>
              <w:pBdr/>
              <w:spacing w:after="60" w:before="6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-//-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275" w:type="dxa"/>
            <w:textDirection w:val="lrTb"/>
            <w:noWrap w:val="false"/>
          </w:tcPr>
          <w:p>
            <w:pPr>
              <w:pStyle w:val="744"/>
              <w:keepNext w:val="true"/>
              <w:widowControl w:val="false"/>
              <w:pBdr/>
              <w:spacing w:after="60" w:before="60"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-//-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849" w:type="dxa"/>
            <w:vAlign w:val="center"/>
            <w:textDirection w:val="lrTb"/>
            <w:noWrap w:val="false"/>
          </w:tcPr>
          <w:p>
            <w:pPr>
              <w:pStyle w:val="785"/>
              <w:widowControl w:val="false"/>
              <w:pBdr/>
              <w:spacing w:after="60" w:before="60"/>
              <w:ind w:firstLine="0" w:left="5"/>
              <w:contextualSpacing w:val="tru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2.1.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269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Требования к Участникам закупочных процедур в части ценообразования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/>
            <w:tcW w:w="5838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tabs>
                <w:tab w:val="clear" w:leader="none" w:pos="708"/>
                <w:tab w:val="left" w:leader="none" w:pos="709"/>
              </w:tabs>
              <w:spacing w:after="0" w:before="0"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Для обоснования стоимости заявки Участник должен представить Коммерческое предложение в форме, приведенной в Документации о закупке.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/>
            <w:tcW w:w="2101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ru-RU" w:bidi="ar-SA"/>
              </w:rPr>
              <w:t xml:space="preserve">Согласие с требованием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3"/>
            <w:shd w:val="clear" w:color="auto" w:fill="auto"/>
            <w:tcBorders/>
            <w:tcW w:w="2410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27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non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Style w:val="785"/>
              <w:widowControl w:val="false"/>
              <w:pBdr/>
              <w:spacing w:after="60" w:before="60"/>
              <w:ind w:firstLine="0" w:left="5"/>
              <w:contextualSpacing w:val="tru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2.2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2269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Квалификация персонала исполнения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744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привлекаемого к выполнению работ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</w:tcBorders>
            <w:tcW w:w="5838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 w:after="0" w:before="0"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 должен привлекать к выполнению работ: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744"/>
              <w:widowControl w:val="false"/>
              <w:pBdr/>
              <w:spacing w:after="0" w:before="0"/>
              <w:ind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- Не менее одного специалиста, прошедших курс обучения по ремонту оргтехники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</w:tcBorders>
            <w:tcW w:w="2101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3"/>
            <w:shd w:val="clear" w:color="auto" w:fill="auto"/>
            <w:tcBorders>
              <w:top w:val="non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 w:bidi="ar-SA"/>
              </w:rPr>
              <w:t xml:space="preserve">Предоставление копий сертификатов сотрудников Исполнителя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744"/>
              <w:widowControl w:val="false"/>
              <w:pBdr/>
              <w:spacing w:after="0" w:before="0"/>
              <w:ind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pStyle w:val="744"/>
        <w:pBdr/>
        <w:spacing w:after="120" w:before="0"/>
        <w:ind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</w:r>
      <w:r>
        <w:rPr>
          <w:rFonts w:eastAsia="Arial Unicode MS"/>
          <w:sz w:val="24"/>
          <w:szCs w:val="24"/>
        </w:rPr>
      </w:r>
    </w:p>
    <w:p>
      <w:pPr>
        <w:pStyle w:val="744"/>
        <w:pBdr/>
        <w:spacing/>
        <w:ind/>
        <w:rPr/>
      </w:pPr>
      <w:r/>
      <w:r/>
    </w:p>
    <w:sectPr>
      <w:headerReference w:type="default" r:id="rId13"/>
      <w:headerReference w:type="first" r:id="rId14"/>
      <w:footnotePr/>
      <w:endnotePr/>
      <w:type w:val="nextPage"/>
      <w:pgSz w:h="11906" w:orient="landscape" w:w="16838"/>
      <w:pgMar w:top="1134" w:right="1134" w:bottom="709" w:left="992" w:header="680" w:footer="0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Symbol">
    <w:panose1 w:val="05010000000000000000"/>
  </w:font>
  <w:font w:name="Calibri Light (Заголовки)">
    <w:panose1 w:val="020F0502020204030204"/>
  </w:font>
  <w:font w:name="Liberation Sans">
    <w:panose1 w:val="020B0604020202020204"/>
  </w:font>
  <w:font w:name="Lohit Devanagari">
    <w:panose1 w:val="020B0600000000000000"/>
  </w:font>
  <w:font w:name="OpenSymbol">
    <w:panose1 w:val="05010000000000000000"/>
  </w:font>
  <w:font w:name="Tahoma">
    <w:panose1 w:val="020B0604030504040204"/>
  </w:font>
  <w:font w:name="Cambria">
    <w:panose1 w:val="02040803050406030204"/>
  </w:font>
  <w:font w:name="Calibri">
    <w:panose1 w:val="020F050202020403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1"/>
      <w:pBdr/>
      <w:spacing/>
      <w:ind/>
      <w:jc w:val="center"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1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5</w:t>
    </w:r>
    <w:r>
      <w:fldChar w:fldCharType="end"/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1"/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781"/>
                            <w:pBdr/>
                            <w:spacing/>
                            <w:ind/>
                            <w:rPr>
                              <w:rStyle w:val="761"/>
                            </w:rPr>
                          </w:pPr>
                          <w:r>
                            <w:rPr>
                              <w:rStyle w:val="761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761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761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761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761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761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;o:allowoverlap:true;o:allowincell:fals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781"/>
                      <w:pBdr/>
                      <w:spacing/>
                      <w:ind/>
                      <w:rPr>
                        <w:rStyle w:val="761"/>
                      </w:rPr>
                    </w:pPr>
                    <w:r>
                      <w:rPr>
                        <w:rStyle w:val="761"/>
                        <w:color w:val="000000"/>
                      </w:rPr>
                      <w:fldChar w:fldCharType="begin"/>
                    </w:r>
                    <w:r>
                      <w:rPr>
                        <w:rStyle w:val="761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761"/>
                        <w:color w:val="000000"/>
                      </w:rPr>
                      <w:fldChar w:fldCharType="separate"/>
                    </w:r>
                    <w:r>
                      <w:rPr>
                        <w:rStyle w:val="761"/>
                        <w:color w:val="000000"/>
                      </w:rPr>
                      <w:t xml:space="preserve">0</w:t>
                    </w:r>
                    <w:r>
                      <w:rPr>
                        <w:rStyle w:val="761"/>
                        <w:color w:val="000000"/>
                      </w:rPr>
                      <w:fldChar w:fldCharType="end"/>
                    </w:r>
                    <w:r>
                      <w:rPr>
                        <w:rStyle w:val="761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1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5</w:t>
    </w:r>
    <w:r>
      <w:fldChar w:fldCharType="end"/>
    </w:r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1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9</w:t>
    </w:r>
    <w:r>
      <w:fldChar w:fldCharType="end"/>
    </w:r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1"/>
      <w:pBdr/>
      <w:spacing/>
      <w:ind/>
      <w:jc w:val="center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6</w:t>
    </w:r>
    <w: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5038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432"/>
      </w:pPr>
      <w:rPr>
        <w:b/>
        <w:bCs/>
        <w:i w:val="0"/>
        <w:iCs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>
        <w:b/>
        <w:bCs w:val="0"/>
        <w:sz w:val="24"/>
        <w:szCs w:val="24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1000"/>
      </w:pPr>
      <w:rPr>
        <w:b w:val="0"/>
        <w:bCs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>
        <w:sz w:val="24"/>
        <w:szCs w:val="24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>
        <w:rFonts w:cs="Times New Roman"/>
      </w:rPr>
      <w:start w:val="1"/>
      <w:suff w:val="tab"/>
    </w:lvl>
  </w:abstractNum>
  <w:abstractNum w:abstractNumId="4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◦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hint="default" w:ascii="OpenSymbol" w:hAnsi="OpenSymbol" w:cs="OpenSymbol"/>
      </w:rPr>
      <w:start w:val="1"/>
      <w:suff w:val="tab"/>
    </w:lvl>
    <w:lvl w:ilvl="2">
      <w:isLgl w:val="false"/>
      <w:lvlJc w:val="left"/>
      <w:lvlText w:val="▪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OpenSymbol" w:hAnsi="OpenSymbol" w:cs="OpenSymbol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◦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OpenSymbol" w:hAnsi="OpenSymbol" w:cs="OpenSymbol"/>
      </w:rPr>
      <w:start w:val="1"/>
      <w:suff w:val="tab"/>
    </w:lvl>
    <w:lvl w:ilvl="5">
      <w:isLgl w:val="false"/>
      <w:lvlJc w:val="left"/>
      <w:lvlText w:val="▪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hint="default" w:ascii="OpenSymbol" w:hAnsi="OpenSymbol" w:cs="OpenSymbol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◦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hint="default" w:ascii="OpenSymbol" w:hAnsi="OpenSymbol" w:cs="OpenSymbol"/>
      </w:rPr>
      <w:start w:val="1"/>
      <w:suff w:val="tab"/>
    </w:lvl>
    <w:lvl w:ilvl="8">
      <w:isLgl w:val="false"/>
      <w:lvlJc w:val="left"/>
      <w:lvlText w:val="▪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OpenSymbol" w:hAnsi="OpenSymbol" w:cs="OpenSymbol"/>
      </w:rPr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◦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hint="default" w:ascii="OpenSymbol" w:hAnsi="OpenSymbol" w:cs="OpenSymbol"/>
      </w:rPr>
      <w:start w:val="1"/>
      <w:suff w:val="tab"/>
    </w:lvl>
    <w:lvl w:ilvl="2">
      <w:isLgl w:val="false"/>
      <w:lvlJc w:val="left"/>
      <w:lvlText w:val="▪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OpenSymbol" w:hAnsi="OpenSymbol" w:cs="OpenSymbol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◦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OpenSymbol" w:hAnsi="OpenSymbol" w:cs="OpenSymbol"/>
      </w:rPr>
      <w:start w:val="1"/>
      <w:suff w:val="tab"/>
    </w:lvl>
    <w:lvl w:ilvl="5">
      <w:isLgl w:val="false"/>
      <w:lvlJc w:val="left"/>
      <w:lvlText w:val="▪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hint="default" w:ascii="OpenSymbol" w:hAnsi="OpenSymbol" w:cs="OpenSymbol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◦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hint="default" w:ascii="OpenSymbol" w:hAnsi="OpenSymbol" w:cs="OpenSymbol"/>
      </w:rPr>
      <w:start w:val="1"/>
      <w:suff w:val="tab"/>
    </w:lvl>
    <w:lvl w:ilvl="8">
      <w:isLgl w:val="false"/>
      <w:lvlJc w:val="left"/>
      <w:lvlText w:val="▪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OpenSymbol" w:hAnsi="OpenSymbol" w:cs="OpenSymbol"/>
      </w:rPr>
      <w:start w:val="1"/>
      <w:suff w:val="tab"/>
    </w:lvl>
  </w:abstractNum>
  <w:abstractNum w:abstractNumId="6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 Light"/>
    <w:basedOn w:val="79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79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79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7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7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7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4">
    <w:name w:val="Heading 7"/>
    <w:basedOn w:val="744"/>
    <w:next w:val="74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744"/>
    <w:next w:val="744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744"/>
    <w:next w:val="744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751"/>
    <w:link w:val="74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51"/>
    <w:link w:val="74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51"/>
    <w:link w:val="74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51"/>
    <w:link w:val="74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51"/>
    <w:link w:val="74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51"/>
    <w:link w:val="75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51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51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51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744"/>
    <w:next w:val="744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751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744"/>
    <w:next w:val="744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751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744"/>
    <w:next w:val="744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751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75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744"/>
    <w:next w:val="744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751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75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744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75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Strong"/>
    <w:basedOn w:val="751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75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75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751"/>
    <w:link w:val="781"/>
    <w:uiPriority w:val="99"/>
    <w:pPr>
      <w:pBdr/>
      <w:spacing/>
      <w:ind/>
    </w:pPr>
  </w:style>
  <w:style w:type="character" w:styleId="178">
    <w:name w:val="Footer Char"/>
    <w:basedOn w:val="751"/>
    <w:link w:val="791"/>
    <w:uiPriority w:val="99"/>
    <w:pPr>
      <w:pBdr/>
      <w:spacing/>
      <w:ind/>
    </w:pPr>
  </w:style>
  <w:style w:type="character" w:styleId="181">
    <w:name w:val="Footnote Text Char"/>
    <w:basedOn w:val="751"/>
    <w:link w:val="779"/>
    <w:uiPriority w:val="99"/>
    <w:semiHidden/>
    <w:pPr>
      <w:pBdr/>
      <w:spacing/>
      <w:ind/>
    </w:pPr>
    <w:rPr>
      <w:sz w:val="20"/>
      <w:szCs w:val="20"/>
    </w:rPr>
  </w:style>
  <w:style w:type="paragraph" w:styleId="183">
    <w:name w:val="endnote text"/>
    <w:basedOn w:val="744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751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751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FollowedHyperlink"/>
    <w:basedOn w:val="75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744"/>
    <w:next w:val="744"/>
    <w:uiPriority w:val="99"/>
    <w:unhideWhenUsed/>
    <w:pPr>
      <w:pBdr/>
      <w:spacing w:after="0" w:afterAutospacing="0"/>
      <w:ind/>
    </w:pPr>
  </w:style>
  <w:style w:type="paragraph" w:styleId="744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745">
    <w:name w:val="Heading 1"/>
    <w:basedOn w:val="747"/>
    <w:next w:val="744"/>
    <w:link w:val="752"/>
    <w:uiPriority w:val="9"/>
    <w:qFormat/>
    <w:pPr>
      <w:pBdr/>
      <w:spacing/>
      <w:ind/>
      <w:outlineLvl w:val="0"/>
    </w:pPr>
    <w:rPr>
      <w:sz w:val="28"/>
      <w:szCs w:val="28"/>
    </w:rPr>
  </w:style>
  <w:style w:type="paragraph" w:styleId="746">
    <w:name w:val="Heading 2"/>
    <w:basedOn w:val="748"/>
    <w:next w:val="744"/>
    <w:link w:val="753"/>
    <w:qFormat/>
    <w:pPr>
      <w:pBdr/>
      <w:spacing/>
      <w:ind/>
      <w:outlineLvl w:val="1"/>
    </w:pPr>
  </w:style>
  <w:style w:type="paragraph" w:styleId="747">
    <w:name w:val="Heading 3"/>
    <w:basedOn w:val="744"/>
    <w:next w:val="744"/>
    <w:link w:val="754"/>
    <w:qFormat/>
    <w:pPr>
      <w:keepNext w:val="true"/>
      <w:pBdr/>
      <w:tabs>
        <w:tab w:val="left" w:leader="none" w:pos="0"/>
        <w:tab w:val="clear" w:leader="none" w:pos="708"/>
      </w:tabs>
      <w:spacing w:after="60" w:before="240"/>
      <w:ind w:hanging="505" w:left="1225"/>
      <w:outlineLvl w:val="2"/>
    </w:pPr>
    <w:rPr>
      <w:rFonts w:eastAsia="Calibri"/>
      <w:b/>
      <w:sz w:val="24"/>
      <w:szCs w:val="24"/>
    </w:rPr>
  </w:style>
  <w:style w:type="paragraph" w:styleId="748">
    <w:name w:val="Heading 4"/>
    <w:basedOn w:val="747"/>
    <w:next w:val="744"/>
    <w:link w:val="755"/>
    <w:qFormat/>
    <w:pPr>
      <w:pBdr/>
      <w:spacing/>
      <w:ind/>
      <w:outlineLvl w:val="3"/>
    </w:pPr>
    <w:rPr>
      <w:bCs/>
    </w:rPr>
  </w:style>
  <w:style w:type="paragraph" w:styleId="749">
    <w:name w:val="Heading 5"/>
    <w:basedOn w:val="744"/>
    <w:next w:val="744"/>
    <w:link w:val="769"/>
    <w:uiPriority w:val="9"/>
    <w:unhideWhenUsed/>
    <w:qFormat/>
    <w:pPr>
      <w:keepNext w:val="true"/>
      <w:keepLines w:val="true"/>
      <w:pBdr/>
      <w:spacing w:after="0" w:before="200"/>
      <w:ind/>
      <w:outlineLvl w:val="4"/>
    </w:pPr>
    <w:rPr>
      <w:rFonts w:ascii="Cambria" w:hAnsi="Cambria" w:asciiTheme="majorHAnsi" w:hAnsiTheme="majorHAnsi" w:eastAsiaTheme="majorEastAsia" w:cstheme="majorBidi"/>
      <w:color w:val="243f60" w:themeColor="accent1" w:themeShade="7F"/>
    </w:rPr>
  </w:style>
  <w:style w:type="paragraph" w:styleId="750">
    <w:name w:val="Heading 6"/>
    <w:basedOn w:val="744"/>
    <w:next w:val="744"/>
    <w:link w:val="770"/>
    <w:uiPriority w:val="9"/>
    <w:unhideWhenUsed/>
    <w:qFormat/>
    <w:pPr>
      <w:keepNext w:val="true"/>
      <w:keepLines w:val="true"/>
      <w:pBdr/>
      <w:spacing w:after="0" w:before="200"/>
      <w:ind/>
      <w:outlineLvl w:val="5"/>
    </w:pPr>
    <w:rPr>
      <w:rFonts w:ascii="Cambria" w:hAnsi="Cambria" w:asciiTheme="majorHAnsi" w:hAnsiTheme="majorHAnsi" w:eastAsiaTheme="majorEastAsia" w:cstheme="majorBidi"/>
      <w:i/>
      <w:iCs/>
      <w:color w:val="243f60" w:themeColor="accent1" w:themeShade="7F"/>
    </w:rPr>
  </w:style>
  <w:style w:type="character" w:styleId="751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752" w:customStyle="1">
    <w:name w:val="Заголовок 1 Знак"/>
    <w:basedOn w:val="751"/>
    <w:uiPriority w:val="9"/>
    <w:qFormat/>
    <w:pPr>
      <w:pBdr/>
      <w:spacing/>
      <w:ind/>
    </w:pPr>
    <w:rPr>
      <w:rFonts w:ascii="Times New Roman" w:hAnsi="Times New Roman" w:eastAsia="Calibri" w:cs="Times New Roman"/>
      <w:b/>
      <w:sz w:val="28"/>
      <w:szCs w:val="28"/>
    </w:rPr>
  </w:style>
  <w:style w:type="character" w:styleId="753" w:customStyle="1">
    <w:name w:val="Заголовок 2 Знак"/>
    <w:basedOn w:val="751"/>
    <w:qFormat/>
    <w:pPr>
      <w:pBdr/>
      <w:spacing/>
      <w:ind/>
    </w:pPr>
    <w:rPr>
      <w:rFonts w:ascii="Times New Roman" w:hAnsi="Times New Roman" w:eastAsia="Calibri" w:cs="Times New Roman"/>
      <w:b/>
      <w:bCs/>
      <w:sz w:val="24"/>
      <w:szCs w:val="24"/>
    </w:rPr>
  </w:style>
  <w:style w:type="character" w:styleId="754" w:customStyle="1">
    <w:name w:val="Заголовок 3 Знак"/>
    <w:basedOn w:val="751"/>
    <w:qFormat/>
    <w:pPr>
      <w:pBdr/>
      <w:spacing/>
      <w:ind/>
    </w:pPr>
    <w:rPr>
      <w:rFonts w:ascii="Times New Roman" w:hAnsi="Times New Roman" w:eastAsia="Calibri" w:cs="Times New Roman"/>
      <w:b/>
      <w:sz w:val="24"/>
      <w:szCs w:val="24"/>
    </w:rPr>
  </w:style>
  <w:style w:type="character" w:styleId="755" w:customStyle="1">
    <w:name w:val="Заголовок 4 Знак"/>
    <w:basedOn w:val="751"/>
    <w:qFormat/>
    <w:pPr>
      <w:pBdr/>
      <w:spacing/>
      <w:ind/>
    </w:pPr>
    <w:rPr>
      <w:rFonts w:ascii="Times New Roman" w:hAnsi="Times New Roman" w:eastAsia="Calibri" w:cs="Times New Roman"/>
      <w:b/>
      <w:bCs/>
      <w:sz w:val="24"/>
      <w:szCs w:val="24"/>
    </w:rPr>
  </w:style>
  <w:style w:type="character" w:styleId="756" w:customStyle="1">
    <w:name w:val="Текст сноски Знак"/>
    <w:basedOn w:val="751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757" w:customStyle="1">
    <w:name w:val="Символ сноски"/>
    <w:qFormat/>
    <w:pPr>
      <w:pBdr/>
      <w:spacing/>
      <w:ind/>
    </w:pPr>
    <w:rPr>
      <w:vertAlign w:val="superscript"/>
    </w:rPr>
  </w:style>
  <w:style w:type="character" w:styleId="758">
    <w:name w:val="footnote reference"/>
    <w:pPr>
      <w:pBdr/>
      <w:spacing/>
      <w:ind/>
    </w:pPr>
    <w:rPr>
      <w:vertAlign w:val="superscript"/>
    </w:rPr>
  </w:style>
  <w:style w:type="character" w:styleId="759" w:customStyle="1">
    <w:name w:val="Footnote Characters"/>
    <w:qFormat/>
    <w:pPr>
      <w:pBdr/>
      <w:spacing/>
      <w:ind/>
    </w:pPr>
    <w:rPr>
      <w:vertAlign w:val="superscript"/>
    </w:rPr>
  </w:style>
  <w:style w:type="character" w:styleId="760" w:customStyle="1">
    <w:name w:val="Верхний колонтитул Знак"/>
    <w:basedOn w:val="751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61">
    <w:name w:val="page number"/>
    <w:basedOn w:val="751"/>
    <w:qFormat/>
    <w:pPr>
      <w:pBdr/>
      <w:spacing/>
      <w:ind/>
    </w:pPr>
  </w:style>
  <w:style w:type="character" w:styleId="762">
    <w:name w:val="Hyperlink"/>
    <w:basedOn w:val="751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763" w:customStyle="1">
    <w:name w:val="Абзац списка Знак"/>
    <w:link w:val="785"/>
    <w:uiPriority w:val="34"/>
    <w:qFormat/>
    <w:pPr>
      <w:pBdr/>
      <w:spacing/>
      <w:ind/>
    </w:pPr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764" w:customStyle="1">
    <w:name w:val="комментарий"/>
    <w:qFormat/>
    <w:pPr>
      <w:pBdr/>
      <w:spacing/>
      <w:ind/>
    </w:pPr>
    <w:rPr>
      <w:b/>
      <w:i/>
      <w:shd w:val="clear" w:color="auto" w:fill="ffff99"/>
    </w:rPr>
  </w:style>
  <w:style w:type="character" w:styleId="765" w:customStyle="1">
    <w:name w:val="Текст выноски Знак"/>
    <w:basedOn w:val="751"/>
    <w:link w:val="790"/>
    <w:uiPriority w:val="99"/>
    <w:semiHidden/>
    <w:qFormat/>
    <w:pPr>
      <w:pBdr/>
      <w:spacing/>
      <w:ind/>
    </w:pPr>
    <w:rPr>
      <w:rFonts w:ascii="Tahoma" w:hAnsi="Tahoma" w:eastAsia="Times New Roman" w:cs="Tahoma"/>
      <w:sz w:val="16"/>
      <w:szCs w:val="16"/>
      <w:lang w:eastAsia="ru-RU"/>
    </w:rPr>
  </w:style>
  <w:style w:type="character" w:styleId="766">
    <w:name w:val="Emphasis"/>
    <w:basedOn w:val="751"/>
    <w:uiPriority w:val="20"/>
    <w:qFormat/>
    <w:pPr>
      <w:pBdr/>
      <w:spacing/>
      <w:ind/>
    </w:pPr>
    <w:rPr>
      <w:i/>
      <w:iCs/>
    </w:rPr>
  </w:style>
  <w:style w:type="character" w:styleId="767" w:customStyle="1">
    <w:name w:val="Нижний колонтитул Знак"/>
    <w:basedOn w:val="751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768" w:customStyle="1">
    <w:name w:val="Ссылка указателя"/>
    <w:qFormat/>
    <w:pPr>
      <w:pBdr/>
      <w:spacing/>
      <w:ind/>
    </w:pPr>
  </w:style>
  <w:style w:type="character" w:styleId="769" w:customStyle="1">
    <w:name w:val="Заголовок 5 Знак"/>
    <w:basedOn w:val="751"/>
    <w:uiPriority w:val="9"/>
    <w:qFormat/>
    <w:pPr>
      <w:pBdr/>
      <w:spacing/>
      <w:ind/>
    </w:pPr>
    <w:rPr>
      <w:rFonts w:ascii="Cambria" w:hAnsi="Cambria" w:asciiTheme="majorHAnsi" w:hAnsiTheme="majorHAnsi" w:eastAsiaTheme="majorEastAsia" w:cstheme="majorBidi"/>
      <w:color w:val="243f60" w:themeColor="accent1" w:themeShade="7F"/>
      <w:sz w:val="28"/>
      <w:szCs w:val="28"/>
      <w:lang w:eastAsia="ru-RU"/>
    </w:rPr>
  </w:style>
  <w:style w:type="character" w:styleId="770" w:customStyle="1">
    <w:name w:val="Заголовок 6 Знак"/>
    <w:basedOn w:val="751"/>
    <w:uiPriority w:val="9"/>
    <w:qFormat/>
    <w:pPr>
      <w:pBdr/>
      <w:spacing/>
      <w:ind/>
    </w:pPr>
    <w:rPr>
      <w:rFonts w:ascii="Cambria" w:hAnsi="Cambria" w:asciiTheme="majorHAnsi" w:hAnsiTheme="majorHAnsi" w:eastAsiaTheme="majorEastAsia" w:cstheme="majorBidi"/>
      <w:i/>
      <w:iCs/>
      <w:color w:val="243f60" w:themeColor="accent1" w:themeShade="7F"/>
      <w:sz w:val="28"/>
      <w:szCs w:val="28"/>
      <w:lang w:eastAsia="ru-RU"/>
    </w:rPr>
  </w:style>
  <w:style w:type="character" w:styleId="771">
    <w:name w:val="Маркеры"/>
    <w:qFormat/>
    <w:pPr>
      <w:pBdr/>
      <w:spacing/>
      <w:ind/>
    </w:pPr>
    <w:rPr>
      <w:rFonts w:ascii="OpenSymbol" w:hAnsi="OpenSymbol" w:eastAsia="OpenSymbol" w:cs="OpenSymbol"/>
    </w:rPr>
  </w:style>
  <w:style w:type="paragraph" w:styleId="772" w:customStyle="1">
    <w:name w:val="Заголовок"/>
    <w:basedOn w:val="744"/>
    <w:next w:val="773"/>
    <w:qFormat/>
    <w:pPr>
      <w:keepNext w:val="true"/>
      <w:pBdr/>
      <w:spacing w:after="120" w:before="240"/>
      <w:ind/>
    </w:pPr>
    <w:rPr>
      <w:rFonts w:ascii="Liberation Sans" w:hAnsi="Liberation Sans" w:eastAsia="Tahoma" w:cs="Lohit Devanagari"/>
    </w:rPr>
  </w:style>
  <w:style w:type="paragraph" w:styleId="773">
    <w:name w:val="Body Text"/>
    <w:basedOn w:val="744"/>
    <w:pPr>
      <w:pBdr/>
      <w:spacing w:after="140" w:before="0" w:line="276" w:lineRule="auto"/>
      <w:ind/>
    </w:pPr>
  </w:style>
  <w:style w:type="paragraph" w:styleId="774">
    <w:name w:val="List"/>
    <w:basedOn w:val="773"/>
    <w:pPr>
      <w:pBdr/>
      <w:spacing/>
      <w:ind/>
    </w:pPr>
    <w:rPr>
      <w:rFonts w:cs="Lohit Devanagari"/>
    </w:rPr>
  </w:style>
  <w:style w:type="paragraph" w:styleId="775">
    <w:name w:val="Caption"/>
    <w:basedOn w:val="744"/>
    <w:qFormat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776">
    <w:name w:val="Указатель"/>
    <w:basedOn w:val="744"/>
    <w:qFormat/>
    <w:pPr>
      <w:suppressLineNumbers w:val="true"/>
      <w:pBdr/>
      <w:spacing/>
      <w:ind/>
    </w:pPr>
    <w:rPr>
      <w:rFonts w:cs="Lohit Devanagari"/>
    </w:rPr>
  </w:style>
  <w:style w:type="paragraph" w:styleId="777">
    <w:name w:val="caption1"/>
    <w:basedOn w:val="744"/>
    <w:qFormat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778">
    <w:name w:val="index heading"/>
    <w:basedOn w:val="744"/>
    <w:qFormat/>
    <w:pPr>
      <w:suppressLineNumbers w:val="true"/>
      <w:pBdr/>
      <w:spacing/>
      <w:ind/>
    </w:pPr>
    <w:rPr>
      <w:rFonts w:cs="Lohit Devanagari"/>
    </w:rPr>
  </w:style>
  <w:style w:type="paragraph" w:styleId="779">
    <w:name w:val="footnote text"/>
    <w:basedOn w:val="744"/>
    <w:link w:val="756"/>
    <w:uiPriority w:val="99"/>
    <w:pPr>
      <w:pBdr/>
      <w:spacing/>
      <w:ind/>
    </w:pPr>
    <w:rPr>
      <w:sz w:val="20"/>
      <w:szCs w:val="20"/>
    </w:rPr>
  </w:style>
  <w:style w:type="paragraph" w:styleId="780" w:customStyle="1">
    <w:name w:val="Колонтитул"/>
    <w:basedOn w:val="744"/>
    <w:qFormat/>
    <w:pPr>
      <w:pBdr/>
      <w:spacing/>
      <w:ind/>
    </w:pPr>
  </w:style>
  <w:style w:type="paragraph" w:styleId="781">
    <w:name w:val="Header"/>
    <w:basedOn w:val="744"/>
    <w:link w:val="760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sz w:val="24"/>
      <w:szCs w:val="24"/>
    </w:rPr>
  </w:style>
  <w:style w:type="paragraph" w:styleId="782">
    <w:name w:val="TOC 1"/>
    <w:basedOn w:val="744"/>
    <w:next w:val="744"/>
    <w:uiPriority w:val="39"/>
    <w:pPr>
      <w:pBdr/>
      <w:spacing w:after="0" w:before="120"/>
      <w:ind/>
    </w:pPr>
    <w:rPr>
      <w:rFonts w:cs="Calibri Light (Заголовки)"/>
      <w:b/>
      <w:bCs/>
      <w:sz w:val="24"/>
      <w:szCs w:val="24"/>
    </w:rPr>
  </w:style>
  <w:style w:type="paragraph" w:styleId="783">
    <w:name w:val="TOC 3"/>
    <w:basedOn w:val="744"/>
    <w:next w:val="744"/>
    <w:uiPriority w:val="39"/>
    <w:pPr>
      <w:pBdr/>
      <w:tabs>
        <w:tab w:val="clear" w:leader="none" w:pos="708"/>
        <w:tab w:val="left" w:leader="none" w:pos="1100"/>
        <w:tab w:val="right" w:leader="dot" w:pos="10053"/>
      </w:tabs>
      <w:spacing/>
      <w:ind w:firstLine="0" w:left="567"/>
    </w:pPr>
    <w:rPr>
      <w:rFonts w:cs="Calibri" w:cstheme="minorHAnsi"/>
      <w:sz w:val="20"/>
      <w:szCs w:val="20"/>
    </w:rPr>
  </w:style>
  <w:style w:type="paragraph" w:styleId="784">
    <w:name w:val="TOC 4"/>
    <w:basedOn w:val="744"/>
    <w:next w:val="744"/>
    <w:uiPriority w:val="39"/>
    <w:pPr>
      <w:pBdr/>
      <w:spacing/>
      <w:ind w:firstLine="0" w:left="560"/>
    </w:pPr>
    <w:rPr>
      <w:rFonts w:cs="Calibri" w:cstheme="minorHAnsi"/>
      <w:sz w:val="20"/>
      <w:szCs w:val="20"/>
    </w:rPr>
  </w:style>
  <w:style w:type="paragraph" w:styleId="785">
    <w:name w:val="List Paragraph"/>
    <w:basedOn w:val="744"/>
    <w:link w:val="763"/>
    <w:uiPriority w:val="34"/>
    <w:qFormat/>
    <w:pPr>
      <w:pBdr/>
      <w:spacing w:after="0" w:before="0"/>
      <w:ind w:firstLine="0" w:left="720"/>
      <w:contextualSpacing w:val="true"/>
    </w:pPr>
    <w:rPr>
      <w:rFonts w:eastAsia="Calibri"/>
      <w:sz w:val="24"/>
      <w:szCs w:val="24"/>
    </w:rPr>
  </w:style>
  <w:style w:type="paragraph" w:styleId="786" w:customStyle="1">
    <w:name w:val="Таблица"/>
    <w:basedOn w:val="744"/>
    <w:qFormat/>
    <w:pPr>
      <w:keepNext w:val="true"/>
      <w:pBdr/>
      <w:spacing w:after="60" w:before="60"/>
      <w:ind/>
      <w:jc w:val="center"/>
    </w:pPr>
    <w:rPr>
      <w:rFonts w:eastAsia="Calibri"/>
      <w:b/>
      <w:sz w:val="24"/>
      <w:szCs w:val="24"/>
    </w:rPr>
  </w:style>
  <w:style w:type="paragraph" w:styleId="787" w:customStyle="1">
    <w:name w:val="Таблица шапка"/>
    <w:basedOn w:val="744"/>
    <w:qFormat/>
    <w:pPr>
      <w:keepNext w:val="true"/>
      <w:pBdr/>
      <w:spacing w:after="40" w:before="40"/>
      <w:ind w:right="57" w:firstLine="0" w:left="57"/>
    </w:pPr>
    <w:rPr>
      <w:sz w:val="22"/>
      <w:szCs w:val="26"/>
    </w:rPr>
  </w:style>
  <w:style w:type="paragraph" w:styleId="788" w:customStyle="1">
    <w:name w:val="Раздел положения"/>
    <w:basedOn w:val="744"/>
    <w:qFormat/>
    <w:pPr>
      <w:pBdr/>
      <w:tabs>
        <w:tab w:val="left" w:leader="none" w:pos="360"/>
        <w:tab w:val="clear" w:leader="none" w:pos="708"/>
      </w:tabs>
      <w:spacing w:after="80" w:before="80"/>
      <w:ind w:hanging="360" w:left="360"/>
      <w:jc w:val="center"/>
    </w:pPr>
    <w:rPr>
      <w:b/>
      <w:sz w:val="32"/>
      <w:szCs w:val="32"/>
    </w:rPr>
  </w:style>
  <w:style w:type="paragraph" w:styleId="789" w:customStyle="1">
    <w:name w:val="Подраздел раздела положения"/>
    <w:basedOn w:val="744"/>
    <w:qFormat/>
    <w:pPr>
      <w:pBdr/>
      <w:tabs>
        <w:tab w:val="left" w:leader="none" w:pos="357"/>
        <w:tab w:val="clear" w:leader="none" w:pos="708"/>
      </w:tabs>
      <w:spacing w:after="80" w:before="80"/>
      <w:ind/>
      <w:jc w:val="both"/>
    </w:pPr>
  </w:style>
  <w:style w:type="paragraph" w:styleId="790">
    <w:name w:val="Balloon Text"/>
    <w:basedOn w:val="744"/>
    <w:link w:val="765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791">
    <w:name w:val="Footer"/>
    <w:basedOn w:val="744"/>
    <w:link w:val="767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792" w:customStyle="1">
    <w:name w:val="Содержимое врезки"/>
    <w:basedOn w:val="744"/>
    <w:qFormat/>
    <w:pPr>
      <w:pBdr/>
      <w:spacing/>
      <w:ind/>
    </w:pPr>
  </w:style>
  <w:style w:type="paragraph" w:styleId="793">
    <w:name w:val="Содержимое таблицы"/>
    <w:basedOn w:val="744"/>
    <w:qFormat/>
    <w:pPr>
      <w:widowControl w:val="false"/>
      <w:suppressLineNumbers w:val="true"/>
      <w:pBdr/>
      <w:spacing/>
      <w:ind/>
    </w:pPr>
  </w:style>
  <w:style w:type="paragraph" w:styleId="794">
    <w:name w:val="Заголовок таблицы"/>
    <w:basedOn w:val="793"/>
    <w:qFormat/>
    <w:pPr>
      <w:suppressLineNumbers w:val="true"/>
      <w:pBdr/>
      <w:spacing/>
      <w:ind/>
      <w:jc w:val="center"/>
    </w:pPr>
    <w:rPr>
      <w:b/>
      <w:bCs/>
    </w:rPr>
  </w:style>
  <w:style w:type="paragraph" w:styleId="795">
    <w:name w:val="List Paragraph;Table-Normal;RSHB_Table-Normal;Заголовок_3;Подпись рисунка;Алроса_маркер (Уровень 4);Маркер;ПАРАГРАФ;Абзац списка2"/>
    <w:basedOn w:val="744"/>
    <w:qFormat/>
    <w:pPr>
      <w:pBdr/>
      <w:spacing w:after="0" w:before="0"/>
      <w:ind w:right="0" w:firstLine="0" w:left="720"/>
      <w:contextualSpacing w:val="true"/>
    </w:pPr>
    <w:rPr>
      <w:rFonts w:eastAsia="Calibri"/>
      <w:sz w:val="24"/>
      <w:szCs w:val="24"/>
    </w:rPr>
  </w:style>
  <w:style w:type="numbering" w:styleId="796" w:default="1">
    <w:name w:val="No List"/>
    <w:uiPriority w:val="99"/>
    <w:semiHidden/>
    <w:unhideWhenUsed/>
    <w:qFormat/>
    <w:pPr>
      <w:pBdr/>
      <w:spacing/>
      <w:ind/>
    </w:pPr>
  </w:style>
  <w:style w:type="table" w:styleId="797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Table Grid"/>
    <w:basedOn w:val="797"/>
    <w:uiPriority w:val="39"/>
    <w:pPr>
      <w:pBdr/>
      <w:spacing/>
      <w:ind/>
    </w:pPr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Сетка таблицы5"/>
    <w:basedOn w:val="797"/>
    <w:uiPriority w:val="39"/>
    <w:pPr>
      <w:pBdr/>
      <w:spacing/>
      <w:ind/>
    </w:pPr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Таллаева Акулина Николаевна</dc:creator>
  <dc:description/>
  <dc:language>ru-RU</dc:language>
  <cp:revision>32</cp:revision>
  <dcterms:created xsi:type="dcterms:W3CDTF">2023-10-10T06:28:00Z</dcterms:created>
  <dcterms:modified xsi:type="dcterms:W3CDTF">2026-08-24T02:06:12Z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