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word/_rels/document.xml.rels" ContentType="application/vnd.openxmlformats-package.relationships+xml"/>
  <Override PartName="/word/header7.xml" ContentType="application/vnd.openxmlformats-officedocument.wordprocessingml.header+xml"/>
  <Override PartName="/word/media/image1.png" ContentType="image/png"/>
  <Override PartName="/word/media/image2.png" ContentType="image/png"/>
  <Override PartName="/word/media/image3.png" ContentType="image/png"/>
  <Override PartName="/word/header5.xml" ContentType="application/vnd.openxmlformats-officedocument.wordprocessingml.header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header6.xml" ContentType="application/vnd.openxmlformats-officedocument.wordprocessingml.header+xml"/>
  <Override PartName="/word/document.xml" ContentType="application/vnd.openxmlformats-officedocument.wordprocessingml.document.main+xml"/>
  <Override PartName="/word/header4.xml" ContentType="application/vnd.openxmlformats-officedocument.wordprocessingml.head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</w:r>
      <w:bookmarkStart w:id="0" w:name="_Toc141696704"/>
      <w:bookmarkStart w:id="1" w:name="_Toc139856287"/>
      <w:bookmarkStart w:id="2" w:name="_Toc137554584"/>
      <w:bookmarkStart w:id="3" w:name="_Toc141696704"/>
      <w:bookmarkStart w:id="4" w:name="_Toc139856287"/>
      <w:bookmarkStart w:id="5" w:name="_Toc137554584"/>
      <w:bookmarkEnd w:id="3"/>
      <w:bookmarkEnd w:id="4"/>
      <w:bookmarkEnd w:id="5"/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  <w:bookmarkStart w:id="6" w:name="_Toc141696704_Копия_1"/>
      <w:bookmarkStart w:id="7" w:name="_Toc137554584_Копия_1"/>
      <w:bookmarkStart w:id="8" w:name="_Toc139856287_Копия_1"/>
      <w:bookmarkStart w:id="9" w:name="_Toc141696704_Копия_1"/>
      <w:bookmarkStart w:id="10" w:name="_Toc137554584_Копия_1"/>
      <w:bookmarkStart w:id="11" w:name="_Toc139856287_Копия_1"/>
      <w:bookmarkEnd w:id="9"/>
      <w:bookmarkEnd w:id="10"/>
      <w:bookmarkEnd w:id="11"/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b/>
          <w:bCs/>
          <w:color w:val="C9211E"/>
          <w:sz w:val="26"/>
          <w:szCs w:val="26"/>
          <w:highlight w:val="none"/>
          <w:shd w:fill="FFFF00" w:val="clear"/>
        </w:rPr>
      </w:pPr>
      <w:r>
        <w:rPr>
          <w:b/>
          <w:bCs/>
          <w:color w:val="C9211E"/>
          <w:sz w:val="26"/>
          <w:szCs w:val="26"/>
          <w:shd w:fill="FFFF00" w:val="clear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ТЕХНИЧЕСКИЕ ТРЕБОВАНИЯ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jc w:val="center"/>
        <w:rPr/>
      </w:pPr>
      <w:r>
        <w:rPr>
          <w:rFonts w:eastAsia="Calibri"/>
          <w:b/>
          <w:bCs/>
          <w:i w:val="false"/>
          <w:iCs w:val="false"/>
          <w:sz w:val="26"/>
          <w:szCs w:val="26"/>
          <w:lang w:eastAsia="x-none"/>
        </w:rPr>
        <w:t xml:space="preserve">«ОКПД2 </w:t>
      </w:r>
      <w:r>
        <w:rPr>
          <w:rStyle w:val="Strong"/>
          <w:rFonts w:eastAsia="Calibri"/>
          <w:b/>
          <w:bCs/>
          <w:i w:val="false"/>
          <w:iCs w:val="false"/>
          <w:caps w:val="false"/>
          <w:smallCaps w:val="false"/>
          <w:color w:val="auto"/>
          <w:spacing w:val="0"/>
          <w:sz w:val="26"/>
          <w:szCs w:val="26"/>
          <w:lang w:eastAsia="x-none"/>
        </w:rPr>
        <w:t>28.12.15.110</w:t>
      </w:r>
      <w:r>
        <w:rPr>
          <w:rFonts w:eastAsia="Calibri"/>
          <w:b/>
          <w:bCs/>
          <w:i w:val="false"/>
          <w:iCs w:val="false"/>
          <w:color w:val="auto"/>
          <w:sz w:val="26"/>
          <w:szCs w:val="26"/>
          <w:lang w:eastAsia="x-none"/>
        </w:rPr>
        <w:t xml:space="preserve"> </w:t>
      </w:r>
      <w:r>
        <w:rPr>
          <w:rFonts w:eastAsia="Calibri"/>
          <w:b/>
          <w:bCs/>
          <w:i w:val="false"/>
          <w:iCs w:val="false"/>
          <w:sz w:val="26"/>
          <w:szCs w:val="26"/>
          <w:lang w:eastAsia="x-none"/>
        </w:rPr>
        <w:t>Поставка гидрораспределителей для ЭГРК гидроагрегатов Майнской</w:t>
      </w:r>
      <w:r>
        <w:rPr>
          <w:rStyle w:val="Style8"/>
          <w:rFonts w:eastAsia="Calibri" w:cs="Times New Roman"/>
          <w:b/>
          <w:bCs/>
          <w:i w:val="false"/>
          <w:iCs w:val="false"/>
          <w:color w:val="000000"/>
          <w:kern w:val="0"/>
          <w:sz w:val="26"/>
          <w:szCs w:val="26"/>
          <w:shd w:fill="auto" w:val="clear"/>
          <w:lang w:val="ru-RU" w:eastAsia="x-none" w:bidi="ar-SA"/>
        </w:rPr>
        <w:t xml:space="preserve"> ГЭС</w:t>
      </w:r>
      <w:r>
        <w:rPr>
          <w:rFonts w:eastAsia="Calibri" w:cs="Times New Roman"/>
          <w:b/>
          <w:bCs/>
          <w:i w:val="false"/>
          <w:iCs w:val="false"/>
          <w:color w:val="000000"/>
          <w:kern w:val="0"/>
          <w:sz w:val="26"/>
          <w:szCs w:val="26"/>
          <w:shd w:fill="auto" w:val="clear"/>
          <w:lang w:val="ru-RU" w:eastAsia="x-none" w:bidi="ar-SA"/>
        </w:rPr>
        <w:t>».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jc w:val="center"/>
        <w:rPr>
          <w:rFonts w:eastAsia="Calibri" w:cs="Times New Roman"/>
          <w:b/>
          <w:bCs/>
          <w:i w:val="false"/>
          <w:i w:val="false"/>
          <w:iCs w:val="false"/>
          <w:color w:val="000000"/>
          <w:kern w:val="0"/>
          <w:sz w:val="26"/>
          <w:szCs w:val="26"/>
          <w:shd w:fill="auto" w:val="clear"/>
          <w:lang w:val="ru-RU" w:eastAsia="x-none" w:bidi="ar-SA"/>
        </w:rPr>
      </w:pPr>
      <w:r>
        <w:rPr>
          <w:rFonts w:eastAsia="Calibri" w:cs="Times New Roman"/>
          <w:b/>
          <w:bCs/>
          <w:i w:val="false"/>
          <w:iCs w:val="false"/>
          <w:color w:val="000000"/>
          <w:kern w:val="0"/>
          <w:sz w:val="26"/>
          <w:szCs w:val="26"/>
          <w:shd w:fill="auto" w:val="clear"/>
          <w:lang w:val="ru-RU" w:eastAsia="x-none" w:bidi="ar-SA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jc w:val="center"/>
        <w:rPr/>
      </w:pPr>
      <w:r>
        <w:rPr>
          <w:rFonts w:eastAsia="Calibri" w:cs="Times New Roman"/>
          <w:b/>
          <w:bCs/>
          <w:i w:val="false"/>
          <w:iCs w:val="false"/>
          <w:color w:val="000000"/>
          <w:kern w:val="0"/>
          <w:sz w:val="26"/>
          <w:szCs w:val="26"/>
          <w:shd w:fill="auto" w:val="clear"/>
          <w:lang w:val="ru-RU" w:eastAsia="x-none" w:bidi="ar-SA"/>
        </w:rPr>
        <w:t>1-АЗ-2027-СШГЭС</w:t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6"/>
          <w:szCs w:val="26"/>
        </w:rPr>
      </w:pPr>
      <w:r>
        <w:rPr>
          <w:rFonts w:eastAsia="Calibri"/>
          <w:b/>
          <w:i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6"/>
          <w:szCs w:val="26"/>
        </w:rPr>
      </w:pPr>
      <w:r>
        <w:rPr>
          <w:rFonts w:eastAsia="Calibri"/>
          <w:b/>
          <w:i/>
          <w:sz w:val="26"/>
          <w:szCs w:val="26"/>
        </w:rPr>
      </w:r>
    </w:p>
    <w:p>
      <w:pPr>
        <w:pStyle w:val="Normal"/>
        <w:keepNext w:val="true"/>
        <w:keepLines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  <w:r>
        <w:br w:type="page"/>
      </w:r>
    </w:p>
    <w:p>
      <w:pPr>
        <w:pStyle w:val="Normal"/>
        <w:jc w:val="center"/>
        <w:rPr>
          <w:b/>
        </w:rPr>
      </w:pPr>
      <w:r>
        <w:rPr>
          <w:b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708"/>
              <w:tab w:val="right" w:pos="9921" w:leader="dot"/>
            </w:tabs>
            <w:rPr/>
          </w:pPr>
          <w:r>
            <w:fldChar w:fldCharType="begin"/>
          </w:r>
          <w:r>
            <w:rPr>
              <w:webHidden/>
              <w:rStyle w:val="Style14"/>
              <w:vanish w:val="false"/>
            </w:rPr>
            <w:instrText xml:space="preserve"> TOC \z \o "1-4" \u \h</w:instrText>
          </w:r>
          <w:r>
            <w:rPr>
              <w:webHidden/>
              <w:rStyle w:val="Style14"/>
              <w:vanish w:val="false"/>
            </w:rPr>
            <w:fldChar w:fldCharType="separate"/>
          </w:r>
          <w:hyperlink w:anchor="__RefHeading___Toc2731_2550945733">
            <w:r>
              <w:rPr>
                <w:webHidden/>
                <w:rStyle w:val="Style14"/>
                <w:vanish w:val="false"/>
              </w:rPr>
              <w:t>1. Общие сведения</w:t>
              <w:tab/>
              <w:t>3</w:t>
            </w:r>
          </w:hyperlink>
        </w:p>
        <w:p>
          <w:pPr>
            <w:pStyle w:val="TOC4"/>
            <w:tabs>
              <w:tab w:val="clear" w:pos="708"/>
              <w:tab w:val="right" w:pos="9921" w:leader="dot"/>
            </w:tabs>
            <w:rPr/>
          </w:pPr>
          <w:hyperlink w:anchor="__RefHeading___Toc2733_2550945733">
            <w:r>
              <w:rPr>
                <w:webHidden/>
                <w:rStyle w:val="Style14"/>
                <w:vanish w:val="false"/>
              </w:rPr>
              <w:t>1.1. Обозначения и сокращения</w:t>
              <w:tab/>
              <w:t>3</w:t>
            </w:r>
          </w:hyperlink>
        </w:p>
        <w:p>
          <w:pPr>
            <w:pStyle w:val="TOC4"/>
            <w:tabs>
              <w:tab w:val="clear" w:pos="708"/>
              <w:tab w:val="right" w:pos="9921" w:leader="dot"/>
            </w:tabs>
            <w:rPr/>
          </w:pPr>
          <w:hyperlink w:anchor="__RefHeading___Toc2735_2550945733">
            <w:r>
              <w:rPr>
                <w:webHidden/>
                <w:rStyle w:val="Style14"/>
                <w:vanish w:val="false"/>
              </w:rPr>
              <w:t>1.2. Наименование закупаемой продукции</w:t>
              <w:tab/>
              <w:t>4</w:t>
            </w:r>
          </w:hyperlink>
        </w:p>
        <w:p>
          <w:pPr>
            <w:pStyle w:val="TOC4"/>
            <w:tabs>
              <w:tab w:val="clear" w:pos="708"/>
              <w:tab w:val="right" w:pos="9921" w:leader="dot"/>
            </w:tabs>
            <w:rPr/>
          </w:pPr>
          <w:hyperlink w:anchor="__RefHeading___Toc2737_2550945733">
            <w:r>
              <w:rPr>
                <w:webHidden/>
                <w:rStyle w:val="Style14"/>
                <w:vanish w:val="false"/>
              </w:rPr>
              <w:t>1.3. Цель и задачи использования закупаемой продукции</w:t>
              <w:tab/>
              <w:t>4</w:t>
            </w:r>
          </w:hyperlink>
        </w:p>
        <w:p>
          <w:pPr>
            <w:pStyle w:val="TOC1"/>
            <w:tabs>
              <w:tab w:val="clear" w:pos="708"/>
              <w:tab w:val="right" w:pos="9921" w:leader="dot"/>
            </w:tabs>
            <w:rPr/>
          </w:pPr>
          <w:hyperlink w:anchor="__RefHeading___Toc2741_2550945733">
            <w:r>
              <w:rPr>
                <w:webHidden/>
                <w:rStyle w:val="Style14"/>
                <w:vanish w:val="false"/>
              </w:rPr>
              <w:t xml:space="preserve">2. </w:t>
            </w:r>
            <w:r>
              <w:rPr>
                <w:rStyle w:val="Style14"/>
                <w:iCs/>
              </w:rPr>
              <w:t>Требования к продукции</w:t>
            </w:r>
            <w:r>
              <w:rPr>
                <w:rStyle w:val="Style14"/>
              </w:rPr>
              <w:tab/>
              <w:t>4</w:t>
            </w:r>
          </w:hyperlink>
        </w:p>
        <w:p>
          <w:pPr>
            <w:pStyle w:val="TOC4"/>
            <w:tabs>
              <w:tab w:val="clear" w:pos="708"/>
              <w:tab w:val="right" w:pos="9921" w:leader="dot"/>
            </w:tabs>
            <w:rPr/>
          </w:pPr>
          <w:hyperlink w:anchor="__RefHeading___Toc2743_2550945733">
            <w:r>
              <w:rPr>
                <w:webHidden/>
                <w:rStyle w:val="Style14"/>
                <w:vanish w:val="false"/>
              </w:rPr>
              <w:t>2.1. Требования к объемам и срокам поставки</w:t>
              <w:tab/>
              <w:t>4</w:t>
            </w:r>
          </w:hyperlink>
        </w:p>
        <w:p>
          <w:pPr>
            <w:pStyle w:val="TOC3"/>
            <w:tabs>
              <w:tab w:val="clear" w:pos="1120"/>
              <w:tab w:val="clear" w:pos="9911"/>
              <w:tab w:val="right" w:pos="9921" w:leader="dot"/>
            </w:tabs>
            <w:rPr/>
          </w:pPr>
          <w:hyperlink w:anchor="__RefHeading___Toc2745_2550945733">
            <w:r>
              <w:rPr>
                <w:webHidden/>
                <w:rStyle w:val="Style14"/>
                <w:vanish w:val="false"/>
              </w:rPr>
              <w:t>2.1.1. Перечень и объем закупаемой продукции</w:t>
              <w:tab/>
              <w:t>4</w:t>
            </w:r>
          </w:hyperlink>
        </w:p>
        <w:p>
          <w:pPr>
            <w:pStyle w:val="TOC1"/>
            <w:tabs>
              <w:tab w:val="clear" w:pos="708"/>
              <w:tab w:val="right" w:pos="9921" w:leader="dot"/>
            </w:tabs>
            <w:rPr/>
          </w:pPr>
          <w:hyperlink w:anchor="__RefHeading___Toc2747_2550945733">
            <w:r>
              <w:rPr>
                <w:webHidden/>
                <w:rStyle w:val="Style14"/>
                <w:vanish w:val="false"/>
              </w:rPr>
              <w:t>Таблица 1.1 Перечень и объем закупаемой продукции</w:t>
              <w:tab/>
              <w:t>4</w:t>
            </w:r>
          </w:hyperlink>
        </w:p>
        <w:p>
          <w:pPr>
            <w:pStyle w:val="TOC3"/>
            <w:tabs>
              <w:tab w:val="clear" w:pos="1120"/>
              <w:tab w:val="clear" w:pos="9911"/>
              <w:tab w:val="right" w:pos="9921" w:leader="dot"/>
            </w:tabs>
            <w:rPr/>
          </w:pPr>
          <w:hyperlink w:anchor="__RefHeading___Toc2749_2550945733">
            <w:r>
              <w:rPr>
                <w:webHidden/>
                <w:rStyle w:val="Style14"/>
                <w:vanish w:val="false"/>
              </w:rPr>
              <w:t>2.1.2. Требования к срокам поставки продукции и оказания сопутствующих услуг</w:t>
              <w:tab/>
              <w:t>4</w:t>
            </w:r>
          </w:hyperlink>
        </w:p>
        <w:p>
          <w:pPr>
            <w:pStyle w:val="TOC1"/>
            <w:tabs>
              <w:tab w:val="clear" w:pos="708"/>
              <w:tab w:val="right" w:pos="9921" w:leader="dot"/>
            </w:tabs>
            <w:rPr/>
          </w:pPr>
          <w:hyperlink w:anchor="__RefHeading___Toc2751_2550945733">
            <w:r>
              <w:rPr>
                <w:webHidden/>
                <w:rStyle w:val="Style14"/>
                <w:vanish w:val="false"/>
              </w:rPr>
              <w:t>Таблица 2.1 Требования по срокам поставки продукции</w:t>
              <w:tab/>
              <w:t>4</w:t>
            </w:r>
          </w:hyperlink>
        </w:p>
        <w:p>
          <w:pPr>
            <w:pStyle w:val="TOC4"/>
            <w:tabs>
              <w:tab w:val="clear" w:pos="708"/>
              <w:tab w:val="right" w:pos="9921" w:leader="dot"/>
            </w:tabs>
            <w:rPr/>
          </w:pPr>
          <w:hyperlink w:anchor="__RefHeading___Toc2753_2550945733">
            <w:r>
              <w:rPr>
                <w:webHidden/>
                <w:rStyle w:val="Style14"/>
                <w:vanish w:val="false"/>
              </w:rPr>
              <w:t>2.2. Требования к качеству продукции</w:t>
              <w:tab/>
              <w:t>5</w:t>
            </w:r>
          </w:hyperlink>
        </w:p>
        <w:p>
          <w:pPr>
            <w:pStyle w:val="TOC1"/>
            <w:tabs>
              <w:tab w:val="clear" w:pos="708"/>
              <w:tab w:val="right" w:pos="9921" w:leader="dot"/>
            </w:tabs>
            <w:rPr/>
          </w:pPr>
          <w:hyperlink w:anchor="__RefHeading___Toc2755_2550945733">
            <w:r>
              <w:rPr>
                <w:webHidden/>
                <w:rStyle w:val="Style14"/>
                <w:vanish w:val="false"/>
              </w:rPr>
              <w:t xml:space="preserve"> </w:t>
            </w:r>
            <w:r>
              <w:rPr>
                <w:rStyle w:val="Style14"/>
              </w:rPr>
              <w:t>Таблица 3. Требования к продукции</w:t>
              <w:tab/>
              <w:t>5</w:t>
            </w:r>
          </w:hyperlink>
        </w:p>
        <w:p>
          <w:pPr>
            <w:pStyle w:val="TOC1"/>
            <w:tabs>
              <w:tab w:val="clear" w:pos="708"/>
              <w:tab w:val="right" w:pos="9921" w:leader="dot"/>
            </w:tabs>
            <w:rPr/>
          </w:pPr>
          <w:hyperlink w:anchor="__RefHeading___Toc2757_2550945733">
            <w:r>
              <w:rPr>
                <w:webHidden/>
                <w:rStyle w:val="Style14"/>
                <w:vanish w:val="false"/>
              </w:rPr>
              <w:t>3. Требования к документации по ценообразованию на этапе закупки</w:t>
              <w:tab/>
              <w:t>12</w:t>
            </w:r>
          </w:hyperlink>
        </w:p>
        <w:p>
          <w:pPr>
            <w:pStyle w:val="TOC1"/>
            <w:tabs>
              <w:tab w:val="clear" w:pos="708"/>
              <w:tab w:val="right" w:pos="9921" w:leader="dot"/>
            </w:tabs>
            <w:rPr/>
          </w:pPr>
          <w:hyperlink w:anchor="__RefHeading___Toc2759_2550945733">
            <w:r>
              <w:rPr>
                <w:webHidden/>
                <w:rStyle w:val="Style14"/>
                <w:vanish w:val="false"/>
              </w:rPr>
              <w:t xml:space="preserve">4. </w:t>
            </w:r>
            <w:r>
              <w:rPr>
                <w:rStyle w:val="Style14"/>
                <w:iCs/>
              </w:rPr>
              <w:t>Приложения</w:t>
            </w:r>
            <w:r>
              <w:rPr>
                <w:rStyle w:val="Style14"/>
              </w:rPr>
              <w:tab/>
              <w:t>13</w:t>
            </w:r>
          </w:hyperlink>
          <w:r>
            <w:rPr>
              <w:rStyle w:val="Style14"/>
            </w:rPr>
            <w:fldChar w:fldCharType="end"/>
          </w:r>
        </w:p>
      </w:sdtContent>
    </w:sdt>
    <w:p>
      <w:pPr>
        <w:pStyle w:val="Heading2"/>
        <w:tabs>
          <w:tab w:val="clear" w:pos="0"/>
        </w:tabs>
        <w:ind w:left="0" w:hanging="0"/>
        <w:rPr>
          <w:b w:val="false"/>
          <w:i/>
          <w:i/>
        </w:rPr>
      </w:pPr>
      <w:r>
        <w:rPr>
          <w:b w:val="false"/>
          <w:i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  <w:r>
        <w:br w:type="page"/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caps/>
          <w:lang w:val="ru-RU"/>
        </w:rPr>
      </w:pPr>
      <w:bookmarkStart w:id="12" w:name="__RefHeading___Toc2731_2550945733"/>
      <w:bookmarkStart w:id="13" w:name="_Toc75446566"/>
      <w:bookmarkStart w:id="14" w:name="_Toc51339692"/>
      <w:bookmarkEnd w:id="12"/>
      <w:r>
        <w:rPr>
          <w:lang w:val="ru-RU"/>
        </w:rPr>
        <w:t>Общие сведения</w:t>
      </w:r>
      <w:bookmarkEnd w:id="13"/>
      <w:bookmarkEnd w:id="14"/>
    </w:p>
    <w:p>
      <w:pPr>
        <w:pStyle w:val="Heading4"/>
        <w:numPr>
          <w:ilvl w:val="1"/>
          <w:numId w:val="3"/>
        </w:numPr>
        <w:rPr/>
      </w:pPr>
      <w:bookmarkStart w:id="15" w:name="__RefHeading___Toc2733_2550945733"/>
      <w:bookmarkStart w:id="16" w:name="_Toc75446567"/>
      <w:bookmarkStart w:id="17" w:name="_Toc46743505"/>
      <w:bookmarkEnd w:id="15"/>
      <w:r>
        <w:rPr/>
        <w:t>Обозначения и сокращения</w:t>
      </w:r>
      <w:bookmarkEnd w:id="16"/>
      <w:bookmarkEnd w:id="17"/>
    </w:p>
    <w:p>
      <w:pPr>
        <w:pStyle w:val="Normal"/>
        <w:rPr>
          <w:rStyle w:val="Style8"/>
          <w:b w:val="false"/>
          <w:bCs/>
          <w:iCs/>
          <w:sz w:val="26"/>
          <w:szCs w:val="26"/>
        </w:rPr>
      </w:pPr>
      <w:r>
        <w:rPr>
          <w:b w:val="false"/>
          <w:bCs/>
          <w:iCs/>
          <w:sz w:val="26"/>
          <w:szCs w:val="26"/>
        </w:rPr>
      </w:r>
    </w:p>
    <w:tbl>
      <w:tblPr>
        <w:tblW w:w="978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1785"/>
        <w:gridCol w:w="7997"/>
      </w:tblGrid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АЗ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Аварийный запас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/>
            </w:pPr>
            <w:r>
              <w:rPr>
                <w:rStyle w:val="Style8"/>
                <w:b w:val="false"/>
                <w:bCs/>
                <w:i w:val="false"/>
                <w:sz w:val="24"/>
                <w:szCs w:val="24"/>
                <w:shd w:fill="auto" w:val="clear"/>
              </w:rPr>
              <w:t>НТД</w:t>
            </w:r>
          </w:p>
        </w:tc>
        <w:tc>
          <w:tcPr>
            <w:tcW w:w="79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/>
            </w:pPr>
            <w:r>
              <w:rPr>
                <w:rStyle w:val="Style8"/>
                <w:b w:val="false"/>
                <w:bCs/>
                <w:i w:val="false"/>
                <w:iCs/>
                <w:sz w:val="24"/>
                <w:szCs w:val="24"/>
                <w:shd w:fill="auto" w:val="clear"/>
              </w:rPr>
              <w:t>Нормативно-техническая документация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/>
            </w:pPr>
            <w:r>
              <w:rPr>
                <w:rStyle w:val="Style8"/>
                <w:b w:val="false"/>
                <w:bCs/>
                <w:i w:val="false"/>
                <w:iCs/>
                <w:sz w:val="24"/>
                <w:szCs w:val="24"/>
                <w:shd w:fill="auto" w:val="clear"/>
              </w:rPr>
              <w:t>СШГЭС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/>
            </w:pPr>
            <w:r>
              <w:rPr>
                <w:rStyle w:val="Style8"/>
                <w:b w:val="false"/>
                <w:bCs/>
                <w:i w:val="false"/>
                <w:iCs/>
                <w:sz w:val="24"/>
                <w:szCs w:val="24"/>
                <w:shd w:fill="auto" w:val="clear"/>
              </w:rPr>
              <w:t>Саяно-Шушенская ГЭС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>
                <w:rStyle w:val="Style8"/>
                <w:b w:val="false"/>
                <w:bCs/>
                <w:i w:val="false"/>
                <w:i w:val="false"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ТТ</w:t>
            </w:r>
          </w:p>
        </w:tc>
        <w:tc>
          <w:tcPr>
            <w:tcW w:w="79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>
                <w:rStyle w:val="Style8"/>
                <w:b w:val="false"/>
                <w:bCs/>
                <w:i w:val="false"/>
                <w:i w:val="false"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технические требования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>
                <w:rStyle w:val="Style8"/>
                <w:b w:val="false"/>
                <w:bCs/>
                <w:i w:val="false"/>
                <w:i w:val="false"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Филиал</w:t>
            </w:r>
          </w:p>
        </w:tc>
        <w:tc>
          <w:tcPr>
            <w:tcW w:w="79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Филиал ПАО «РусГидро» - «Саяно-Шушенская ГЭС имени П.С. Непорожнего»</w:t>
            </w:r>
          </w:p>
        </w:tc>
      </w:tr>
    </w:tbl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  <w:r>
        <w:br w:type="page"/>
      </w:r>
    </w:p>
    <w:p>
      <w:pPr>
        <w:pStyle w:val="Heading4"/>
        <w:numPr>
          <w:ilvl w:val="1"/>
          <w:numId w:val="3"/>
        </w:numPr>
        <w:rPr/>
      </w:pPr>
      <w:bookmarkStart w:id="18" w:name="__RefHeading___Toc2735_2550945733"/>
      <w:bookmarkStart w:id="19" w:name="_Toc46743506"/>
      <w:bookmarkStart w:id="20" w:name="_Toc75446568"/>
      <w:bookmarkEnd w:id="18"/>
      <w:r>
        <w:rPr/>
        <w:t>Наименование закупаемой продукции</w:t>
      </w:r>
      <w:bookmarkEnd w:id="19"/>
      <w:bookmarkEnd w:id="20"/>
    </w:p>
    <w:p>
      <w:pPr>
        <w:pStyle w:val="Normal"/>
        <w:widowControl w:val="false"/>
        <w:tabs>
          <w:tab w:val="clear" w:pos="708"/>
          <w:tab w:val="left" w:pos="426" w:leader="none"/>
        </w:tabs>
        <w:jc w:val="both"/>
        <w:rPr>
          <w:rStyle w:val="Style8"/>
          <w:b w:val="false"/>
          <w:bCs/>
          <w:sz w:val="24"/>
          <w:szCs w:val="24"/>
        </w:rPr>
      </w:pPr>
      <w:r>
        <w:rPr>
          <w:rFonts w:eastAsia="Calibri"/>
          <w:sz w:val="24"/>
          <w:szCs w:val="24"/>
          <w:lang w:eastAsia="x-none"/>
        </w:rPr>
        <w:tab/>
        <w:t xml:space="preserve">«ОКПД2 </w:t>
      </w:r>
      <w:r>
        <w:rPr>
          <w:rStyle w:val="Strong"/>
          <w:rFonts w:eastAsia="Calibri"/>
          <w:b w:val="false"/>
          <w:i w:val="false"/>
          <w:caps w:val="false"/>
          <w:smallCaps w:val="false"/>
          <w:color w:val="auto"/>
          <w:spacing w:val="0"/>
          <w:sz w:val="24"/>
          <w:szCs w:val="24"/>
          <w:lang w:eastAsia="x-none"/>
        </w:rPr>
        <w:t>28.12.15.110</w:t>
      </w:r>
      <w:r>
        <w:rPr>
          <w:rFonts w:eastAsia="Calibri"/>
          <w:color w:val="auto"/>
          <w:sz w:val="24"/>
          <w:szCs w:val="24"/>
          <w:lang w:eastAsia="x-none"/>
        </w:rPr>
        <w:t xml:space="preserve"> </w:t>
      </w:r>
      <w:r>
        <w:rPr>
          <w:rFonts w:eastAsia="Calibri"/>
          <w:sz w:val="24"/>
          <w:szCs w:val="24"/>
          <w:lang w:eastAsia="x-none"/>
        </w:rPr>
        <w:t>Поставка гидрораспределителей для ЭГРК гидроагрегатов Майнской</w:t>
      </w:r>
      <w:r>
        <w:rPr>
          <w:rStyle w:val="Style8"/>
          <w:rFonts w:eastAsia="Calibri" w:cs="Times New Roman"/>
          <w:b w:val="false"/>
          <w:bCs w:val="false"/>
          <w:i w:val="false"/>
          <w:iCs w:val="false"/>
          <w:color w:val="000000"/>
          <w:kern w:val="0"/>
          <w:sz w:val="24"/>
          <w:szCs w:val="24"/>
          <w:shd w:fill="auto" w:val="clear"/>
          <w:lang w:val="ru-RU" w:eastAsia="x-none" w:bidi="ar-SA"/>
        </w:rPr>
        <w:t xml:space="preserve"> ГЭС</w:t>
      </w:r>
      <w:r>
        <w:rPr>
          <w:rFonts w:eastAsia="Calibri" w:cs="Times New Roman"/>
          <w:b w:val="false"/>
          <w:bCs w:val="false"/>
          <w:i w:val="false"/>
          <w:iCs w:val="false"/>
          <w:color w:val="000000"/>
          <w:kern w:val="0"/>
          <w:sz w:val="24"/>
          <w:szCs w:val="24"/>
          <w:shd w:fill="auto" w:val="clear"/>
          <w:lang w:val="ru-RU" w:eastAsia="x-none" w:bidi="ar-SA"/>
        </w:rPr>
        <w:t>».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jc w:val="both"/>
        <w:rPr>
          <w:rStyle w:val="Style8"/>
          <w:b w:val="false"/>
          <w:bCs/>
          <w:sz w:val="24"/>
          <w:szCs w:val="24"/>
        </w:rPr>
      </w:pPr>
      <w:r>
        <w:rPr>
          <w:b w:val="false"/>
          <w:bCs/>
          <w:sz w:val="24"/>
          <w:szCs w:val="24"/>
        </w:rPr>
      </w:r>
    </w:p>
    <w:p>
      <w:pPr>
        <w:pStyle w:val="Heading4"/>
        <w:numPr>
          <w:ilvl w:val="1"/>
          <w:numId w:val="3"/>
        </w:numPr>
        <w:spacing w:before="57" w:after="57"/>
        <w:ind w:left="431" w:hanging="431"/>
        <w:rPr/>
      </w:pPr>
      <w:bookmarkStart w:id="21" w:name="__RefHeading___Toc2737_2550945733"/>
      <w:bookmarkStart w:id="22" w:name="_Toc46743507"/>
      <w:bookmarkEnd w:id="21"/>
      <w:r>
        <w:rPr/>
        <w:t xml:space="preserve">Цель и задачи </w:t>
      </w:r>
      <w:bookmarkEnd w:id="22"/>
      <w:r>
        <w:rPr>
          <w:lang w:val="ru-RU"/>
        </w:rPr>
        <w:t>использования закупаемой продукции</w:t>
      </w:r>
    </w:p>
    <w:p>
      <w:pPr>
        <w:pStyle w:val="Normal"/>
        <w:ind w:left="0" w:right="0" w:firstLine="709"/>
        <w:jc w:val="both"/>
        <w:rPr/>
      </w:pPr>
      <w:bookmarkStart w:id="23" w:name="__RefHeading___Toc2739_2550945733"/>
      <w:bookmarkEnd w:id="23"/>
      <w:r>
        <w:rPr>
          <w:rStyle w:val="Style8"/>
          <w:b w:val="false"/>
          <w:bCs w:val="false"/>
          <w:i w:val="false"/>
          <w:iCs w:val="false"/>
          <w:sz w:val="24"/>
          <w:szCs w:val="24"/>
          <w:shd w:fill="auto" w:val="clear"/>
        </w:rPr>
        <w:t>Приобретение Товара в аварийный запас Филиала с целью поддержания работоспособности регулятора электрогидравлического Майнской ГЭС и оперативной замены неисправных элементов регулятора, в том числе для избежания продолжительного вынужденного простоя гидроагрегатов Майнской ГЭС.</w:t>
      </w:r>
    </w:p>
    <w:p>
      <w:pPr>
        <w:pStyle w:val="Normal"/>
        <w:rPr>
          <w:i/>
          <w:i/>
          <w:iCs/>
          <w:highlight w:val="none"/>
          <w:shd w:fill="auto" w:val="clear"/>
        </w:rPr>
      </w:pPr>
      <w:r>
        <w:rPr>
          <w:i/>
          <w:iCs/>
          <w:shd w:fill="auto" w:val="clear"/>
        </w:rPr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iCs/>
          <w:caps/>
          <w:lang w:val="ru-RU"/>
        </w:rPr>
      </w:pPr>
      <w:bookmarkStart w:id="24" w:name="__RefHeading___Toc2741_2550945733"/>
      <w:bookmarkStart w:id="25" w:name="_Toc75446573"/>
      <w:bookmarkStart w:id="26" w:name="_Toc51339693"/>
      <w:bookmarkStart w:id="27" w:name="_Toc50125126"/>
      <w:bookmarkStart w:id="28" w:name="_Toc46743510"/>
      <w:bookmarkStart w:id="29" w:name="_Toc75446569"/>
      <w:bookmarkEnd w:id="24"/>
      <w:bookmarkEnd w:id="27"/>
      <w:bookmarkEnd w:id="28"/>
      <w:bookmarkEnd w:id="29"/>
      <w:r>
        <w:rPr>
          <w:iCs/>
        </w:rPr>
        <w:t>Требования к продукции</w:t>
      </w:r>
      <w:bookmarkEnd w:id="25"/>
      <w:bookmarkEnd w:id="26"/>
    </w:p>
    <w:p>
      <w:pPr>
        <w:pStyle w:val="Heading4"/>
        <w:numPr>
          <w:ilvl w:val="1"/>
          <w:numId w:val="3"/>
        </w:numPr>
        <w:rPr/>
      </w:pPr>
      <w:bookmarkStart w:id="30" w:name="__RefHeading___Toc2743_2550945733"/>
      <w:bookmarkStart w:id="31" w:name="_Toc75446574"/>
      <w:bookmarkEnd w:id="30"/>
      <w:r>
        <w:rPr/>
        <w:t xml:space="preserve">Требования к объемам и срокам </w:t>
      </w:r>
      <w:r>
        <w:rPr>
          <w:lang w:val="ru-RU"/>
        </w:rPr>
        <w:t>поставки</w:t>
      </w:r>
      <w:bookmarkEnd w:id="31"/>
    </w:p>
    <w:p>
      <w:pPr>
        <w:pStyle w:val="Heading3"/>
        <w:numPr>
          <w:ilvl w:val="2"/>
          <w:numId w:val="3"/>
        </w:numPr>
        <w:rPr/>
      </w:pPr>
      <w:bookmarkStart w:id="32" w:name="__RefHeading___Toc2745_2550945733"/>
      <w:bookmarkStart w:id="33" w:name="_Toc75446575"/>
      <w:bookmarkEnd w:id="32"/>
      <w:r>
        <w:rPr>
          <w:lang w:val="ru-RU"/>
        </w:rPr>
        <w:t>Перечень и объем закупаемой продукции</w:t>
      </w:r>
      <w:bookmarkEnd w:id="33"/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sz w:val="24"/>
          <w:szCs w:val="24"/>
          <w:lang w:val="ru-RU"/>
        </w:rPr>
      </w:pPr>
      <w:bookmarkStart w:id="34" w:name="__RefHeading___Toc2747_2550945733"/>
      <w:bookmarkStart w:id="35" w:name="_Toc51339695"/>
      <w:bookmarkStart w:id="36" w:name="_Toc75446576"/>
      <w:bookmarkEnd w:id="34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1.1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</w:t>
      </w:r>
      <w:bookmarkEnd w:id="35"/>
      <w:r>
        <w:rPr>
          <w:sz w:val="24"/>
          <w:szCs w:val="24"/>
          <w:lang w:val="ru-RU"/>
        </w:rPr>
        <w:t>и объем закупаемой продукции</w:t>
      </w:r>
      <w:bookmarkEnd w:id="36"/>
    </w:p>
    <w:tbl>
      <w:tblPr>
        <w:tblW w:w="9780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VBand="0" w:noHBand="0" w:lastColumn="0" w:firstColumn="0" w:lastRow="0" w:firstRow="0"/>
      </w:tblPr>
      <w:tblGrid>
        <w:gridCol w:w="537"/>
        <w:gridCol w:w="3463"/>
        <w:gridCol w:w="3512"/>
        <w:gridCol w:w="1334"/>
        <w:gridCol w:w="934"/>
      </w:tblGrid>
      <w:tr>
        <w:trPr>
          <w:trHeight w:val="311" w:hRule="atLeast"/>
        </w:trPr>
        <w:tc>
          <w:tcPr>
            <w:tcW w:w="5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4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</w:t>
            </w:r>
          </w:p>
        </w:tc>
        <w:tc>
          <w:tcPr>
            <w:tcW w:w="35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Тип, марка</w:t>
            </w:r>
          </w:p>
        </w:tc>
        <w:tc>
          <w:tcPr>
            <w:tcW w:w="1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9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</w:t>
            </w:r>
          </w:p>
        </w:tc>
      </w:tr>
      <w:tr>
        <w:trPr>
          <w:trHeight w:val="253" w:hRule="atLeast"/>
        </w:trPr>
        <w:tc>
          <w:tcPr>
            <w:tcW w:w="5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4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5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9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</w:tr>
      <w:tr>
        <w:trPr/>
        <w:tc>
          <w:tcPr>
            <w:tcW w:w="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34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 w:val="false"/>
              <w:spacing w:before="0" w:after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Гидрораспределитель DHI-0751/2/WP-X24DC</w:t>
            </w:r>
          </w:p>
        </w:tc>
        <w:tc>
          <w:tcPr>
            <w:tcW w:w="3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DHI-0751/2/WP-X24DC, Atos</w:t>
            </w:r>
          </w:p>
        </w:tc>
        <w:tc>
          <w:tcPr>
            <w:tcW w:w="13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9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34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Гидрораспределитель пропорциональный DLHZO-TEB-SN-NP-040-L33/I </w:t>
            </w:r>
          </w:p>
        </w:tc>
        <w:tc>
          <w:tcPr>
            <w:tcW w:w="3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DLHZO-TEB-SN-NP-040-L33/I , Atos</w:t>
            </w:r>
          </w:p>
        </w:tc>
        <w:tc>
          <w:tcPr>
            <w:tcW w:w="13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9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>
      <w:pPr>
        <w:pStyle w:val="Normal"/>
        <w:keepNext w:val="true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Style w:val="Style8"/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Heading3"/>
        <w:numPr>
          <w:ilvl w:val="2"/>
          <w:numId w:val="3"/>
        </w:numPr>
        <w:rPr>
          <w:lang w:val="ru-RU"/>
        </w:rPr>
      </w:pPr>
      <w:bookmarkStart w:id="37" w:name="__RefHeading___Toc2749_2550945733"/>
      <w:bookmarkStart w:id="38" w:name="_Toc75446578"/>
      <w:bookmarkStart w:id="39" w:name="_Toc51339696"/>
      <w:bookmarkEnd w:id="37"/>
      <w:r>
        <w:rPr>
          <w:lang w:val="ru-RU"/>
        </w:rPr>
        <w:t xml:space="preserve">Требования </w:t>
      </w:r>
      <w:bookmarkEnd w:id="39"/>
      <w:r>
        <w:rPr>
          <w:lang w:val="ru-RU"/>
        </w:rPr>
        <w:t>к срокам поставки продукции и оказания сопутствующих услуг</w:t>
      </w:r>
      <w:bookmarkEnd w:id="38"/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sz w:val="24"/>
          <w:szCs w:val="24"/>
          <w:lang w:val="ru-RU"/>
        </w:rPr>
      </w:pPr>
      <w:bookmarkStart w:id="40" w:name="__RefHeading___Toc2751_2550945733"/>
      <w:bookmarkStart w:id="41" w:name="_Toc51339697"/>
      <w:bookmarkStart w:id="42" w:name="_Toc50125126_Копия_1"/>
      <w:bookmarkStart w:id="43" w:name="_Toc50125127"/>
      <w:bookmarkStart w:id="44" w:name="_Toc75446579"/>
      <w:bookmarkEnd w:id="40"/>
      <w:bookmarkEnd w:id="42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</w:t>
      </w:r>
      <w:r>
        <w:rPr>
          <w:sz w:val="24"/>
          <w:szCs w:val="24"/>
        </w:rPr>
        <w:t>.</w:t>
      </w:r>
      <w:r>
        <w:rPr>
          <w:sz w:val="24"/>
          <w:szCs w:val="24"/>
          <w:lang w:val="ru-RU"/>
        </w:rPr>
        <w:t>1</w:t>
      </w:r>
      <w:r>
        <w:rPr>
          <w:sz w:val="24"/>
          <w:szCs w:val="24"/>
        </w:rPr>
        <w:t xml:space="preserve"> </w:t>
      </w:r>
      <w:bookmarkStart w:id="45" w:name="_Hlk50465284"/>
      <w:r>
        <w:rPr>
          <w:sz w:val="24"/>
          <w:szCs w:val="24"/>
        </w:rPr>
        <w:t xml:space="preserve">Требования по срокам </w:t>
      </w:r>
      <w:bookmarkEnd w:id="41"/>
      <w:bookmarkEnd w:id="43"/>
      <w:bookmarkEnd w:id="45"/>
      <w:r>
        <w:rPr>
          <w:sz w:val="24"/>
          <w:szCs w:val="24"/>
          <w:lang w:val="ru-RU"/>
        </w:rPr>
        <w:t>поставки продукции</w:t>
      </w:r>
      <w:bookmarkEnd w:id="44"/>
      <w:r>
        <w:rPr>
          <w:sz w:val="24"/>
          <w:szCs w:val="24"/>
          <w:lang w:val="ru-RU"/>
        </w:rPr>
        <w:t xml:space="preserve"> </w:t>
      </w:r>
    </w:p>
    <w:tbl>
      <w:tblPr>
        <w:tblW w:w="9776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829"/>
        <w:gridCol w:w="2851"/>
        <w:gridCol w:w="2979"/>
        <w:gridCol w:w="3116"/>
      </w:tblGrid>
      <w:tr>
        <w:trPr/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>
        <w:trPr/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0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0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center"/>
              <w:rPr/>
            </w:pPr>
            <w:r>
              <w:rPr/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Позиции 1,2 Таблицы 1.1 настоящего ТТ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С даты, следующей за датой заключения договора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spacing w:val="0"/>
                <w:sz w:val="22"/>
                <w:szCs w:val="22"/>
                <w:shd w:fill="auto" w:val="clear"/>
              </w:rPr>
              <w:t>Не позднее 90 календарных</w:t>
            </w:r>
            <w:r>
              <w:rPr>
                <w:caps w:val="false"/>
                <w:smallCaps w:val="false"/>
                <w:spacing w:val="0"/>
                <w:sz w:val="22"/>
                <w:szCs w:val="22"/>
                <w:shd w:fill="auto" w:val="clear"/>
              </w:rPr>
              <w:t xml:space="preserve"> </w:t>
            </w:r>
            <w:r>
              <w:rPr>
                <w:b w:val="false"/>
                <w:i w:val="false"/>
                <w:caps w:val="false"/>
                <w:smallCaps w:val="false"/>
                <w:spacing w:val="0"/>
                <w:sz w:val="22"/>
                <w:szCs w:val="22"/>
                <w:shd w:fill="auto" w:val="clear"/>
              </w:rPr>
              <w:t>дней с даты, следующей за</w:t>
            </w:r>
            <w:r>
              <w:rPr>
                <w:caps w:val="false"/>
                <w:smallCaps w:val="false"/>
                <w:spacing w:val="0"/>
                <w:sz w:val="22"/>
                <w:szCs w:val="22"/>
                <w:shd w:fill="auto" w:val="clear"/>
              </w:rPr>
              <w:t xml:space="preserve"> </w:t>
            </w:r>
            <w:r>
              <w:rPr>
                <w:b w:val="false"/>
                <w:i w:val="false"/>
                <w:caps w:val="false"/>
                <w:smallCaps w:val="false"/>
                <w:spacing w:val="0"/>
                <w:sz w:val="22"/>
                <w:szCs w:val="22"/>
                <w:shd w:fill="auto" w:val="clear"/>
              </w:rPr>
              <w:t>датой заключения договора</w:t>
            </w:r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type w:val="nextPage"/>
          <w:pgSz w:w="11906" w:h="16838"/>
          <w:pgMar w:left="1134" w:right="851" w:gutter="0" w:header="680" w:top="1134" w:footer="0" w:bottom="992"/>
          <w:pgNumType w:fmt="decimal"/>
          <w:formProt w:val="false"/>
          <w:titlePg/>
          <w:textDirection w:val="lrTb"/>
          <w:docGrid w:type="default" w:linePitch="360" w:charSpace="0"/>
        </w:sectPr>
      </w:pPr>
    </w:p>
    <w:p>
      <w:pPr>
        <w:pStyle w:val="Heading4"/>
        <w:numPr>
          <w:ilvl w:val="1"/>
          <w:numId w:val="3"/>
        </w:numPr>
        <w:rPr/>
      </w:pPr>
      <w:bookmarkStart w:id="46" w:name="__RefHeading___Toc2753_2550945733"/>
      <w:bookmarkStart w:id="47" w:name="_Toc46743511"/>
      <w:bookmarkStart w:id="48" w:name="_Toc46743510_Копия_1_Копия_1"/>
      <w:bookmarkStart w:id="49" w:name="_Toc75446581"/>
      <w:bookmarkStart w:id="50" w:name="_Toc51339698"/>
      <w:bookmarkEnd w:id="46"/>
      <w:bookmarkEnd w:id="48"/>
      <w:r>
        <w:rPr/>
        <w:t xml:space="preserve">Требования к </w:t>
      </w:r>
      <w:bookmarkEnd w:id="47"/>
      <w:r>
        <w:rPr>
          <w:lang w:val="ru-RU"/>
        </w:rPr>
        <w:t>качеству продукции</w:t>
      </w:r>
      <w:bookmarkEnd w:id="49"/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sz w:val="24"/>
          <w:szCs w:val="24"/>
        </w:rPr>
      </w:pPr>
      <w:bookmarkStart w:id="51" w:name="__RefHeading___Toc2755_2550945733"/>
      <w:bookmarkEnd w:id="51"/>
      <w:r>
        <w:rPr>
          <w:sz w:val="24"/>
          <w:szCs w:val="24"/>
        </w:rPr>
        <w:t xml:space="preserve"> </w:t>
      </w:r>
      <w:bookmarkStart w:id="52" w:name="_Toc75446582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Требования к </w:t>
      </w:r>
      <w:r>
        <w:rPr>
          <w:sz w:val="24"/>
          <w:szCs w:val="24"/>
          <w:lang w:val="ru-RU"/>
        </w:rPr>
        <w:t>продукции</w:t>
      </w:r>
      <w:bookmarkEnd w:id="52"/>
      <w:r>
        <w:rPr>
          <w:sz w:val="24"/>
          <w:szCs w:val="24"/>
        </w:rPr>
        <w:t xml:space="preserve"> </w:t>
      </w:r>
      <w:bookmarkEnd w:id="50"/>
    </w:p>
    <w:p>
      <w:pPr>
        <w:pStyle w:val="Normal"/>
        <w:rPr>
          <w:rStyle w:val="Style8"/>
          <w:b w:val="false"/>
        </w:rPr>
      </w:pPr>
      <w:r>
        <w:rPr>
          <w:b w:val="false"/>
        </w:rPr>
      </w:r>
    </w:p>
    <w:tbl>
      <w:tblPr>
        <w:tblStyle w:val="affff9"/>
        <w:tblW w:w="15315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851"/>
        <w:gridCol w:w="2208"/>
        <w:gridCol w:w="60"/>
        <w:gridCol w:w="3570"/>
        <w:gridCol w:w="2657"/>
        <w:gridCol w:w="2555"/>
        <w:gridCol w:w="3413"/>
      </w:tblGrid>
      <w:tr>
        <w:trPr/>
        <w:tc>
          <w:tcPr>
            <w:tcW w:w="851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2268" w:type="dxa"/>
            <w:gridSpan w:val="2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3570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</w:p>
        </w:tc>
        <w:tc>
          <w:tcPr>
            <w:tcW w:w="5212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  <w:tc>
          <w:tcPr>
            <w:tcW w:w="3413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Предложение участника по характеристикам и параметрам</w:t>
            </w:r>
          </w:p>
        </w:tc>
      </w:tr>
      <w:tr>
        <w:trPr/>
        <w:tc>
          <w:tcPr>
            <w:tcW w:w="85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268" w:type="dxa"/>
            <w:gridSpan w:val="2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357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65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255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3413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226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357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265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255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5</w:t>
            </w:r>
          </w:p>
        </w:tc>
        <w:tc>
          <w:tcPr>
            <w:tcW w:w="341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6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5838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265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55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41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  <w:tc>
          <w:tcPr>
            <w:tcW w:w="2208" w:type="dxa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Состояние поставляемого оборудования</w:t>
            </w:r>
          </w:p>
        </w:tc>
        <w:tc>
          <w:tcPr>
            <w:tcW w:w="3630" w:type="dxa"/>
            <w:gridSpan w:val="2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i/>
                <w:i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i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>Поставляемое оборудование должно быть новым (не бывшим в употреблении, не восстановленным, у которого не была осуществлена замена составных частей, не были восстановлены потребительские свойства, не являющимся выставочными образцами), не ранее 2026 года изготовления, свободным от прав третьих лиц.</w:t>
            </w:r>
          </w:p>
        </w:tc>
        <w:tc>
          <w:tcPr>
            <w:tcW w:w="2657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Согласие с требованием</w:t>
            </w:r>
          </w:p>
        </w:tc>
        <w:tc>
          <w:tcPr>
            <w:tcW w:w="255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413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  <w:tc>
          <w:tcPr>
            <w:tcW w:w="2208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Технические характеристики</w:t>
            </w:r>
          </w:p>
        </w:tc>
        <w:tc>
          <w:tcPr>
            <w:tcW w:w="3630" w:type="dxa"/>
            <w:gridSpan w:val="2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Технические характеристики приведены в Приложении 1 к ТТ</w:t>
            </w:r>
          </w:p>
        </w:tc>
        <w:tc>
          <w:tcPr>
            <w:tcW w:w="2657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55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413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5838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265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55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41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26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i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eastAsia="Calibri" w:cs="Times New Roman"/>
                <w:i/>
                <w:iCs/>
                <w:kern w:val="0"/>
                <w:sz w:val="24"/>
                <w:szCs w:val="24"/>
                <w:lang w:val="ru-RU" w:eastAsia="en-US" w:bidi="ar-SA"/>
              </w:rPr>
              <w:t>Место поставки</w:t>
            </w:r>
          </w:p>
        </w:tc>
        <w:tc>
          <w:tcPr>
            <w:tcW w:w="3570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40" w:leader="none"/>
              </w:tabs>
              <w:suppressAutoHyphens w:val="true"/>
              <w:spacing w:before="0" w:after="0"/>
              <w:jc w:val="both"/>
              <w:rPr>
                <w:rFonts w:eastAsia="Calibri"/>
                <w:i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eastAsia="Calibri" w:cs="Times New Roman"/>
                <w:i/>
                <w:iCs/>
                <w:kern w:val="0"/>
                <w:sz w:val="24"/>
                <w:szCs w:val="24"/>
                <w:lang w:val="ru-RU" w:eastAsia="en-US" w:bidi="ar-SA"/>
              </w:rPr>
              <w:t>Поставка Продукции осуществляется Поставщиком до склада Покупателя, находящегося по адресу: Республика Хакасия, г. Саяногорск, рп. Черемушки, 106, База ГСО.</w:t>
            </w:r>
          </w:p>
        </w:tc>
        <w:tc>
          <w:tcPr>
            <w:tcW w:w="265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555" w:type="dxa"/>
            <w:tcBorders/>
          </w:tcPr>
          <w:p>
            <w:pPr>
              <w:pStyle w:val="Style29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41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26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i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eastAsia="Calibri" w:cs="Times New Roman"/>
                <w:i/>
                <w:iCs/>
                <w:kern w:val="0"/>
                <w:sz w:val="24"/>
                <w:szCs w:val="24"/>
                <w:lang w:val="ru-RU" w:eastAsia="en-US" w:bidi="ar-SA"/>
              </w:rPr>
              <w:t>Условия транспортировки и перемещения</w:t>
            </w:r>
          </w:p>
        </w:tc>
        <w:tc>
          <w:tcPr>
            <w:tcW w:w="3570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40" w:leader="none"/>
              </w:tabs>
              <w:suppressAutoHyphens w:val="true"/>
              <w:spacing w:before="0" w:after="0"/>
              <w:ind w:left="31" w:hanging="0"/>
              <w:jc w:val="both"/>
              <w:rPr>
                <w:rFonts w:eastAsia="Calibri"/>
                <w:i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eastAsia="Calibri" w:cs="Times New Roman"/>
                <w:i/>
                <w:iCs/>
                <w:kern w:val="0"/>
                <w:sz w:val="24"/>
                <w:szCs w:val="24"/>
                <w:lang w:val="ru-RU" w:eastAsia="en-US" w:bidi="ar-SA"/>
              </w:rPr>
              <w:t>Транспортировка, погрузка и разгрузка Продукции на складе Покупателя осуществляется силами Поставщика.</w:t>
            </w:r>
          </w:p>
        </w:tc>
        <w:tc>
          <w:tcPr>
            <w:tcW w:w="265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555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413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2</w:t>
            </w: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.3.</w:t>
            </w:r>
          </w:p>
        </w:tc>
        <w:tc>
          <w:tcPr>
            <w:tcW w:w="226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i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eastAsia="Calibri" w:cs="Times New Roman"/>
                <w:i/>
                <w:iCs/>
                <w:kern w:val="0"/>
                <w:sz w:val="24"/>
                <w:szCs w:val="24"/>
                <w:lang w:val="ru-RU" w:eastAsia="en-US" w:bidi="ar-SA"/>
              </w:rPr>
              <w:t>Условия приемки</w:t>
            </w:r>
          </w:p>
        </w:tc>
        <w:tc>
          <w:tcPr>
            <w:tcW w:w="3570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598" w:leader="none"/>
              </w:tabs>
              <w:suppressAutoHyphens w:val="true"/>
              <w:spacing w:before="0" w:after="0"/>
              <w:ind w:left="31" w:hanging="0"/>
              <w:jc w:val="both"/>
              <w:rPr>
                <w:rFonts w:eastAsia="Calibri"/>
                <w:i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eastAsia="Calibri" w:cs="Times New Roman"/>
                <w:i/>
                <w:iCs/>
                <w:kern w:val="0"/>
                <w:sz w:val="24"/>
                <w:szCs w:val="24"/>
                <w:lang w:val="ru-RU" w:eastAsia="en-US" w:bidi="ar-SA"/>
              </w:rPr>
              <w:t>1. Не позднее, чем за 10 рабочих дней до даты поставки Поставщик официально уведомляет Покупателя о сроках и способе поставки Продукции и направляет Покупателю данные для отслеживания поставки.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598" w:leader="none"/>
              </w:tabs>
              <w:suppressAutoHyphens w:val="true"/>
              <w:spacing w:before="0" w:after="0"/>
              <w:ind w:left="31" w:hanging="0"/>
              <w:jc w:val="both"/>
              <w:rPr>
                <w:rFonts w:eastAsia="Calibri"/>
                <w:i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eastAsia="Calibri" w:cs="Times New Roman"/>
                <w:i/>
                <w:iCs/>
                <w:kern w:val="0"/>
                <w:sz w:val="24"/>
                <w:szCs w:val="24"/>
                <w:lang w:val="ru-RU" w:eastAsia="en-US" w:bidi="ar-SA"/>
              </w:rPr>
              <w:t>2. При приемке Продукции представителями Покупателя осуществляется внешний осмотр, проверка сохранности тары и упаковки, наличия сопроводительной документации, удостоверяющей качество, и правильность ее оформления. Приемка Продукции осуществляется представителя Поставщика.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598" w:leader="none"/>
              </w:tabs>
              <w:suppressAutoHyphens w:val="true"/>
              <w:spacing w:before="0" w:after="0"/>
              <w:ind w:left="31" w:hanging="0"/>
              <w:jc w:val="both"/>
              <w:rPr>
                <w:rFonts w:eastAsia="Calibri"/>
                <w:i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eastAsia="Calibri" w:cs="Times New Roman"/>
                <w:i/>
                <w:iCs/>
                <w:kern w:val="0"/>
                <w:sz w:val="24"/>
                <w:szCs w:val="24"/>
                <w:lang w:val="ru-RU" w:eastAsia="en-US" w:bidi="ar-SA"/>
              </w:rPr>
              <w:t>3. Приемка Товара со вскрытием упаковки производится Покупателем в течение 3 (трех) рабочих дней с даты подписания товарно-транспортной накладной по форме №1-Т. В случае отсутствия замечаний Покупатель подписывает товарную накладную унифицированной формы ТОРГ-12/УПД, либо направляет Поставщику мотивированный отказ.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598" w:leader="none"/>
              </w:tabs>
              <w:suppressAutoHyphens w:val="true"/>
              <w:spacing w:before="0" w:after="0"/>
              <w:ind w:left="31" w:hanging="0"/>
              <w:jc w:val="both"/>
              <w:rPr>
                <w:rFonts w:eastAsia="Calibri"/>
                <w:i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eastAsia="Calibri" w:cs="Times New Roman"/>
                <w:i/>
                <w:iCs/>
                <w:kern w:val="0"/>
                <w:sz w:val="24"/>
                <w:szCs w:val="24"/>
                <w:lang w:val="ru-RU" w:eastAsia="en-US" w:bidi="ar-SA"/>
              </w:rPr>
              <w:t>4. Обязательство по поставке считается исполненным после передачи Товара Покупателю на складе Покупателя и подписания товарной накладной ТОРГ-12/УПД уполномоченными представителями Сторон.</w:t>
            </w:r>
          </w:p>
        </w:tc>
        <w:tc>
          <w:tcPr>
            <w:tcW w:w="265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55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41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2</w:t>
            </w: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.4</w:t>
            </w:r>
          </w:p>
        </w:tc>
        <w:tc>
          <w:tcPr>
            <w:tcW w:w="2268" w:type="dxa"/>
            <w:gridSpan w:val="2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i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eastAsia="Calibri" w:cs="Times New Roman"/>
                <w:i/>
                <w:iCs/>
                <w:kern w:val="0"/>
                <w:sz w:val="24"/>
                <w:szCs w:val="24"/>
                <w:lang w:val="ru-RU" w:eastAsia="en-US" w:bidi="ar-SA"/>
              </w:rPr>
              <w:t>Требования к упаковке</w:t>
            </w:r>
          </w:p>
        </w:tc>
        <w:tc>
          <w:tcPr>
            <w:tcW w:w="3570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98" w:leader="none"/>
              </w:tabs>
              <w:suppressAutoHyphens w:val="true"/>
              <w:spacing w:before="0" w:after="0"/>
              <w:ind w:left="31" w:hanging="0"/>
              <w:jc w:val="both"/>
              <w:rPr>
                <w:rFonts w:eastAsia="Calibri"/>
                <w:i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eastAsia="Calibri" w:cs="Times New Roman"/>
                <w:i/>
                <w:iCs/>
                <w:kern w:val="0"/>
                <w:sz w:val="24"/>
                <w:szCs w:val="24"/>
                <w:lang w:val="ru-RU" w:eastAsia="en-US" w:bidi="ar-SA"/>
              </w:rPr>
              <w:t>Поставляемый Товар должен быть упакован в заводскую упаковку.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598" w:leader="none"/>
              </w:tabs>
              <w:suppressAutoHyphens w:val="true"/>
              <w:spacing w:before="0" w:after="0"/>
              <w:ind w:left="31" w:hanging="0"/>
              <w:jc w:val="both"/>
              <w:rPr>
                <w:rFonts w:eastAsia="Calibri"/>
                <w:i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eastAsia="Calibri" w:cs="Times New Roman"/>
                <w:i/>
                <w:iCs/>
                <w:kern w:val="0"/>
                <w:sz w:val="24"/>
                <w:szCs w:val="24"/>
                <w:lang w:val="ru-RU" w:eastAsia="en-US" w:bidi="ar-SA"/>
              </w:rPr>
              <w:t>Упаковка должна обеспечивать защиту поставляемого оборудования: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598" w:leader="none"/>
              </w:tabs>
              <w:suppressAutoHyphens w:val="true"/>
              <w:spacing w:before="0" w:after="0"/>
              <w:ind w:left="31" w:hanging="0"/>
              <w:jc w:val="both"/>
              <w:rPr>
                <w:rFonts w:eastAsia="Calibri"/>
                <w:i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eastAsia="Calibri" w:cs="Times New Roman"/>
                <w:i/>
                <w:iCs/>
                <w:kern w:val="0"/>
                <w:sz w:val="24"/>
                <w:szCs w:val="24"/>
                <w:lang w:val="ru-RU" w:eastAsia="en-US" w:bidi="ar-SA"/>
              </w:rPr>
              <w:t>- в части воздействий климатических факторов - по группе условий хранения  не ниже 3 (п.10.1 ГОСТ 15150-69);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598" w:leader="none"/>
              </w:tabs>
              <w:suppressAutoHyphens w:val="true"/>
              <w:spacing w:before="0" w:after="0"/>
              <w:ind w:left="31" w:hanging="0"/>
              <w:jc w:val="both"/>
              <w:rPr>
                <w:rFonts w:eastAsia="Calibri"/>
                <w:i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eastAsia="Calibri" w:cs="Times New Roman"/>
                <w:i/>
                <w:iCs/>
                <w:kern w:val="0"/>
                <w:sz w:val="24"/>
                <w:szCs w:val="24"/>
                <w:lang w:val="ru-RU" w:eastAsia="en-US" w:bidi="ar-SA"/>
              </w:rPr>
              <w:t>- в части воздействия механических факторов – не ниже С (п.2.1 ГОСТ 23216-78).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598" w:leader="none"/>
              </w:tabs>
              <w:suppressAutoHyphens w:val="true"/>
              <w:spacing w:before="0" w:after="0"/>
              <w:ind w:left="31" w:hanging="0"/>
              <w:jc w:val="both"/>
              <w:rPr>
                <w:rFonts w:eastAsia="Calibri"/>
                <w:i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eastAsia="Calibri" w:cs="Times New Roman"/>
                <w:i/>
                <w:iCs/>
                <w:kern w:val="0"/>
                <w:sz w:val="24"/>
                <w:szCs w:val="24"/>
                <w:lang w:val="ru-RU" w:eastAsia="en-US" w:bidi="ar-SA"/>
              </w:rPr>
              <w:t>Все неокрашенные металлические части оборудования (включая комплектующие), подверженные воздействию внешней среды в процессе транспортирования и хранения, должны быть законсервированы с помощью защитных смазок.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598" w:leader="none"/>
              </w:tabs>
              <w:suppressAutoHyphens w:val="true"/>
              <w:spacing w:before="0" w:after="0"/>
              <w:ind w:left="31" w:hanging="0"/>
              <w:jc w:val="both"/>
              <w:rPr>
                <w:rFonts w:eastAsia="Calibri"/>
                <w:i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eastAsia="Calibri" w:cs="Times New Roman"/>
                <w:i/>
                <w:iCs/>
                <w:kern w:val="0"/>
                <w:sz w:val="24"/>
                <w:szCs w:val="24"/>
                <w:lang w:val="ru-RU" w:eastAsia="en-US" w:bidi="ar-SA"/>
              </w:rPr>
              <w:t>Поставщик несет ответственность за достаточность и надежность упаковки, обеспечивающую устойчивость к воздействиям внешней среды, к особенностям погрузки и выгрузки.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598" w:leader="none"/>
              </w:tabs>
              <w:suppressAutoHyphens w:val="true"/>
              <w:spacing w:before="0" w:after="0"/>
              <w:ind w:left="31" w:hanging="0"/>
              <w:jc w:val="both"/>
              <w:rPr>
                <w:rFonts w:eastAsia="Calibri"/>
                <w:i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eastAsia="Calibri" w:cs="Times New Roman"/>
                <w:i/>
                <w:iCs/>
                <w:kern w:val="0"/>
                <w:sz w:val="24"/>
                <w:szCs w:val="24"/>
                <w:lang w:val="ru-RU" w:eastAsia="en-US" w:bidi="ar-SA"/>
              </w:rPr>
              <w:t>Поставляемое оборудование должно быть для транспортирования упаковано в плотные ящики, материалы или в специальную тару.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598" w:leader="none"/>
              </w:tabs>
              <w:suppressAutoHyphens w:val="true"/>
              <w:spacing w:before="0" w:after="0"/>
              <w:ind w:left="31" w:hanging="0"/>
              <w:jc w:val="both"/>
              <w:rPr>
                <w:rFonts w:eastAsia="Calibri"/>
                <w:i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eastAsia="Calibri" w:cs="Times New Roman"/>
                <w:i/>
                <w:iCs/>
                <w:kern w:val="0"/>
                <w:sz w:val="24"/>
                <w:szCs w:val="24"/>
                <w:lang w:val="ru-RU" w:eastAsia="en-US" w:bidi="ar-SA"/>
              </w:rPr>
              <w:t>Упаковка должна исключать возможность механических повреждений и климатических факторов внешней среды на оборудование.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598" w:leader="none"/>
              </w:tabs>
              <w:suppressAutoHyphens w:val="true"/>
              <w:spacing w:before="0" w:after="0"/>
              <w:ind w:left="31" w:hanging="0"/>
              <w:jc w:val="both"/>
              <w:rPr>
                <w:rFonts w:eastAsia="Calibri"/>
                <w:i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eastAsia="Calibri" w:cs="Times New Roman"/>
                <w:i/>
                <w:iCs/>
                <w:kern w:val="0"/>
                <w:sz w:val="24"/>
                <w:szCs w:val="24"/>
                <w:lang w:val="ru-RU" w:eastAsia="en-US" w:bidi="ar-SA"/>
              </w:rPr>
              <w:t>Упаковка должна обеспечивать полную сохранность и защиту от повреждения Товара на весь срок его транспортировки любым средством транспорта с учетом перегрузок и длительного хранения в течение гарантийного срока хранения (не менее 36 месяцев с даты подписания товарной накладной по форме ТОРГ-12/УПД на поставленный Товар). Товар поставляется в таре завода-изготовителя.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598" w:leader="none"/>
              </w:tabs>
              <w:suppressAutoHyphens w:val="true"/>
              <w:spacing w:before="0" w:after="0"/>
              <w:ind w:left="31" w:hanging="0"/>
              <w:jc w:val="both"/>
              <w:rPr>
                <w:rFonts w:eastAsia="Calibri"/>
                <w:i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eastAsia="Calibri" w:cs="Times New Roman"/>
                <w:i/>
                <w:iCs/>
                <w:kern w:val="0"/>
                <w:sz w:val="24"/>
                <w:szCs w:val="24"/>
                <w:lang w:val="ru-RU" w:eastAsia="en-US" w:bidi="ar-SA"/>
              </w:rPr>
              <w:t>Тара и упаковка Поставщику не возвращаются.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598" w:leader="none"/>
              </w:tabs>
              <w:suppressAutoHyphens w:val="true"/>
              <w:spacing w:before="0" w:after="0"/>
              <w:ind w:left="31" w:hanging="0"/>
              <w:jc w:val="both"/>
              <w:rPr>
                <w:rFonts w:eastAsia="Calibri"/>
                <w:i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eastAsia="Calibri" w:cs="Times New Roman"/>
                <w:i/>
                <w:iCs/>
                <w:kern w:val="0"/>
                <w:sz w:val="24"/>
                <w:szCs w:val="24"/>
                <w:lang w:val="ru-RU" w:eastAsia="en-US" w:bidi="ar-SA"/>
              </w:rPr>
              <w:t>В каждое грузовое место должен быть вложен упаковочный лист, содержащий перечень упакованных частей.</w:t>
            </w:r>
          </w:p>
        </w:tc>
        <w:tc>
          <w:tcPr>
            <w:tcW w:w="2657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55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413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2</w:t>
            </w: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.5</w:t>
            </w:r>
          </w:p>
        </w:tc>
        <w:tc>
          <w:tcPr>
            <w:tcW w:w="2268" w:type="dxa"/>
            <w:gridSpan w:val="2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Требования к маркировке</w:t>
            </w:r>
          </w:p>
        </w:tc>
        <w:tc>
          <w:tcPr>
            <w:tcW w:w="3570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98" w:leader="none"/>
              </w:tabs>
              <w:suppressAutoHyphens w:val="true"/>
              <w:spacing w:before="0" w:after="0"/>
              <w:ind w:left="31" w:hanging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Маркировка Товара должна быть достоверной, читаемой и доступной для осмотра и идентификации, обладать износостойкостью.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598" w:leader="none"/>
              </w:tabs>
              <w:suppressAutoHyphens w:val="true"/>
              <w:spacing w:before="0" w:after="0"/>
              <w:ind w:left="31" w:hanging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Маркировка наносится силами Поставщика должна   содержать следующую информацию: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598" w:leader="none"/>
              </w:tabs>
              <w:suppressAutoHyphens w:val="true"/>
              <w:spacing w:before="0" w:after="0"/>
              <w:ind w:left="31" w:hanging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- наименование Товара;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598" w:leader="none"/>
              </w:tabs>
              <w:suppressAutoHyphens w:val="true"/>
              <w:spacing w:before="0" w:after="0"/>
              <w:ind w:left="31" w:hanging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- наименование страны, производителя;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598" w:leader="none"/>
              </w:tabs>
              <w:suppressAutoHyphens w:val="true"/>
              <w:spacing w:before="0" w:after="0"/>
              <w:ind w:left="31" w:hanging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- наименование Поставщика;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598" w:leader="none"/>
              </w:tabs>
              <w:suppressAutoHyphens w:val="true"/>
              <w:spacing w:before="0" w:after="0"/>
              <w:ind w:left="31" w:hanging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 xml:space="preserve">- условия хранения (теплый/холодный склад, уличное хранение); 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598" w:leader="none"/>
              </w:tabs>
              <w:suppressAutoHyphens w:val="true"/>
              <w:spacing w:before="0" w:after="0"/>
              <w:ind w:left="31" w:hanging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- дату изготовления и срок хранения.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598" w:leader="none"/>
              </w:tabs>
              <w:suppressAutoHyphens w:val="true"/>
              <w:spacing w:before="0" w:after="0"/>
              <w:ind w:left="31" w:hanging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В случае если срок хранения на Товар не установлен, указывается «срок хранения не ограничен».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598" w:leader="none"/>
              </w:tabs>
              <w:suppressAutoHyphens w:val="true"/>
              <w:spacing w:before="0" w:after="0"/>
              <w:ind w:left="31" w:hanging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Наносимая маркировка должна быть четкой и разборчивой, представлена на русском языке, выделяться или размещаться на фоне, контрастном по отношению к цвету упаковки..</w:t>
            </w:r>
          </w:p>
        </w:tc>
        <w:tc>
          <w:tcPr>
            <w:tcW w:w="2657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55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413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5838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2657" w:type="dxa"/>
            <w:tcBorders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555" w:type="dxa"/>
            <w:tcBorders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413" w:type="dxa"/>
            <w:tcBorders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26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Срок гарантии</w:t>
            </w:r>
          </w:p>
        </w:tc>
        <w:tc>
          <w:tcPr>
            <w:tcW w:w="357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 xml:space="preserve">Срок гарантии на продукцию должен составлять не менее </w:t>
            </w: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36</w:t>
            </w: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 xml:space="preserve"> месяцев с даты подписания товарной накладной по форме ТОРГ-12/УПД на поставленный Товар.</w:t>
            </w:r>
          </w:p>
        </w:tc>
        <w:tc>
          <w:tcPr>
            <w:tcW w:w="265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555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413" w:type="dxa"/>
            <w:tcBorders/>
          </w:tcPr>
          <w:p>
            <w:pPr>
              <w:pStyle w:val="Style29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5838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2657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555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413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26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Документы, передаваемые вместе с продукцией</w:t>
            </w:r>
          </w:p>
        </w:tc>
        <w:tc>
          <w:tcPr>
            <w:tcW w:w="357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Поставщик обязан одновременно с передачей продукции передать Покупателю относящиеся к нему документы, оформленные надлежащим образом: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- технический паспорт;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- руководство по монтажу и эксплуатации (включая технологию/порядок проведения технического обслуживания и ремонта);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- сертификаты соответствия;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- прочая документация, определенная заводом-изготовителем;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- упаковочные листы, упаковочные ярлыки;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- товарно-транспортная накладная формы №1-Т;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- товарная накладная унифицированной формы ТОРГ-12/УПД в 2 экз.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Вся документация должна быть на русском языке.</w:t>
            </w:r>
          </w:p>
        </w:tc>
        <w:tc>
          <w:tcPr>
            <w:tcW w:w="265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55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41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15314" w:type="dxa"/>
            <w:gridSpan w:val="7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170" w:right="227" w:hanging="0"/>
              <w:contextualSpacing/>
              <w:jc w:val="both"/>
              <w:rPr>
                <w:i/>
                <w:i/>
                <w:iCs/>
                <w:sz w:val="22"/>
                <w:szCs w:val="22"/>
              </w:rPr>
            </w:pPr>
            <w:r>
              <w:rPr>
                <w:rFonts w:cs="Times New Roman"/>
                <w:i/>
                <w:iCs/>
                <w:kern w:val="0"/>
                <w:sz w:val="22"/>
                <w:szCs w:val="22"/>
                <w:lang w:val="ru-RU" w:eastAsia="ru-RU" w:bidi="ar-SA"/>
              </w:rPr>
              <w:t>*  - участник обязан описать все позиции Технических требований в соответствии с формой и инструкцией по заполнению, приведенной в разделе 7.4. Документации о закупке.</w:t>
            </w:r>
          </w:p>
        </w:tc>
      </w:tr>
    </w:tbl>
    <w:p>
      <w:pPr>
        <w:sectPr>
          <w:headerReference w:type="default" r:id="rId5"/>
          <w:headerReference w:type="first" r:id="rId6"/>
          <w:type w:val="nextPage"/>
          <w:pgSz w:orient="landscape" w:w="16838" w:h="11906"/>
          <w:pgMar w:left="992" w:right="567" w:gutter="0" w:header="680" w:top="851" w:footer="0" w:bottom="851"/>
          <w:pgNumType w:fmt="decimal"/>
          <w:formProt w:val="false"/>
          <w:titlePg/>
          <w:textDirection w:val="lrTb"/>
          <w:docGrid w:type="default" w:linePitch="381" w:charSpace="0"/>
        </w:sectPr>
      </w:pP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lang w:val="ru-RU"/>
        </w:rPr>
      </w:pPr>
      <w:bookmarkStart w:id="53" w:name="__RefHeading___Toc2757_2550945733"/>
      <w:bookmarkStart w:id="54" w:name="_Toc75446583"/>
      <w:bookmarkStart w:id="55" w:name="_Toc53393312"/>
      <w:bookmarkEnd w:id="53"/>
      <w:r>
        <w:rPr>
          <w:lang w:val="ru-RU"/>
        </w:rPr>
        <w:t>Требования к документации по ценообразованию</w:t>
      </w:r>
      <w:bookmarkEnd w:id="55"/>
      <w:r>
        <w:rPr>
          <w:lang w:val="ru-RU"/>
        </w:rPr>
        <w:t xml:space="preserve"> на этапе закупки</w:t>
      </w:r>
      <w:bookmarkEnd w:id="54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60" w:after="0"/>
        <w:ind w:left="0" w:right="0" w:firstLine="709"/>
        <w:jc w:val="both"/>
        <w:rPr/>
      </w:pPr>
      <w:r>
        <w:rPr>
          <w:rStyle w:val="Style8"/>
          <w:b w:val="false"/>
          <w:bCs/>
          <w:i w:val="false"/>
          <w:sz w:val="24"/>
          <w:szCs w:val="24"/>
          <w:shd w:fill="auto" w:val="clear"/>
        </w:rPr>
        <w:t>3.1. 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 о закупке.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60" w:after="0"/>
        <w:ind w:left="0" w:right="0" w:firstLine="709"/>
        <w:jc w:val="both"/>
        <w:rPr/>
      </w:pPr>
      <w:r>
        <w:rPr>
          <w:rStyle w:val="Style8"/>
          <w:b w:val="false"/>
          <w:bCs/>
          <w:i w:val="false"/>
          <w:sz w:val="24"/>
          <w:szCs w:val="24"/>
          <w:shd w:fill="auto" w:val="clear"/>
        </w:rPr>
        <w:t>3.2. Вместе с Коммерческим предложением Участник должен предоставить в составе заявки спецификацию на поставляемую продукцию.</w:t>
      </w:r>
    </w:p>
    <w:p>
      <w:pPr>
        <w:pStyle w:val="Heading1"/>
        <w:keepLines/>
        <w:tabs>
          <w:tab w:val="clear" w:pos="0"/>
        </w:tabs>
        <w:ind w:left="357" w:hanging="0"/>
        <w:rPr>
          <w:iCs/>
        </w:rPr>
      </w:pPr>
      <w:r>
        <w:rPr>
          <w:iCs/>
        </w:rPr>
      </w:r>
    </w:p>
    <w:p>
      <w:pPr>
        <w:pStyle w:val="Heading1"/>
        <w:keepLines/>
        <w:widowControl/>
        <w:numPr>
          <w:ilvl w:val="0"/>
          <w:numId w:val="0"/>
        </w:numPr>
        <w:suppressAutoHyphens w:val="true"/>
        <w:ind w:left="357" w:hanging="357"/>
        <w:jc w:val="center"/>
        <w:rPr>
          <w:iCs/>
          <w:caps/>
        </w:rPr>
      </w:pPr>
      <w:r>
        <w:rPr>
          <w:iCs/>
          <w:caps/>
        </w:rPr>
      </w:r>
      <w:r>
        <w:br w:type="page"/>
      </w:r>
    </w:p>
    <w:p>
      <w:pPr>
        <w:pStyle w:val="Heading1"/>
        <w:numPr>
          <w:ilvl w:val="0"/>
          <w:numId w:val="3"/>
        </w:numPr>
        <w:ind w:left="357" w:hanging="357"/>
        <w:jc w:val="center"/>
        <w:rPr>
          <w:iCs/>
          <w:caps/>
        </w:rPr>
      </w:pPr>
      <w:bookmarkStart w:id="56" w:name="__RefHeading___Toc2759_2550945733"/>
      <w:bookmarkStart w:id="57" w:name="_Toc46743519"/>
      <w:bookmarkStart w:id="58" w:name="_Toc75446585"/>
      <w:bookmarkStart w:id="59" w:name="_Toc51339699"/>
      <w:bookmarkEnd w:id="56"/>
      <w:r>
        <w:rPr>
          <w:iCs/>
        </w:rPr>
        <w:t>Приложения</w:t>
      </w:r>
      <w:bookmarkEnd w:id="57"/>
      <w:bookmarkEnd w:id="58"/>
      <w:bookmarkEnd w:id="59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60" w:after="0"/>
        <w:jc w:val="both"/>
        <w:rPr/>
      </w:pPr>
      <w:r>
        <w:rPr>
          <w:rStyle w:val="Style8"/>
          <w:b w:val="false"/>
          <w:bCs/>
          <w:i w:val="false"/>
          <w:sz w:val="24"/>
          <w:szCs w:val="24"/>
          <w:shd w:fill="auto" w:val="clear"/>
        </w:rPr>
        <w:t xml:space="preserve">Приложение №1: </w:t>
      </w:r>
      <w:r>
        <w:rPr>
          <w:rStyle w:val="Style8"/>
          <w:rFonts w:eastAsia="Calibri"/>
          <w:b w:val="false"/>
          <w:bCs w:val="false"/>
          <w:i w:val="false"/>
          <w:sz w:val="24"/>
          <w:szCs w:val="24"/>
          <w:shd w:fill="auto" w:val="clear"/>
        </w:rPr>
        <w:t>Технические характеристики Товара</w:t>
      </w:r>
    </w:p>
    <w:p>
      <w:pPr>
        <w:pStyle w:val="Normal"/>
        <w:jc w:val="right"/>
        <w:rPr>
          <w:b/>
          <w:bCs/>
          <w:sz w:val="24"/>
          <w:szCs w:val="26"/>
        </w:rPr>
      </w:pPr>
      <w:r>
        <w:rPr>
          <w:b/>
          <w:bCs/>
          <w:sz w:val="24"/>
          <w:szCs w:val="26"/>
        </w:rPr>
      </w:r>
      <w:r>
        <w:br w:type="page"/>
      </w:r>
    </w:p>
    <w:p>
      <w:pPr>
        <w:pStyle w:val="Normal"/>
        <w:jc w:val="right"/>
        <w:rPr>
          <w:b/>
          <w:bCs/>
          <w:sz w:val="24"/>
          <w:szCs w:val="26"/>
        </w:rPr>
      </w:pPr>
      <w:r>
        <w:rPr>
          <w:sz w:val="24"/>
        </w:rPr>
        <w:t>Приложение №1</w:t>
      </w:r>
    </w:p>
    <w:p>
      <w:pPr>
        <w:pStyle w:val="Normal"/>
        <w:jc w:val="right"/>
        <w:rPr>
          <w:b/>
          <w:bCs/>
          <w:sz w:val="24"/>
          <w:szCs w:val="26"/>
        </w:rPr>
      </w:pPr>
      <w:r>
        <w:rPr>
          <w:sz w:val="24"/>
        </w:rPr>
        <w:t xml:space="preserve"> </w:t>
      </w:r>
      <w:r>
        <w:rPr>
          <w:sz w:val="24"/>
        </w:rPr>
        <w:t>к Техническим требованиям</w:t>
      </w:r>
    </w:p>
    <w:p>
      <w:pPr>
        <w:pStyle w:val="Normal"/>
        <w:jc w:val="center"/>
        <w:rPr>
          <w:b/>
          <w:bCs/>
          <w:sz w:val="24"/>
          <w:szCs w:val="26"/>
        </w:rPr>
      </w:pPr>
      <w:r>
        <w:rPr>
          <w:rFonts w:eastAsia="Calibri"/>
          <w:b/>
        </w:rPr>
        <w:t>Технические характеристики Товара</w:t>
      </w:r>
    </w:p>
    <w:p>
      <w:pPr>
        <w:pStyle w:val="Normal"/>
        <w:jc w:val="center"/>
        <w:rPr>
          <w:b/>
          <w:bCs/>
          <w:sz w:val="24"/>
          <w:szCs w:val="26"/>
        </w:rPr>
      </w:pPr>
      <w:r>
        <w:rPr>
          <w:b/>
          <w:bCs/>
          <w:sz w:val="24"/>
          <w:szCs w:val="26"/>
        </w:rPr>
      </w:r>
    </w:p>
    <w:tbl>
      <w:tblPr>
        <w:tblW w:w="9960" w:type="dxa"/>
        <w:jc w:val="left"/>
        <w:tblInd w:w="-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0"/>
        <w:gridCol w:w="4899"/>
        <w:gridCol w:w="1968"/>
        <w:gridCol w:w="1992"/>
      </w:tblGrid>
      <w:tr>
        <w:trPr/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</w:t>
            </w:r>
          </w:p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4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Предложение участника</w:t>
            </w:r>
          </w:p>
        </w:tc>
      </w:tr>
      <w:tr>
        <w:trPr/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center" w:pos="2514" w:leader="none"/>
                <w:tab w:val="left" w:pos="3885" w:leader="none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ab/>
              <w:t>2</w:t>
              <w:tab/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</w:tr>
      <w:tr>
        <w:trPr>
          <w:cantSplit w:val="true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284" w:leader="none"/>
              </w:tabs>
              <w:ind w:right="34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88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 w:val="false"/>
              <w:spacing w:before="119" w:after="119"/>
              <w:rPr>
                <w:b/>
                <w:bCs/>
              </w:rPr>
            </w:pPr>
            <w:r>
              <w:rPr>
                <w:b/>
                <w:bCs/>
                <w:color w:val="000000"/>
                <w:sz w:val="24"/>
              </w:rPr>
              <w:t>Гидрораспределитель Atos DHI-0751/2/WP-X24DC</w:t>
            </w:r>
          </w:p>
        </w:tc>
      </w:tr>
      <w:tr>
        <w:trPr>
          <w:cantSplit w:val="true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284" w:leader="none"/>
                <w:tab w:val="left" w:pos="426" w:leader="none"/>
              </w:tabs>
              <w:snapToGrid w:val="false"/>
              <w:ind w:left="0" w:right="34" w:hanging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1.1</w:t>
            </w:r>
          </w:p>
        </w:tc>
        <w:tc>
          <w:tcPr>
            <w:tcW w:w="4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8"/>
              <w:widowControl w:val="false"/>
              <w:tabs>
                <w:tab w:val="clear" w:pos="708"/>
                <w:tab w:val="left" w:pos="360" w:leader="none"/>
              </w:tabs>
              <w:ind w:left="33" w:hanging="0"/>
              <w:jc w:val="both"/>
              <w:rPr>
                <w:szCs w:val="24"/>
              </w:rPr>
            </w:pPr>
            <w:r>
              <w:rPr>
                <w:szCs w:val="24"/>
              </w:rPr>
              <w:t>Питание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before="0" w:after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AC и DC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284" w:leader="none"/>
                <w:tab w:val="left" w:pos="426" w:leader="none"/>
              </w:tabs>
              <w:snapToGrid w:val="false"/>
              <w:ind w:left="0" w:right="34" w:hanging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1.2</w:t>
            </w:r>
          </w:p>
        </w:tc>
        <w:tc>
          <w:tcPr>
            <w:tcW w:w="4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8"/>
              <w:widowControl w:val="false"/>
              <w:tabs>
                <w:tab w:val="clear" w:pos="708"/>
                <w:tab w:val="left" w:pos="360" w:leader="none"/>
              </w:tabs>
              <w:ind w:left="33" w:hanging="0"/>
              <w:jc w:val="both"/>
              <w:rPr>
                <w:szCs w:val="24"/>
              </w:rPr>
            </w:pPr>
            <w:r>
              <w:rPr>
                <w:szCs w:val="24"/>
              </w:rPr>
              <w:t>Конфигурация распределителя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Двухмагнитный, 2 крайних </w:t>
            </w:r>
            <w:r>
              <w:drawing>
                <wp:anchor behindDoc="0" distT="0" distB="0" distL="0" distR="0" simplePos="0" locked="0" layoutInCell="1" allowOverlap="1" relativeHeight="3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748030</wp:posOffset>
                  </wp:positionV>
                  <wp:extent cx="1069340" cy="428625"/>
                  <wp:effectExtent l="0" t="0" r="0" b="0"/>
                  <wp:wrapSquare wrapText="largest"/>
                  <wp:docPr id="3" name="Изображение1 Копия 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1 Копия 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9340" cy="428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color w:val="000000"/>
                <w:sz w:val="24"/>
                <w:szCs w:val="24"/>
              </w:rPr>
              <w:t>положения, с фиксатором</w:t>
              <w:br/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284" w:leader="none"/>
                <w:tab w:val="left" w:pos="426" w:leader="none"/>
              </w:tabs>
              <w:snapToGrid w:val="false"/>
              <w:ind w:left="0" w:right="34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</w:t>
            </w:r>
          </w:p>
        </w:tc>
        <w:tc>
          <w:tcPr>
            <w:tcW w:w="4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8"/>
              <w:widowControl w:val="false"/>
              <w:tabs>
                <w:tab w:val="clear" w:pos="708"/>
                <w:tab w:val="left" w:pos="360" w:leader="none"/>
              </w:tabs>
              <w:ind w:left="33" w:hanging="0"/>
              <w:jc w:val="both"/>
              <w:rPr>
                <w:szCs w:val="24"/>
              </w:rPr>
            </w:pPr>
            <w:r>
              <w:rPr>
                <w:szCs w:val="24"/>
              </w:rPr>
              <w:t>Тип золотника</w:t>
            </w:r>
          </w:p>
          <w:p>
            <w:pPr>
              <w:pStyle w:val="Style38"/>
              <w:widowControl w:val="false"/>
              <w:tabs>
                <w:tab w:val="clear" w:pos="708"/>
                <w:tab w:val="left" w:pos="360" w:leader="none"/>
              </w:tabs>
              <w:ind w:left="33" w:hanging="0"/>
              <w:jc w:val="both"/>
              <w:rPr>
                <w:szCs w:val="24"/>
              </w:rPr>
            </w:pPr>
            <w:r>
              <w:rPr>
                <w:szCs w:val="24"/>
              </w:rPr>
            </w:r>
          </w:p>
          <w:p>
            <w:pPr>
              <w:pStyle w:val="Style38"/>
              <w:widowControl w:val="false"/>
              <w:tabs>
                <w:tab w:val="clear" w:pos="708"/>
                <w:tab w:val="left" w:pos="360" w:leader="none"/>
              </w:tabs>
              <w:ind w:left="33" w:hanging="0"/>
              <w:jc w:val="both"/>
              <w:rPr>
                <w:szCs w:val="24"/>
              </w:rPr>
            </w:pPr>
            <w:r>
              <w:rPr>
                <w:szCs w:val="24"/>
              </w:rPr>
            </w:r>
          </w:p>
          <w:p>
            <w:pPr>
              <w:pStyle w:val="Style38"/>
              <w:widowControl w:val="false"/>
              <w:tabs>
                <w:tab w:val="clear" w:pos="708"/>
                <w:tab w:val="left" w:pos="360" w:leader="none"/>
              </w:tabs>
              <w:ind w:left="33" w:hanging="0"/>
              <w:jc w:val="both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before="0" w:after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drawing>
                <wp:anchor behindDoc="0" distT="0" distB="0" distL="0" distR="0" simplePos="0" locked="0" layoutInCell="1" allowOverlap="1" relativeHeight="5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123825</wp:posOffset>
                  </wp:positionV>
                  <wp:extent cx="1129030" cy="590550"/>
                  <wp:effectExtent l="0" t="0" r="0" b="0"/>
                  <wp:wrapSquare wrapText="largest"/>
                  <wp:docPr id="4" name="Изображение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Изображение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9030" cy="590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284" w:leader="none"/>
                <w:tab w:val="left" w:pos="426" w:leader="none"/>
              </w:tabs>
              <w:snapToGrid w:val="false"/>
              <w:ind w:left="0" w:right="34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</w:t>
            </w:r>
          </w:p>
        </w:tc>
        <w:tc>
          <w:tcPr>
            <w:tcW w:w="4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8"/>
              <w:widowControl w:val="false"/>
              <w:tabs>
                <w:tab w:val="clear" w:pos="708"/>
                <w:tab w:val="left" w:pos="360" w:leader="none"/>
              </w:tabs>
              <w:ind w:left="33" w:hanging="0"/>
              <w:jc w:val="both"/>
              <w:rPr>
                <w:rFonts w:eastAsia="Calibri"/>
                <w:b w:val="false"/>
                <w:kern w:val="2"/>
                <w:szCs w:val="24"/>
              </w:rPr>
            </w:pPr>
            <w:r>
              <w:rPr>
                <w:rFonts w:eastAsia="Calibri"/>
                <w:b w:val="false"/>
                <w:kern w:val="2"/>
                <w:szCs w:val="24"/>
              </w:rPr>
              <w:t xml:space="preserve">Управление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WP (ручное управление от резиновой кнопки)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284" w:leader="none"/>
                <w:tab w:val="left" w:pos="426" w:leader="none"/>
              </w:tabs>
              <w:snapToGrid w:val="false"/>
              <w:ind w:left="0" w:right="34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</w:t>
            </w:r>
          </w:p>
        </w:tc>
        <w:tc>
          <w:tcPr>
            <w:tcW w:w="4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8"/>
              <w:widowControl w:val="false"/>
              <w:tabs>
                <w:tab w:val="clear" w:pos="708"/>
                <w:tab w:val="left" w:pos="360" w:leader="none"/>
              </w:tabs>
              <w:ind w:left="33" w:hanging="0"/>
              <w:jc w:val="both"/>
              <w:rPr>
                <w:szCs w:val="24"/>
              </w:rPr>
            </w:pPr>
            <w:r>
              <w:rPr>
                <w:szCs w:val="24"/>
              </w:rPr>
              <w:t>Код напряжения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 DC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284" w:leader="none"/>
                <w:tab w:val="left" w:pos="426" w:leader="none"/>
              </w:tabs>
              <w:snapToGrid w:val="false"/>
              <w:ind w:left="0" w:right="34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1.6</w:t>
            </w:r>
          </w:p>
        </w:tc>
        <w:tc>
          <w:tcPr>
            <w:tcW w:w="4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8"/>
              <w:widowControl w:val="false"/>
              <w:tabs>
                <w:tab w:val="clear" w:pos="708"/>
                <w:tab w:val="left" w:pos="360" w:leader="none"/>
              </w:tabs>
              <w:ind w:left="33" w:hanging="0"/>
              <w:jc w:val="both"/>
              <w:rPr>
                <w:szCs w:val="24"/>
              </w:rPr>
            </w:pPr>
            <w:r>
              <w:rPr>
                <w:szCs w:val="24"/>
              </w:rPr>
              <w:t>Рабочая жидкость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Гидравлическое масло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284" w:leader="none"/>
                <w:tab w:val="left" w:pos="426" w:leader="none"/>
              </w:tabs>
              <w:snapToGrid w:val="false"/>
              <w:ind w:left="0" w:right="34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1.7</w:t>
            </w:r>
          </w:p>
        </w:tc>
        <w:tc>
          <w:tcPr>
            <w:tcW w:w="4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8"/>
              <w:widowControl w:val="false"/>
              <w:tabs>
                <w:tab w:val="clear" w:pos="708"/>
                <w:tab w:val="left" w:pos="360" w:leader="none"/>
              </w:tabs>
              <w:ind w:left="33" w:hanging="0"/>
              <w:jc w:val="both"/>
              <w:rPr>
                <w:szCs w:val="24"/>
              </w:rPr>
            </w:pPr>
            <w:r>
              <w:rPr>
                <w:szCs w:val="24"/>
              </w:rPr>
              <w:t>Температура окружающей среды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 xml:space="preserve">От -20 </w:t>
            </w:r>
            <w:r>
              <w:rPr>
                <w:rFonts w:eastAsia="Times New Roman" w:cs="Times New Roman"/>
                <w:sz w:val="24"/>
                <w:szCs w:val="24"/>
              </w:rPr>
              <w:t>ºС до +70ºС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284" w:leader="none"/>
                <w:tab w:val="left" w:pos="426" w:leader="none"/>
              </w:tabs>
              <w:snapToGrid w:val="false"/>
              <w:ind w:left="0" w:right="34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1.8</w:t>
            </w:r>
          </w:p>
        </w:tc>
        <w:tc>
          <w:tcPr>
            <w:tcW w:w="4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8"/>
              <w:widowControl w:val="false"/>
              <w:tabs>
                <w:tab w:val="clear" w:pos="708"/>
                <w:tab w:val="left" w:pos="360" w:leader="none"/>
              </w:tabs>
              <w:ind w:left="33" w:hanging="0"/>
              <w:jc w:val="both"/>
              <w:rPr>
                <w:szCs w:val="24"/>
              </w:rPr>
            </w:pPr>
            <w:r>
              <w:rPr>
                <w:szCs w:val="24"/>
              </w:rPr>
              <w:t>Крепление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винта М5х50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1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284" w:leader="none"/>
                <w:tab w:val="left" w:pos="426" w:leader="none"/>
              </w:tabs>
              <w:snapToGrid w:val="false"/>
              <w:ind w:left="0" w:right="34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1.9</w:t>
            </w:r>
          </w:p>
        </w:tc>
        <w:tc>
          <w:tcPr>
            <w:tcW w:w="4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8"/>
              <w:widowControl w:val="false"/>
              <w:tabs>
                <w:tab w:val="clear" w:pos="708"/>
                <w:tab w:val="left" w:pos="360" w:leader="none"/>
              </w:tabs>
              <w:ind w:left="33" w:hanging="0"/>
              <w:jc w:val="both"/>
              <w:rPr>
                <w:szCs w:val="24"/>
              </w:rPr>
            </w:pPr>
            <w:r>
              <w:rPr>
                <w:szCs w:val="24"/>
              </w:rPr>
              <w:t>Монтажная поверхность</w:t>
            </w:r>
          </w:p>
        </w:tc>
        <w:tc>
          <w:tcPr>
            <w:tcW w:w="1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ISO 4401 размер 6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1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284" w:leader="none"/>
                <w:tab w:val="left" w:pos="426" w:leader="none"/>
              </w:tabs>
              <w:snapToGrid w:val="false"/>
              <w:ind w:left="0" w:right="34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1.10</w:t>
            </w:r>
          </w:p>
        </w:tc>
        <w:tc>
          <w:tcPr>
            <w:tcW w:w="4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8"/>
              <w:widowControl w:val="false"/>
              <w:tabs>
                <w:tab w:val="clear" w:pos="708"/>
                <w:tab w:val="left" w:pos="360" w:leader="none"/>
              </w:tabs>
              <w:ind w:left="33" w:hanging="0"/>
              <w:jc w:val="both"/>
              <w:rPr>
                <w:szCs w:val="24"/>
              </w:rPr>
            </w:pPr>
            <w:r>
              <w:rPr>
                <w:szCs w:val="24"/>
              </w:rPr>
              <w:t>Максимальный расход</w:t>
            </w:r>
          </w:p>
        </w:tc>
        <w:tc>
          <w:tcPr>
            <w:tcW w:w="1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60 л/мин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1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284" w:leader="none"/>
                <w:tab w:val="left" w:pos="426" w:leader="none"/>
              </w:tabs>
              <w:snapToGrid w:val="false"/>
              <w:ind w:left="0" w:right="34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1.11</w:t>
            </w:r>
          </w:p>
        </w:tc>
        <w:tc>
          <w:tcPr>
            <w:tcW w:w="4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8"/>
              <w:widowControl w:val="false"/>
              <w:tabs>
                <w:tab w:val="clear" w:pos="708"/>
                <w:tab w:val="left" w:pos="360" w:leader="none"/>
              </w:tabs>
              <w:ind w:left="33" w:hanging="0"/>
              <w:jc w:val="both"/>
              <w:rPr>
                <w:szCs w:val="24"/>
              </w:rPr>
            </w:pPr>
            <w:r>
              <w:rPr>
                <w:szCs w:val="24"/>
              </w:rPr>
              <w:t>Максимальное рабочее давление</w:t>
            </w:r>
          </w:p>
        </w:tc>
        <w:tc>
          <w:tcPr>
            <w:tcW w:w="1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350 бар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284" w:leader="none"/>
              </w:tabs>
              <w:ind w:left="107" w:right="34" w:hanging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88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19" w:after="119"/>
              <w:rPr>
                <w:b/>
                <w:bCs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Гидрораспределитель Atos DLHZO-TEB-SN-NP-040-L33/I </w:t>
            </w:r>
          </w:p>
        </w:tc>
      </w:tr>
      <w:tr>
        <w:trPr>
          <w:cantSplit w:val="true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284" w:leader="none"/>
                <w:tab w:val="left" w:pos="426" w:leader="none"/>
              </w:tabs>
              <w:snapToGrid w:val="false"/>
              <w:ind w:left="0" w:right="34" w:hanging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2.1</w:t>
            </w:r>
          </w:p>
        </w:tc>
        <w:tc>
          <w:tcPr>
            <w:tcW w:w="4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8"/>
              <w:widowControl w:val="false"/>
              <w:tabs>
                <w:tab w:val="clear" w:pos="708"/>
                <w:tab w:val="left" w:pos="360" w:leader="none"/>
              </w:tabs>
              <w:ind w:left="33" w:hanging="0"/>
              <w:jc w:val="both"/>
              <w:rPr>
                <w:szCs w:val="24"/>
              </w:rPr>
            </w:pPr>
            <w:r>
              <w:rPr>
                <w:szCs w:val="24"/>
              </w:rPr>
              <w:t>Конфигурация распределителя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drawing>
                <wp:anchor behindDoc="0" distT="0" distB="0" distL="0" distR="0" simplePos="0" locked="0" layoutInCell="1" allowOverlap="1" relativeHeight="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85725</wp:posOffset>
                  </wp:positionV>
                  <wp:extent cx="1108710" cy="527685"/>
                  <wp:effectExtent l="0" t="0" r="0" b="0"/>
                  <wp:wrapSquare wrapText="largest"/>
                  <wp:docPr id="5" name="Изображение3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Изображение3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8710" cy="527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1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284" w:leader="none"/>
                <w:tab w:val="left" w:pos="426" w:leader="none"/>
              </w:tabs>
              <w:snapToGrid w:val="false"/>
              <w:ind w:left="0" w:right="34" w:hanging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2.2</w:t>
            </w:r>
          </w:p>
        </w:tc>
        <w:tc>
          <w:tcPr>
            <w:tcW w:w="4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8"/>
              <w:widowControl w:val="false"/>
              <w:tabs>
                <w:tab w:val="clear" w:pos="708"/>
                <w:tab w:val="left" w:pos="360" w:leader="none"/>
              </w:tabs>
              <w:ind w:left="33" w:hanging="0"/>
              <w:jc w:val="both"/>
              <w:rPr>
                <w:szCs w:val="24"/>
              </w:rPr>
            </w:pPr>
            <w:r>
              <w:rPr>
                <w:szCs w:val="24"/>
              </w:rPr>
              <w:t>Тип катушки (регулирующая характеристика)</w:t>
            </w:r>
          </w:p>
        </w:tc>
        <w:tc>
          <w:tcPr>
            <w:tcW w:w="1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линейная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1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284" w:leader="none"/>
                <w:tab w:val="left" w:pos="426" w:leader="none"/>
              </w:tabs>
              <w:snapToGrid w:val="false"/>
              <w:ind w:left="0" w:right="34" w:hanging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2.3</w:t>
            </w:r>
          </w:p>
        </w:tc>
        <w:tc>
          <w:tcPr>
            <w:tcW w:w="4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8"/>
              <w:widowControl w:val="false"/>
              <w:tabs>
                <w:tab w:val="clear" w:pos="708"/>
                <w:tab w:val="left" w:pos="360" w:leader="none"/>
              </w:tabs>
              <w:ind w:left="33" w:hanging="0"/>
              <w:jc w:val="both"/>
              <w:rPr>
                <w:szCs w:val="24"/>
              </w:rPr>
            </w:pPr>
            <w:r>
              <w:rPr>
                <w:szCs w:val="24"/>
              </w:rPr>
              <w:t>Рабочая жидкость</w:t>
            </w:r>
          </w:p>
        </w:tc>
        <w:tc>
          <w:tcPr>
            <w:tcW w:w="1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Гидравлическое масло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284" w:leader="none"/>
                <w:tab w:val="left" w:pos="426" w:leader="none"/>
              </w:tabs>
              <w:snapToGrid w:val="false"/>
              <w:ind w:left="0" w:right="34" w:hanging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2.4</w:t>
            </w:r>
          </w:p>
        </w:tc>
        <w:tc>
          <w:tcPr>
            <w:tcW w:w="4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8"/>
              <w:widowControl w:val="false"/>
              <w:tabs>
                <w:tab w:val="clear" w:pos="708"/>
                <w:tab w:val="left" w:pos="360" w:leader="none"/>
              </w:tabs>
              <w:ind w:left="33" w:hanging="0"/>
              <w:jc w:val="both"/>
              <w:rPr>
                <w:szCs w:val="24"/>
              </w:rPr>
            </w:pPr>
            <w:r>
              <w:rPr>
                <w:szCs w:val="24"/>
              </w:rPr>
              <w:t>Максимальное рабочее давление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350 бар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284" w:leader="none"/>
                <w:tab w:val="left" w:pos="426" w:leader="none"/>
              </w:tabs>
              <w:snapToGrid w:val="false"/>
              <w:ind w:left="0" w:right="34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</w:t>
            </w:r>
          </w:p>
        </w:tc>
        <w:tc>
          <w:tcPr>
            <w:tcW w:w="4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8"/>
              <w:widowControl w:val="false"/>
              <w:tabs>
                <w:tab w:val="clear" w:pos="708"/>
                <w:tab w:val="left" w:pos="360" w:leader="none"/>
              </w:tabs>
              <w:ind w:left="33" w:hanging="0"/>
              <w:jc w:val="both"/>
              <w:rPr>
                <w:szCs w:val="24"/>
              </w:rPr>
            </w:pPr>
            <w:r>
              <w:rPr>
                <w:szCs w:val="24"/>
              </w:rPr>
              <w:t>Крепление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винта М5х50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284" w:leader="none"/>
                <w:tab w:val="left" w:pos="426" w:leader="none"/>
              </w:tabs>
              <w:snapToGrid w:val="false"/>
              <w:ind w:left="0" w:right="34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2.6</w:t>
            </w:r>
          </w:p>
        </w:tc>
        <w:tc>
          <w:tcPr>
            <w:tcW w:w="4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8"/>
              <w:widowControl w:val="false"/>
              <w:tabs>
                <w:tab w:val="clear" w:pos="708"/>
                <w:tab w:val="left" w:pos="360" w:leader="none"/>
              </w:tabs>
              <w:ind w:left="33" w:hanging="0"/>
              <w:jc w:val="both"/>
              <w:rPr>
                <w:szCs w:val="24"/>
              </w:rPr>
            </w:pPr>
            <w:r>
              <w:rPr>
                <w:szCs w:val="24"/>
              </w:rPr>
              <w:t>Температура окружающей среды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 xml:space="preserve">От -20 </w:t>
            </w:r>
            <w:r>
              <w:rPr>
                <w:rFonts w:eastAsia="Times New Roman" w:cs="Times New Roman"/>
                <w:sz w:val="24"/>
                <w:szCs w:val="24"/>
              </w:rPr>
              <w:t>ºС до +60ºС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284" w:leader="none"/>
                <w:tab w:val="left" w:pos="426" w:leader="none"/>
              </w:tabs>
              <w:snapToGrid w:val="false"/>
              <w:ind w:left="0" w:right="34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2.7</w:t>
            </w:r>
          </w:p>
        </w:tc>
        <w:tc>
          <w:tcPr>
            <w:tcW w:w="4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8"/>
              <w:widowControl w:val="false"/>
              <w:tabs>
                <w:tab w:val="clear" w:pos="708"/>
                <w:tab w:val="left" w:pos="360" w:leader="none"/>
              </w:tabs>
              <w:ind w:left="33" w:hanging="0"/>
              <w:jc w:val="both"/>
              <w:rPr>
                <w:szCs w:val="24"/>
              </w:rPr>
            </w:pPr>
            <w:r>
              <w:rPr>
                <w:szCs w:val="24"/>
              </w:rPr>
              <w:t>Опорный сигнал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4÷20 мА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1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284" w:leader="none"/>
                <w:tab w:val="left" w:pos="426" w:leader="none"/>
              </w:tabs>
              <w:snapToGrid w:val="false"/>
              <w:ind w:left="0" w:right="34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2.8</w:t>
            </w:r>
          </w:p>
        </w:tc>
        <w:tc>
          <w:tcPr>
            <w:tcW w:w="4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8"/>
              <w:widowControl w:val="false"/>
              <w:tabs>
                <w:tab w:val="clear" w:pos="708"/>
                <w:tab w:val="left" w:pos="360" w:leader="none"/>
              </w:tabs>
              <w:ind w:left="33" w:hanging="0"/>
              <w:jc w:val="both"/>
              <w:rPr>
                <w:szCs w:val="24"/>
              </w:rPr>
            </w:pPr>
            <w:r>
              <w:rPr>
                <w:szCs w:val="24"/>
              </w:rPr>
              <w:t>Номинально допустимый расход</w:t>
            </w:r>
          </w:p>
        </w:tc>
        <w:tc>
          <w:tcPr>
            <w:tcW w:w="1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л/мин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1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284" w:leader="none"/>
                <w:tab w:val="left" w:pos="426" w:leader="none"/>
              </w:tabs>
              <w:snapToGrid w:val="false"/>
              <w:ind w:left="0" w:right="34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2.9</w:t>
            </w:r>
          </w:p>
        </w:tc>
        <w:tc>
          <w:tcPr>
            <w:tcW w:w="4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8"/>
              <w:widowControl w:val="false"/>
              <w:tabs>
                <w:tab w:val="clear" w:pos="708"/>
                <w:tab w:val="left" w:pos="360" w:leader="none"/>
              </w:tabs>
              <w:ind w:left="33" w:hanging="0"/>
              <w:jc w:val="both"/>
              <w:rPr>
                <w:szCs w:val="24"/>
              </w:rPr>
            </w:pPr>
            <w:r>
              <w:rPr>
                <w:szCs w:val="24"/>
              </w:rPr>
              <w:t>Габаритные размеры ДхШхВ</w:t>
            </w:r>
          </w:p>
        </w:tc>
        <w:tc>
          <w:tcPr>
            <w:tcW w:w="1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217х46х140 мм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jc w:val="center"/>
        <w:rPr>
          <w:b/>
          <w:bCs/>
          <w:sz w:val="24"/>
          <w:szCs w:val="26"/>
        </w:rPr>
      </w:pPr>
      <w:r>
        <w:rPr/>
      </w:r>
    </w:p>
    <w:sectPr>
      <w:headerReference w:type="default" r:id="rId10"/>
      <w:headerReference w:type="first" r:id="rId11"/>
      <w:type w:val="nextPage"/>
      <w:pgSz w:w="11906" w:h="16838"/>
      <w:pgMar w:left="1134" w:right="851" w:gutter="0" w:header="680" w:top="1134" w:footer="0" w:bottom="992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0" distT="0" distB="0" distL="0" distR="0" simplePos="0" locked="0" layoutInCell="0" allowOverlap="1" relativeHeight="2" wp14:anchorId="62185D75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 wp14:anchorId="62185D75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3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11</w:t>
    </w:r>
    <w:r>
      <w:rPr/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15</w:t>
    </w:r>
    <w:r>
      <w:rPr/>
      <w:fldChar w:fldCharType="end"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12</w:t>
    </w:r>
    <w:r>
      <w:rPr/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>
  <w:zoom w:percent="100"/>
  <w:trackRevisions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a2166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035e96"/>
    <w:pPr>
      <w:keepNext w:val="true"/>
      <w:tabs>
        <w:tab w:val="clear" w:pos="708"/>
        <w:tab w:val="left" w:pos="0" w:leader="none"/>
      </w:tabs>
      <w:spacing w:before="120" w:after="60"/>
      <w:ind w:left="1224" w:hanging="504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 w:customStyle="1">
    <w:name w:val="Символ сноски"/>
    <w:qFormat/>
    <w:rsid w:val="00d561d9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uiPriority w:val="99"/>
    <w:semiHidden/>
    <w:qFormat/>
    <w:rsid w:val="00b714b0"/>
    <w:rPr>
      <w:sz w:val="16"/>
      <w:szCs w:val="16"/>
    </w:rPr>
  </w:style>
  <w:style w:type="character" w:styleId="Strong1">
    <w:name w:val="Strong1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035e96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5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3"/>
    <w:qFormat/>
    <w:locked/>
    <w:rsid w:val="00d22f6d"/>
    <w:rPr>
      <w:sz w:val="28"/>
    </w:rPr>
  </w:style>
  <w:style w:type="character" w:styleId="Style5" w:customStyle="1">
    <w:name w:val="Текст сноски Знак"/>
    <w:uiPriority w:val="99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31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6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 w:customStyle="1">
    <w:name w:val="Символ концевой сноски"/>
    <w:qFormat/>
    <w:rsid w:val="003879d4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9"/>
    <w:qFormat/>
    <w:rsid w:val="004a17ae"/>
    <w:rPr>
      <w:rFonts w:eastAsia="Calibri"/>
      <w:caps/>
      <w:sz w:val="28"/>
      <w:szCs w:val="28"/>
      <w:lang w:eastAsia="en-US"/>
    </w:rPr>
  </w:style>
  <w:style w:type="character" w:styleId="13" w:customStyle="1">
    <w:name w:val="Неразрешенное упоминание1"/>
    <w:basedOn w:val="DefaultParagraphFont"/>
    <w:uiPriority w:val="99"/>
    <w:semiHidden/>
    <w:unhideWhenUsed/>
    <w:qFormat/>
    <w:rsid w:val="00c36f30"/>
    <w:rPr>
      <w:color w:val="605E5C"/>
      <w:shd w:fill="E1DFDD" w:val="clear"/>
    </w:rPr>
  </w:style>
  <w:style w:type="character" w:styleId="32" w:customStyle="1">
    <w:name w:val="Основной текст с отступом 3 Знак"/>
    <w:link w:val="BodyTextIndent3"/>
    <w:qFormat/>
    <w:rsid w:val="00c36f30"/>
    <w:rPr>
      <w:sz w:val="16"/>
      <w:szCs w:val="16"/>
    </w:rPr>
  </w:style>
  <w:style w:type="character" w:styleId="Style14" w:customStyle="1">
    <w:name w:val="Ссылка указателя"/>
    <w:qFormat/>
    <w:rPr/>
  </w:style>
  <w:style w:type="character" w:styleId="Style15" w:customStyle="1">
    <w:name w:val="Маркеры"/>
    <w:qFormat/>
    <w:rPr>
      <w:rFonts w:ascii="OpenSymbol" w:hAnsi="OpenSymbol" w:eastAsia="OpenSymbol" w:cs="OpenSymbol"/>
    </w:rPr>
  </w:style>
  <w:style w:type="character" w:styleId="WW8Num9z0" w:customStyle="1">
    <w:name w:val="WW8Num9z0"/>
    <w:qFormat/>
    <w:rPr>
      <w:sz w:val="24"/>
      <w:szCs w:val="24"/>
    </w:rPr>
  </w:style>
  <w:style w:type="character" w:styleId="WW8Num9z1" w:customStyle="1">
    <w:name w:val="WW8Num9z1"/>
    <w:qFormat/>
    <w:rPr>
      <w:sz w:val="24"/>
    </w:rPr>
  </w:style>
  <w:style w:type="character" w:styleId="Style16" w:customStyle="1">
    <w:name w:val="Символ нумерации"/>
    <w:qFormat/>
    <w:rPr/>
  </w:style>
  <w:style w:type="character" w:styleId="WW8Num6z0" w:customStyle="1">
    <w:name w:val="WW8Num6z0"/>
    <w:qFormat/>
    <w:rPr>
      <w:sz w:val="24"/>
      <w:szCs w:val="24"/>
    </w:rPr>
  </w:style>
  <w:style w:type="character" w:styleId="WW8Num6z1" w:customStyle="1">
    <w:name w:val="WW8Num6z1"/>
    <w:qFormat/>
    <w:rPr>
      <w:sz w:val="24"/>
    </w:rPr>
  </w:style>
  <w:style w:type="character" w:styleId="Strong">
    <w:name w:val="Strong"/>
    <w:qFormat/>
    <w:rPr>
      <w:b/>
      <w:bCs/>
    </w:rPr>
  </w:style>
  <w:style w:type="character" w:styleId="WW8Num15z0">
    <w:name w:val="WW8Num15z0"/>
    <w:qFormat/>
    <w:rPr/>
  </w:style>
  <w:style w:type="character" w:styleId="WW8Num8z0">
    <w:name w:val="WW8Num8z0"/>
    <w:qFormat/>
    <w:rPr/>
  </w:style>
  <w:style w:type="character" w:styleId="WW8Num19z0">
    <w:name w:val="WW8Num19z0"/>
    <w:qFormat/>
    <w:rPr>
      <w:sz w:val="24"/>
    </w:rPr>
  </w:style>
  <w:style w:type="character" w:styleId="LineNumber">
    <w:name w:val="Line Number"/>
    <w:rPr/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Style19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20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21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uiPriority w:val="99"/>
    <w:rsid w:val="00d561d9"/>
    <w:pPr/>
    <w:rPr>
      <w:sz w:val="20"/>
      <w:szCs w:val="20"/>
    </w:rPr>
  </w:style>
  <w:style w:type="paragraph" w:styleId="14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3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5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2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2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3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421b6b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c01756"/>
    <w:pPr>
      <w:tabs>
        <w:tab w:val="clear" w:pos="708"/>
        <w:tab w:val="left" w:pos="1120" w:leader="none"/>
        <w:tab w:val="right" w:pos="9911" w:leader="dot"/>
      </w:tabs>
      <w:ind w:left="567" w:hanging="0"/>
    </w:pPr>
    <w:rPr>
      <w:rFonts w:cs="Calibri" w:cstheme="minorHAnsi"/>
      <w:sz w:val="20"/>
      <w:szCs w:val="20"/>
    </w:rPr>
  </w:style>
  <w:style w:type="paragraph" w:styleId="Style24" w:customStyle="1">
    <w:name w:val="Раздел регламента"/>
    <w:basedOn w:val="Normal"/>
    <w:qFormat/>
    <w:rsid w:val="00e228fa"/>
    <w:pPr/>
    <w:rPr/>
  </w:style>
  <w:style w:type="paragraph" w:styleId="Style25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c01756"/>
    <w:pPr>
      <w:spacing w:before="240" w:after="0"/>
    </w:pPr>
    <w:rPr>
      <w:rFonts w:cs="Calibri" w:cstheme="minorHAnsi"/>
      <w:b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6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c01756"/>
    <w:pPr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6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1" w:customStyle="1">
    <w:name w:val="caption1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7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7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4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41" w:customStyle="1">
    <w:name w:val="Маркированный список 41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5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8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7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9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30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1" w:customStyle="1">
    <w:name w:val="Подподпункт"/>
    <w:basedOn w:val="Style23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2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6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3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8" w:customStyle="1">
    <w:name w:val="Стиль Заголовок 1 + по ширине"/>
    <w:basedOn w:val="Heading1"/>
    <w:qFormat/>
    <w:rsid w:val="005773b2"/>
    <w:pPr>
      <w:keepLines/>
      <w:tabs>
        <w:tab w:val="clear" w:pos="0"/>
        <w:tab w:val="left" w:pos="567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4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9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yle35" w:customStyle="1">
    <w:name w:val="Содержимое врезки"/>
    <w:basedOn w:val="Normal"/>
    <w:qFormat/>
    <w:pPr/>
    <w:rPr/>
  </w:style>
  <w:style w:type="paragraph" w:styleId="Style36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37" w:customStyle="1">
    <w:name w:val="Заголовок таблицы"/>
    <w:basedOn w:val="Style36"/>
    <w:qFormat/>
    <w:pPr>
      <w:jc w:val="center"/>
    </w:pPr>
    <w:rPr>
      <w:b/>
      <w:bCs/>
    </w:rPr>
  </w:style>
  <w:style w:type="paragraph" w:styleId="110" w:customStyle="1">
    <w:name w:val="Основной текст1"/>
    <w:basedOn w:val="Normal"/>
    <w:qFormat/>
    <w:pPr>
      <w:shd w:val="clear" w:color="auto" w:fill="FFFFFF"/>
      <w:spacing w:lineRule="atLeast" w:line="0"/>
    </w:pPr>
    <w:rPr>
      <w:sz w:val="23"/>
      <w:szCs w:val="23"/>
    </w:rPr>
  </w:style>
  <w:style w:type="paragraph" w:styleId="Style38">
    <w:name w:val="Абзац списка"/>
    <w:basedOn w:val="Normal"/>
    <w:qFormat/>
    <w:pPr>
      <w:spacing w:before="0" w:after="0"/>
      <w:ind w:left="720" w:hanging="0"/>
      <w:contextualSpacing/>
    </w:pPr>
    <w:rPr>
      <w:rFonts w:eastAsia="Calibri"/>
      <w:kern w:val="2"/>
      <w:sz w:val="24"/>
      <w:szCs w:val="20"/>
    </w:rPr>
  </w:style>
  <w:style w:type="numbering" w:styleId="NoList" w:default="1">
    <w:name w:val="No List"/>
    <w:uiPriority w:val="99"/>
    <w:semiHidden/>
    <w:unhideWhenUsed/>
    <w:qFormat/>
  </w:style>
  <w:style w:type="numbering" w:styleId="111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numbering" w:styleId="WW8Num9" w:customStyle="1">
    <w:name w:val="WW8Num9"/>
    <w:qFormat/>
  </w:style>
  <w:style w:type="numbering" w:styleId="32205798551" w:customStyle="1">
    <w:name w:val="32205798551"/>
    <w:qFormat/>
  </w:style>
  <w:style w:type="numbering" w:styleId="34258484031" w:customStyle="1">
    <w:name w:val="34258484031"/>
    <w:qFormat/>
  </w:style>
  <w:style w:type="numbering" w:styleId="WW8Num6" w:customStyle="1">
    <w:name w:val="WW8Num6"/>
    <w:qFormat/>
  </w:style>
  <w:style w:type="numbering" w:styleId="29805087391" w:customStyle="1">
    <w:name w:val="29805087391"/>
    <w:qFormat/>
  </w:style>
  <w:style w:type="numbering" w:styleId="WW8Num15">
    <w:name w:val="WW8Num15"/>
    <w:qFormat/>
  </w:style>
  <w:style w:type="numbering" w:styleId="WW8Num8">
    <w:name w:val="WW8Num8"/>
    <w:qFormat/>
  </w:style>
  <w:style w:type="numbering" w:styleId="WW8Num19">
    <w:name w:val="WW8Num19"/>
    <w:qFormat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9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d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image" Target="media/image1.png"/><Relationship Id="rId8" Type="http://schemas.openxmlformats.org/officeDocument/2006/relationships/image" Target="media/image2.png"/><Relationship Id="rId9" Type="http://schemas.openxmlformats.org/officeDocument/2006/relationships/image" Target="media/image3.png"/><Relationship Id="rId10" Type="http://schemas.openxmlformats.org/officeDocument/2006/relationships/header" Target="header6.xml"/><Relationship Id="rId11" Type="http://schemas.openxmlformats.org/officeDocument/2006/relationships/header" Target="header7.xml"/><Relationship Id="rId12" Type="http://schemas.openxmlformats.org/officeDocument/2006/relationships/numbering" Target="numbering.xml"/><Relationship Id="rId13" Type="http://schemas.openxmlformats.org/officeDocument/2006/relationships/fontTable" Target="fontTable.xml"/><Relationship Id="rId14" Type="http://schemas.openxmlformats.org/officeDocument/2006/relationships/settings" Target="settings.xml"/><Relationship Id="rId15" Type="http://schemas.openxmlformats.org/officeDocument/2006/relationships/theme" Target="theme/theme1.xml"/><Relationship Id="rId1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E95139-4CD6-4E80-ADC1-D6E90573B1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710</TotalTime>
  <Application>AlterOffice/3.4.0.9$Linux_X86_64 LibreOffice_project/b8daf9e823b1a5463a2f48435ddc2e8696e7d4fc</Application>
  <AppVersion>15.0000</AppVersion>
  <Pages>15</Pages>
  <Words>1239</Words>
  <Characters>8433</Characters>
  <CharactersWithSpaces>9421</CharactersWithSpaces>
  <Paragraphs>259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2024-11-29T04:24:00Z</dcterms:created>
  <dc:creator>Быстров Олег Геннадьевич</dc:creator>
  <dc:description/>
  <dc:language>ru-RU</dc:language>
  <cp:lastModifiedBy>gofmanma@corp.gidroogk.com</cp:lastModifiedBy>
  <cp:lastPrinted>2024-11-29T04:24:00Z</cp:lastPrinted>
  <dcterms:modified xsi:type="dcterms:W3CDTF">2026-08-05T09:55:08Z</dcterms:modified>
  <cp:revision>47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