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/>
        <w:spacing/>
        <w:ind/>
        <w:jc w:val="right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Приложение № 1 к Методике </w:t>
      </w:r>
      <w:r>
        <w:rPr>
          <w:rFonts w:ascii="Arial" w:hAnsi="Arial"/>
        </w:rPr>
      </w:r>
    </w:p>
    <w:p>
      <w:pPr>
        <w:pStyle w:val="729"/>
        <w:pBdr/>
        <w:spacing/>
        <w:ind/>
        <w:jc w:val="right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(утверждена приказом ПАО «РусГидро»</w:t>
      </w:r>
      <w:r>
        <w:rPr>
          <w:rFonts w:ascii="Arial" w:hAnsi="Arial"/>
        </w:rPr>
      </w:r>
    </w:p>
    <w:p>
      <w:pPr>
        <w:pStyle w:val="729"/>
        <w:pBdr/>
        <w:spacing/>
        <w:ind/>
        <w:jc w:val="right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от 22.11.2022 № 891)</w:t>
      </w:r>
      <w:r>
        <w:rPr>
          <w:rFonts w:ascii="Arial" w:hAnsi="Arial"/>
        </w:rPr>
      </w:r>
    </w:p>
    <w:p>
      <w:pPr>
        <w:pStyle w:val="729"/>
        <w:keepNext w:val="true"/>
        <w:keepLines w:val="true"/>
        <w:pBdr/>
        <w:spacing/>
        <w:ind/>
        <w:jc w:val="right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</w:r>
      <w:r>
        <w:rPr>
          <w:rFonts w:ascii="Arial" w:hAnsi="Arial"/>
          <w:bCs/>
          <w:sz w:val="24"/>
          <w:szCs w:val="24"/>
        </w:rPr>
      </w:r>
    </w:p>
    <w:p>
      <w:pPr>
        <w:pStyle w:val="729"/>
        <w:keepNext w:val="true"/>
        <w:keepLines w:val="true"/>
        <w:pBdr/>
        <w:spacing/>
        <w:ind/>
        <w:jc w:val="right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</w:r>
      <w:r>
        <w:rPr>
          <w:rFonts w:ascii="Arial" w:hAnsi="Arial"/>
          <w:bCs/>
          <w:sz w:val="24"/>
          <w:szCs w:val="24"/>
        </w:rPr>
      </w:r>
    </w:p>
    <w:p>
      <w:pPr>
        <w:pStyle w:val="729"/>
        <w:keepNext w:val="true"/>
        <w:keepLines w:val="true"/>
        <w:pBdr/>
        <w:spacing/>
        <w:ind/>
        <w:jc w:val="right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</w:r>
      <w:r>
        <w:rPr>
          <w:rFonts w:ascii="Arial" w:hAnsi="Arial"/>
          <w:b/>
          <w:bCs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jc w:val="center"/>
        <w:rPr>
          <w:rFonts w:ascii="Arial" w:hAnsi="Arial"/>
        </w:rPr>
      </w:pPr>
      <w:r>
        <w:rPr>
          <w:rFonts w:ascii="Arial" w:hAnsi="Arial" w:eastAsia="Calibri"/>
          <w:b/>
          <w:sz w:val="26"/>
          <w:szCs w:val="26"/>
        </w:rPr>
        <w:t xml:space="preserve">Технические требования на оказание услуг</w:t>
      </w:r>
      <w:r>
        <w:rPr>
          <w:rFonts w:ascii="Arial" w:hAnsi="Arial"/>
        </w:rPr>
      </w:r>
    </w:p>
    <w:p>
      <w:pPr>
        <w:pStyle w:val="729"/>
        <w:keepNext w:val="true"/>
        <w:keepLines w:val="true"/>
        <w:pBdr/>
        <w:spacing/>
        <w:ind/>
        <w:jc w:val="center"/>
        <w:rPr>
          <w:rFonts w:ascii="Arial" w:hAnsi="Arial" w:eastAsia="Calibri"/>
          <w:b/>
          <w:sz w:val="26"/>
          <w:szCs w:val="26"/>
        </w:rPr>
      </w:pPr>
      <w:r>
        <w:rPr>
          <w:rFonts w:ascii="Arial" w:hAnsi="Arial" w:eastAsia="Calibri"/>
          <w:b/>
          <w:sz w:val="26"/>
          <w:szCs w:val="26"/>
        </w:rPr>
      </w:r>
      <w:r>
        <w:rPr>
          <w:rFonts w:ascii="Arial" w:hAnsi="Arial" w:eastAsia="Calibri"/>
          <w:b/>
          <w:sz w:val="26"/>
          <w:szCs w:val="26"/>
        </w:rPr>
      </w:r>
    </w:p>
    <w:p>
      <w:pPr>
        <w:pStyle w:val="729"/>
        <w:keepNext w:val="true"/>
        <w:keepLines w:val="true"/>
        <w:pBdr/>
        <w:spacing/>
        <w:ind/>
        <w:jc w:val="center"/>
        <w:rPr>
          <w:rFonts w:ascii="Arial" w:hAnsi="Arial" w:eastAsia="Calibri"/>
          <w:b/>
          <w:sz w:val="26"/>
          <w:szCs w:val="26"/>
        </w:rPr>
      </w:pPr>
      <w:r>
        <w:rPr>
          <w:rFonts w:ascii="Arial" w:hAnsi="Arial" w:eastAsia="Calibri"/>
          <w:b/>
          <w:sz w:val="26"/>
          <w:szCs w:val="26"/>
        </w:rPr>
      </w:r>
      <w:r>
        <w:rPr>
          <w:rFonts w:ascii="Arial" w:hAnsi="Arial" w:eastAsia="Calibri"/>
          <w:b/>
          <w:sz w:val="26"/>
          <w:szCs w:val="26"/>
        </w:rPr>
      </w:r>
    </w:p>
    <w:p>
      <w:pPr>
        <w:pStyle w:val="729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center"/>
        <w:rPr>
          <w:rFonts w:ascii="Arial" w:hAnsi="Arial"/>
        </w:rPr>
      </w:pPr>
      <w:r>
        <w:rPr>
          <w:rFonts w:ascii="Arial" w:hAnsi="Arial" w:eastAsia="Calibri"/>
          <w:i/>
          <w:sz w:val="26"/>
          <w:szCs w:val="26"/>
        </w:rPr>
        <w:t xml:space="preserve">ОКПД2 - 62.01.29.000. Сопровождение программного комплекса Гранд-Смета</w:t>
      </w:r>
      <w:r>
        <w:br w:type="page" w:clear="all"/>
      </w:r>
      <w:r>
        <w:rPr>
          <w:rFonts w:ascii="Arial" w:hAnsi="Arial"/>
        </w:rPr>
      </w:r>
    </w:p>
    <w:p>
      <w:pPr>
        <w:pStyle w:val="729"/>
        <w:pBdr/>
        <w:spacing/>
        <w:ind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СОДЕРЖАНИЕ</w:t>
      </w:r>
      <w:r>
        <w:rPr>
          <w:rFonts w:ascii="Arial" w:hAnsi="Arial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81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rStyle w:val="781"/>
              <w:vanish w:val="0"/>
            </w:rPr>
            <w:instrText xml:space="preserve"> TOC \z \o "1-4" \u \h</w:instrText>
          </w:r>
          <w:r>
            <w:rPr>
              <w:rStyle w:val="781"/>
              <w:vanish w:val="0"/>
            </w:rPr>
            <w:fldChar w:fldCharType="separate"/>
          </w:r>
          <w:hyperlink w:tooltip="#__RefHeading___Toc758215_535677813" w:anchor="__RefHeading___Toc758215_535677813" w:history="1">
            <w:r>
              <w:rPr>
                <w:rStyle w:val="781"/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17_535677813" w:anchor="__RefHeading___Toc758217_535677813" w:history="1">
            <w:r>
              <w:rPr>
                <w:rStyle w:val="781"/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19_535677813" w:anchor="__RefHeading___Toc758219_535677813" w:history="1">
            <w:r>
              <w:rPr>
                <w:rStyle w:val="781"/>
                <w:vanish w:val="0"/>
              </w:rPr>
              <w:t xml:space="preserve">1.2. Наименование услуг</w:t>
              <w:tab/>
              <w:t xml:space="preserve">3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21_535677813" w:anchor="__RefHeading___Toc758221_535677813" w:history="1">
            <w:r>
              <w:rPr>
                <w:rStyle w:val="781"/>
                <w:vanish w:val="0"/>
              </w:rPr>
              <w:t xml:space="preserve">1.3. Цель оказания услуг</w:t>
              <w:tab/>
              <w:t xml:space="preserve">3</w:t>
            </w:r>
          </w:hyperlink>
          <w:r/>
          <w:r/>
        </w:p>
        <w:p>
          <w:pPr>
            <w:pStyle w:val="81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25_535677813" w:anchor="__RefHeading___Toc758225_535677813" w:history="1">
            <w:r>
              <w:rPr>
                <w:rStyle w:val="781"/>
                <w:vanish w:val="0"/>
              </w:rPr>
              <w:t xml:space="preserve">2. </w:t>
            </w:r>
            <w:r>
              <w:rPr>
                <w:rStyle w:val="781"/>
                <w:iCs/>
              </w:rPr>
              <w:t xml:space="preserve">Требования к услугам</w:t>
            </w:r>
            <w:r>
              <w:rPr>
                <w:rStyle w:val="781"/>
              </w:rPr>
              <w:tab/>
              <w:t xml:space="preserve">3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27_535677813" w:anchor="__RefHeading___Toc758227_535677813" w:history="1">
            <w:r>
              <w:rPr>
                <w:rStyle w:val="781"/>
                <w:vanish w:val="0"/>
              </w:rPr>
              <w:t xml:space="preserve">2.1. Требования к объемам и срокам оказания услуг</w:t>
              <w:tab/>
              <w:t xml:space="preserve">3</w:t>
            </w:r>
          </w:hyperlink>
          <w:r/>
          <w:r/>
        </w:p>
        <w:p>
          <w:pPr>
            <w:pStyle w:val="812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29_535677813" w:anchor="__RefHeading___Toc758229_535677813" w:history="1">
            <w:r>
              <w:rPr>
                <w:rStyle w:val="781"/>
                <w:vanish w:val="0"/>
              </w:rPr>
              <w:t xml:space="preserve">2.1.1. Требования к перечню и объему услуг</w:t>
              <w:tab/>
              <w:t xml:space="preserve">3</w:t>
            </w:r>
          </w:hyperlink>
          <w:r/>
          <w:r/>
        </w:p>
        <w:p>
          <w:pPr>
            <w:pStyle w:val="812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31_535677813" w:anchor="__RefHeading___Toc758231_535677813" w:history="1">
            <w:r>
              <w:rPr>
                <w:rStyle w:val="781"/>
                <w:vanish w:val="0"/>
              </w:rPr>
              <w:t xml:space="preserve">Таблица 2. Перечень и объем оказываемых услуг</w:t>
              <w:tab/>
              <w:t xml:space="preserve">3</w:t>
            </w:r>
          </w:hyperlink>
          <w:r/>
          <w:r/>
        </w:p>
        <w:p>
          <w:pPr>
            <w:pStyle w:val="812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33_535677813" w:anchor="__RefHeading___Toc758233_535677813" w:history="1">
            <w:r>
              <w:rPr>
                <w:rStyle w:val="781"/>
                <w:vanish w:val="0"/>
              </w:rPr>
              <w:t xml:space="preserve">2.1.2.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812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35_535677813" w:anchor="__RefHeading___Toc758235_535677813" w:history="1">
            <w:r>
              <w:rPr>
                <w:rStyle w:val="781"/>
                <w:vanish w:val="0"/>
              </w:rPr>
              <w:t xml:space="preserve">Таблица 3.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758237_535677813" w:anchor="__RefHeading___Toc758237_535677813" w:history="1">
            <w:r>
              <w:rPr>
                <w:rStyle w:val="781"/>
                <w:vanish w:val="0"/>
              </w:rPr>
              <w:t xml:space="preserve">2.2. Требования к качеству услуг</w:t>
              <w:tab/>
              <w:t xml:space="preserve">5</w:t>
            </w:r>
          </w:hyperlink>
          <w:r/>
          <w:r/>
        </w:p>
        <w:p>
          <w:pPr>
            <w:pStyle w:val="8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6_1498528630" w:anchor="__RefHeading___Toc9816_1498528630" w:history="1">
            <w:r>
              <w:rPr>
                <w:rStyle w:val="781"/>
                <w:vanish w:val="0"/>
              </w:rPr>
              <w:t xml:space="preserve">Таблица 4. Требования к качеству услуг</w:t>
              <w:tab/>
              <w:t xml:space="preserve">5</w:t>
            </w:r>
          </w:hyperlink>
          <w:r>
            <w:rPr>
              <w:rStyle w:val="781"/>
              <w:vanish w:val="0"/>
            </w:rPr>
            <w:fldChar w:fldCharType="end"/>
          </w:r>
          <w:r/>
        </w:p>
      </w:sdtContent>
    </w:sdt>
    <w:p>
      <w:pPr>
        <w:pStyle w:val="811"/>
        <w:pBdr/>
        <w:tabs>
          <w:tab w:val="left" w:leader="none" w:pos="560"/>
          <w:tab w:val="clear" w:leader="none" w:pos="708"/>
          <w:tab w:val="right" w:leader="dot" w:pos="9911"/>
        </w:tabs>
        <w:spacing/>
        <w:ind/>
        <w:rPr>
          <w:rFonts w:ascii="Arial" w:hAnsi="Arial" w:eastAsiaTheme="minorEastAsia" w:cstheme="minorBidi"/>
          <w:b w:val="0"/>
          <w:bCs w:val="0"/>
          <w:sz w:val="22"/>
          <w:szCs w:val="22"/>
        </w:rPr>
      </w:pPr>
      <w:r>
        <w:rPr>
          <w:rFonts w:ascii="Arial" w:hAnsi="Arial" w:eastAsiaTheme="minorEastAsia" w:cstheme="minorBidi"/>
          <w:b w:val="0"/>
          <w:bCs w:val="0"/>
          <w:sz w:val="22"/>
          <w:szCs w:val="22"/>
        </w:rPr>
      </w:r>
      <w:r>
        <w:rPr>
          <w:rFonts w:ascii="Arial" w:hAnsi="Arial" w:eastAsiaTheme="minorEastAsia" w:cstheme="minorBidi"/>
          <w:b w:val="0"/>
          <w:bCs w:val="0"/>
          <w:sz w:val="22"/>
          <w:szCs w:val="22"/>
        </w:rPr>
      </w:r>
    </w:p>
    <w:p>
      <w:pPr>
        <w:pStyle w:val="731"/>
        <w:pBdr/>
        <w:tabs>
          <w:tab w:val="clear" w:leader="none" w:pos="0"/>
        </w:tabs>
        <w:spacing/>
        <w:ind w:firstLine="0" w:left="0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</w:r>
      <w:r>
        <w:rPr>
          <w:rFonts w:ascii="Arial" w:hAnsi="Arial"/>
          <w:b w:val="0"/>
          <w:i/>
        </w:rPr>
      </w:r>
    </w:p>
    <w:p>
      <w:pPr>
        <w:pStyle w:val="729"/>
        <w:keepNext w:val="true"/>
        <w:keepLines w:val="true"/>
        <w:pBdr/>
        <w:spacing/>
        <w:ind/>
        <w:jc w:val="center"/>
        <w:rPr>
          <w:rFonts w:ascii="Arial" w:hAnsi="Arial" w:eastAsia="Calibri"/>
          <w:b/>
          <w:i/>
          <w:sz w:val="24"/>
          <w:szCs w:val="24"/>
        </w:rPr>
      </w:pPr>
      <w:r>
        <w:rPr>
          <w:rFonts w:ascii="Arial" w:hAnsi="Arial" w:eastAsia="Calibri"/>
          <w:b/>
          <w:i/>
          <w:sz w:val="24"/>
          <w:szCs w:val="24"/>
        </w:rPr>
      </w:r>
      <w:r>
        <w:br w:type="page" w:clear="all"/>
      </w:r>
      <w:r>
        <w:rPr>
          <w:rFonts w:ascii="Arial" w:hAnsi="Arial" w:eastAsia="Calibri"/>
          <w:b/>
          <w:i/>
          <w:sz w:val="24"/>
          <w:szCs w:val="24"/>
        </w:rPr>
      </w:r>
    </w:p>
    <w:p>
      <w:pPr>
        <w:pStyle w:val="730"/>
        <w:numPr>
          <w:ilvl w:val="0"/>
          <w:numId w:val="3"/>
        </w:numPr>
        <w:pBdr/>
        <w:spacing w:after="0" w:before="0"/>
        <w:ind w:right="0" w:firstLine="0" w:left="0"/>
        <w:jc w:val="center"/>
        <w:rPr>
          <w:rFonts w:ascii="Times New Roman" w:hAnsi="Times New Roman"/>
          <w:sz w:val="24"/>
          <w:szCs w:val="24"/>
        </w:rPr>
      </w:pPr>
      <w:r/>
      <w:bookmarkStart w:id="0" w:name="__RefHeading___Toc758215_535677813"/>
      <w:r/>
      <w:bookmarkStart w:id="1" w:name="_Toc132039851"/>
      <w:r/>
      <w:bookmarkEnd w:id="0"/>
      <w:r>
        <w:rPr>
          <w:sz w:val="24"/>
          <w:szCs w:val="24"/>
        </w:rPr>
        <w:t xml:space="preserve">Общие сведения</w:t>
      </w:r>
      <w:bookmarkEnd w:id="1"/>
      <w:r/>
      <w:r>
        <w:rPr>
          <w:rFonts w:ascii="Times New Roman" w:hAnsi="Times New Roman"/>
          <w:sz w:val="24"/>
          <w:szCs w:val="24"/>
        </w:rPr>
      </w:r>
    </w:p>
    <w:p>
      <w:pPr>
        <w:pStyle w:val="731"/>
        <w:numPr>
          <w:ilvl w:val="1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2" w:name="__RefHeading___Toc758217_535677813"/>
      <w:r/>
      <w:bookmarkStart w:id="3" w:name="_Toc132039852"/>
      <w:r/>
      <w:bookmarkStart w:id="4" w:name="_Toc46743505"/>
      <w:r/>
      <w:bookmarkEnd w:id="2"/>
      <w:r>
        <w:rPr>
          <w:sz w:val="24"/>
          <w:szCs w:val="24"/>
        </w:rPr>
        <w:t xml:space="preserve">Обозначения и сокращения</w:t>
      </w:r>
      <w:bookmarkEnd w:id="3"/>
      <w:r/>
      <w:bookmarkEnd w:id="4"/>
      <w:r/>
      <w:r>
        <w:rPr>
          <w:rFonts w:ascii="Times New Roman" w:hAnsi="Times New Roman"/>
          <w:sz w:val="24"/>
          <w:szCs w:val="24"/>
        </w:rPr>
      </w:r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920"/>
        <w:gridCol w:w="785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ГЭСН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элементные сметные нормы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система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Контрагент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Локальные нормативные акты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Нормативно-правовые акты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Программный комплекс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Строительные нормы и правила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Территориальные единичные расценки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ТЗ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задание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ФЕР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Федеральные единичные расценки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ФСНБ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сметно-нормативная база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29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1"/>
        <w:numPr>
          <w:ilvl w:val="1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5" w:name="__RefHeading___Toc758219_535677813"/>
      <w:r/>
      <w:bookmarkStart w:id="6" w:name="_Toc132039853"/>
      <w:r/>
      <w:bookmarkEnd w:id="5"/>
      <w:r>
        <w:rPr>
          <w:sz w:val="24"/>
          <w:szCs w:val="24"/>
        </w:rPr>
        <w:t xml:space="preserve">Наименование услуг </w:t>
      </w:r>
      <w:bookmarkEnd w:id="6"/>
      <w:r/>
      <w:r>
        <w:rPr>
          <w:rFonts w:ascii="Times New Roman" w:hAnsi="Times New Roman"/>
          <w:sz w:val="24"/>
          <w:szCs w:val="24"/>
        </w:rPr>
      </w:r>
    </w:p>
    <w:p>
      <w:pPr>
        <w:pStyle w:val="729"/>
        <w:pBdr/>
        <w:spacing/>
        <w:ind/>
        <w:rPr/>
      </w:pPr>
      <w:r>
        <w:rPr>
          <w:rStyle w:val="771"/>
          <w:b w:val="0"/>
          <w:bCs w:val="0"/>
          <w:i w:val="0"/>
          <w:iCs w:val="0"/>
          <w:sz w:val="24"/>
          <w:szCs w:val="24"/>
          <w:shd w:val="clear" w:color="auto" w:fill="auto"/>
        </w:rPr>
        <w:tab/>
        <w:t xml:space="preserve">Сопровождение программного комплекса Гранд-Смета </w:t>
      </w:r>
      <w:r/>
    </w:p>
    <w:p>
      <w:pPr>
        <w:pStyle w:val="731"/>
        <w:numPr>
          <w:ilvl w:val="1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7" w:name="__RefHeading___Toc758221_535677813"/>
      <w:r/>
      <w:bookmarkStart w:id="8" w:name="_Toc132039854"/>
      <w:r/>
      <w:bookmarkStart w:id="9" w:name="_Toc46743507"/>
      <w:r/>
      <w:bookmarkEnd w:id="7"/>
      <w:r>
        <w:rPr>
          <w:b/>
          <w:bCs/>
          <w:sz w:val="24"/>
          <w:szCs w:val="24"/>
        </w:rPr>
        <w:t xml:space="preserve">Цель </w:t>
      </w:r>
      <w:bookmarkEnd w:id="9"/>
      <w:r>
        <w:rPr>
          <w:b/>
          <w:bCs/>
          <w:sz w:val="24"/>
          <w:szCs w:val="24"/>
          <w:lang w:val="ru-RU"/>
        </w:rPr>
        <w:t xml:space="preserve">оказания услуг</w:t>
      </w:r>
      <w:bookmarkEnd w:id="8"/>
      <w:r/>
      <w:r>
        <w:rPr>
          <w:rFonts w:ascii="Times New Roman" w:hAnsi="Times New Roman"/>
          <w:sz w:val="24"/>
          <w:szCs w:val="24"/>
        </w:rPr>
      </w:r>
    </w:p>
    <w:p>
      <w:pPr>
        <w:pStyle w:val="729"/>
        <w:pBdr/>
        <w:spacing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Целью оказания Услуг является получение периодических обновлений баз ПК для обеспечения бесперебойной работоспособности.</w:t>
      </w:r>
      <w:r>
        <w:rPr>
          <w:rFonts w:ascii="Times New Roman" w:hAnsi="Times New Roman"/>
          <w:sz w:val="24"/>
          <w:szCs w:val="24"/>
        </w:rPr>
      </w:r>
    </w:p>
    <w:p>
      <w:pPr>
        <w:pStyle w:val="729"/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10" w:name="__RefHeading___Toc758223_535677813"/>
      <w:r/>
      <w:bookmarkStart w:id="11" w:name="_Toc132039855"/>
      <w:r/>
      <w:bookmarkEnd w:id="10"/>
      <w:r>
        <w:rPr>
          <w:sz w:val="24"/>
          <w:szCs w:val="24"/>
        </w:rPr>
        <w:t xml:space="preserve">Таблица 1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объектов заказчика</w:t>
      </w:r>
      <w:bookmarkEnd w:id="11"/>
      <w:r/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08"/>
        <w:gridCol w:w="2865"/>
        <w:gridCol w:w="2127"/>
        <w:gridCol w:w="2127"/>
        <w:gridCol w:w="199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29"/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объекта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 xml:space="preserve">(место оказания услуг)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6"/>
              </w:num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ru-RU" w:eastAsia="ru-RU" w:bidi="ar-SA"/>
              </w:rPr>
              <w:t xml:space="preserve">Сопровождение программного комплекса «Гранд-Смета»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г.Якутск, пер.Энергетиков, д.2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Программный комплекс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</w:tr>
    </w:tbl>
    <w:p>
      <w:pPr>
        <w:pStyle w:val="730"/>
        <w:numPr>
          <w:ilvl w:val="0"/>
          <w:numId w:val="3"/>
        </w:numPr>
        <w:pBdr/>
        <w:spacing w:after="0" w:before="0"/>
        <w:ind w:right="0" w:firstLine="0" w:left="0"/>
        <w:jc w:val="center"/>
        <w:rPr>
          <w:rFonts w:ascii="Times New Roman" w:hAnsi="Times New Roman"/>
          <w:sz w:val="24"/>
          <w:szCs w:val="24"/>
        </w:rPr>
      </w:pPr>
      <w:r/>
      <w:bookmarkStart w:id="12" w:name="__RefHeading___Toc758225_535677813"/>
      <w:r/>
      <w:bookmarkStart w:id="13" w:name="_Toc132039856"/>
      <w:r/>
      <w:bookmarkStart w:id="14" w:name="_Toc51339693"/>
      <w:r/>
      <w:bookmarkEnd w:id="12"/>
      <w:r>
        <w:rPr>
          <w:iCs/>
          <w:sz w:val="24"/>
          <w:szCs w:val="24"/>
          <w:lang w:val="ru-RU"/>
        </w:rPr>
        <w:t xml:space="preserve">Требования</w:t>
      </w:r>
      <w:r>
        <w:rPr>
          <w:iCs/>
          <w:sz w:val="24"/>
          <w:szCs w:val="24"/>
        </w:rPr>
        <w:t xml:space="preserve"> к услугам</w:t>
      </w:r>
      <w:bookmarkEnd w:id="13"/>
      <w:r/>
      <w:bookmarkEnd w:id="14"/>
      <w:r/>
      <w:r>
        <w:rPr>
          <w:rFonts w:ascii="Times New Roman" w:hAnsi="Times New Roman"/>
          <w:sz w:val="24"/>
          <w:szCs w:val="24"/>
        </w:rPr>
      </w:r>
    </w:p>
    <w:p>
      <w:pPr>
        <w:pStyle w:val="731"/>
        <w:numPr>
          <w:ilvl w:val="1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15" w:name="__RefHeading___Toc758227_535677813"/>
      <w:r/>
      <w:bookmarkStart w:id="16" w:name="_Toc132039857"/>
      <w:r/>
      <w:bookmarkEnd w:id="15"/>
      <w:r>
        <w:rPr>
          <w:b/>
          <w:bCs/>
          <w:sz w:val="24"/>
          <w:szCs w:val="24"/>
        </w:rPr>
        <w:t xml:space="preserve">Требования к объемам и срокам </w:t>
      </w:r>
      <w:r>
        <w:rPr>
          <w:b/>
          <w:bCs/>
          <w:sz w:val="24"/>
          <w:szCs w:val="24"/>
          <w:lang w:val="ru-RU"/>
        </w:rPr>
        <w:t xml:space="preserve">оказания услуг</w:t>
      </w:r>
      <w:bookmarkEnd w:id="16"/>
      <w:r/>
      <w:r>
        <w:rPr>
          <w:rFonts w:ascii="Times New Roman" w:hAnsi="Times New Roman"/>
          <w:sz w:val="24"/>
          <w:szCs w:val="24"/>
        </w:rPr>
      </w:r>
    </w:p>
    <w:p>
      <w:pPr>
        <w:pStyle w:val="732"/>
        <w:numPr>
          <w:ilvl w:val="2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17" w:name="__RefHeading___Toc758229_535677813"/>
      <w:r/>
      <w:bookmarkStart w:id="18" w:name="_Toc132039858"/>
      <w:r/>
      <w:bookmarkEnd w:id="17"/>
      <w:r>
        <w:rPr>
          <w:sz w:val="24"/>
          <w:szCs w:val="24"/>
        </w:rPr>
        <w:t xml:space="preserve">Требования к перечню и объему услуг</w:t>
      </w:r>
      <w:bookmarkEnd w:id="18"/>
      <w:r/>
      <w:r>
        <w:rPr>
          <w:rFonts w:ascii="Times New Roman" w:hAnsi="Times New Roman"/>
          <w:sz w:val="24"/>
          <w:szCs w:val="24"/>
        </w:rPr>
      </w:r>
    </w:p>
    <w:p>
      <w:pPr>
        <w:pStyle w:val="729"/>
        <w:pBdr/>
        <w:spacing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Исполнитель должен оказать услуги по сопровождению программного комплекса «Гранд-Смета» в соответствии с перечнем требований, приведенным в приложении.</w:t>
      </w:r>
      <w:r>
        <w:rPr>
          <w:rFonts w:ascii="Times New Roman" w:hAnsi="Times New Roman"/>
          <w:sz w:val="24"/>
          <w:szCs w:val="24"/>
        </w:rPr>
      </w:r>
    </w:p>
    <w:p>
      <w:pPr>
        <w:pStyle w:val="729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2"/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19" w:name="__RefHeading___Toc758231_535677813"/>
      <w:r/>
      <w:bookmarkStart w:id="20" w:name="_Toc132039859"/>
      <w:r/>
      <w:bookmarkStart w:id="21" w:name="_Toc51339695"/>
      <w:r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 xml:space="preserve">и объем оказываемых услуг</w:t>
      </w:r>
      <w:bookmarkEnd w:id="20"/>
      <w:r/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60"/>
        <w:gridCol w:w="4903"/>
        <w:gridCol w:w="2011"/>
        <w:gridCol w:w="214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29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/ этапа услуг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1" w:type="dxa"/>
            <w:vAlign w:val="center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 единицу, руб. без НДС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vAlign w:val="center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3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7"/>
              </w:num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3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Сопровождение программного комплекса «Гранд-Смета»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32"/>
        <w:numPr>
          <w:ilvl w:val="2"/>
          <w:numId w:val="3"/>
        </w:numPr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22" w:name="__RefHeading___Toc758233_535677813"/>
      <w:r/>
      <w:bookmarkStart w:id="23" w:name="_Toc132039860"/>
      <w:r/>
      <w:bookmarkStart w:id="24" w:name="_Toc51339696"/>
      <w:r/>
      <w:bookmarkEnd w:id="22"/>
      <w:r>
        <w:rPr>
          <w:sz w:val="24"/>
          <w:szCs w:val="24"/>
        </w:rPr>
        <w:t xml:space="preserve">Требования </w:t>
      </w:r>
      <w:bookmarkEnd w:id="24"/>
      <w:r>
        <w:rPr>
          <w:sz w:val="24"/>
          <w:szCs w:val="24"/>
        </w:rPr>
        <w:t xml:space="preserve">к срокам оказания услуг</w:t>
      </w:r>
      <w:bookmarkEnd w:id="23"/>
      <w:r/>
      <w:r>
        <w:rPr>
          <w:rFonts w:ascii="Times New Roman" w:hAnsi="Times New Roman"/>
          <w:sz w:val="24"/>
          <w:szCs w:val="24"/>
        </w:rPr>
      </w:r>
    </w:p>
    <w:p>
      <w:pPr>
        <w:pStyle w:val="732"/>
        <w:pBdr/>
        <w:spacing/>
        <w:ind/>
        <w:rPr>
          <w:rFonts w:ascii="Times New Roman" w:hAnsi="Times New Roman"/>
          <w:sz w:val="24"/>
          <w:szCs w:val="24"/>
        </w:rPr>
      </w:pPr>
      <w:r/>
      <w:bookmarkStart w:id="25" w:name="__RefHeading___Toc758235_535677813"/>
      <w:r/>
      <w:bookmarkStart w:id="26" w:name="_Toc132039861"/>
      <w:r/>
      <w:bookmarkStart w:id="27" w:name="_Toc50125127"/>
      <w:r/>
      <w:bookmarkStart w:id="28" w:name="_Toc51339697"/>
      <w:r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</w:rPr>
        <w:t xml:space="preserve">. </w:t>
      </w:r>
      <w:bookmarkStart w:id="2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</w:rPr>
        <w:t xml:space="preserve"> срокам </w:t>
      </w:r>
      <w:bookmarkEnd w:id="27"/>
      <w:r/>
      <w:bookmarkEnd w:id="28"/>
      <w:r/>
      <w:bookmarkEnd w:id="29"/>
      <w:r>
        <w:rPr>
          <w:sz w:val="24"/>
          <w:szCs w:val="24"/>
          <w:lang w:val="ru-RU"/>
        </w:rPr>
        <w:t xml:space="preserve">оказания услуг</w:t>
      </w:r>
      <w:bookmarkEnd w:id="26"/>
      <w:r/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3165"/>
        <w:gridCol w:w="3024"/>
        <w:gridCol w:w="3163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4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услуг/ этапа услуг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3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услуг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4" w:type="dxa"/>
            <w:textDirection w:val="lrTb"/>
            <w:noWrap w:val="false"/>
          </w:tcPr>
          <w:p>
            <w:pPr>
              <w:pStyle w:val="843"/>
              <w:keepNext w:val="false"/>
              <w:widowControl w:val="false"/>
              <w:pBdr/>
              <w:spacing w:after="40" w:before="4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3" w:type="dxa"/>
            <w:textDirection w:val="lrTb"/>
            <w:noWrap w:val="false"/>
          </w:tcPr>
          <w:p>
            <w:pPr>
              <w:pStyle w:val="843"/>
              <w:keepNext w:val="false"/>
              <w:widowControl w:val="false"/>
              <w:pBdr/>
              <w:spacing w:after="40" w:before="4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8"/>
              </w:num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Сопровождение программного комплекса «Гранд-Смета»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4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01.04.2027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63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31.03.2028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731"/>
        <w:numPr>
          <w:ilvl w:val="1"/>
          <w:numId w:val="3"/>
        </w:numPr>
        <w:pBdr/>
        <w:spacing/>
        <w:ind/>
        <w:rPr>
          <w:rFonts w:ascii="Times New Roman" w:hAnsi="Times New Roman"/>
        </w:rPr>
      </w:pPr>
      <w:r/>
      <w:bookmarkStart w:id="30" w:name="__RefHeading___Toc758237_535677813"/>
      <w:r/>
      <w:bookmarkStart w:id="31" w:name="_Toc132039862"/>
      <w:r/>
      <w:bookmarkEnd w:id="30"/>
      <w:r>
        <w:rPr>
          <w:b/>
          <w:bCs/>
        </w:rPr>
        <w:t xml:space="preserve">Требования к </w:t>
      </w:r>
      <w:r>
        <w:rPr>
          <w:b/>
          <w:bCs/>
          <w:lang w:val="ru-RU"/>
        </w:rPr>
        <w:t xml:space="preserve">качеству услуг</w:t>
      </w:r>
      <w:bookmarkEnd w:id="31"/>
      <w:r/>
      <w:r>
        <w:rPr>
          <w:rFonts w:ascii="Times New Roman" w:hAnsi="Times New Roman"/>
        </w:rPr>
      </w:r>
    </w:p>
    <w:p>
      <w:pPr>
        <w:pStyle w:val="860"/>
        <w:pBdr/>
        <w:shd w:val="clear" w:color="auto" w:fill="ffffff"/>
        <w:spacing w:after="0" w:before="120"/>
        <w:ind w:firstLine="708"/>
        <w:jc w:val="both"/>
        <w:rPr>
          <w:rFonts w:ascii="Times New Roman" w:hAnsi="Times New Roman"/>
        </w:rPr>
      </w:pPr>
      <w:r>
        <w:rPr>
          <w:rFonts w:eastAsia="Liberation Serif"/>
          <w:bCs/>
          <w:color w:val="000000"/>
          <w:spacing w:val="-2"/>
          <w:sz w:val="24"/>
          <w:szCs w:val="28"/>
        </w:rPr>
        <w:t xml:space="preserve">Исполнитель гарантирует качество предоставляемых услуг.</w:t>
      </w:r>
      <w:r>
        <w:rPr>
          <w:rFonts w:ascii="Times New Roman" w:hAnsi="Times New Roman"/>
        </w:rPr>
      </w:r>
    </w:p>
    <w:p>
      <w:pPr>
        <w:pStyle w:val="731"/>
        <w:pBdr/>
        <w:spacing/>
        <w:ind/>
        <w:rPr>
          <w:rFonts w:ascii="Times New Roman" w:hAnsi="Times New Roman"/>
        </w:rPr>
      </w:pPr>
      <w:r/>
      <w:bookmarkStart w:id="32" w:name="__RefHeading___Toc9816_1498528630"/>
      <w:r/>
      <w:bookmarkStart w:id="33" w:name="_Toc51339698"/>
      <w:r/>
      <w:bookmarkEnd w:id="32"/>
      <w:r>
        <w:rPr>
          <w:sz w:val="24"/>
          <w:szCs w:val="24"/>
          <w:lang w:val="ru-RU"/>
        </w:rPr>
        <w:t xml:space="preserve">Таблица 4. Требования к </w:t>
      </w:r>
      <w:bookmarkEnd w:id="33"/>
      <w:r>
        <w:rPr>
          <w:sz w:val="24"/>
          <w:szCs w:val="24"/>
          <w:lang w:val="ru-RU"/>
        </w:rPr>
        <w:t xml:space="preserve">качеству услуг </w:t>
      </w:r>
      <w:r>
        <w:rPr>
          <w:rFonts w:ascii="Times New Roman" w:hAnsi="Times New Roman"/>
        </w:rPr>
      </w:r>
    </w:p>
    <w:p>
      <w:pPr>
        <w:pStyle w:val="729"/>
        <w:pBdr/>
        <w:spacing/>
        <w:ind/>
        <w:jc w:val="both"/>
        <w:rPr>
          <w:rStyle w:val="771"/>
          <w:b w:val="0"/>
          <w:i w:val="0"/>
          <w:iCs w:val="0"/>
          <w:sz w:val="24"/>
          <w:szCs w:val="24"/>
          <w:shd w:val="clear" w:color="auto" w:fill="auto"/>
          <w:lang w:val="ru-RU"/>
        </w:rPr>
      </w:pPr>
      <w:r>
        <w:rPr>
          <w:b w:val="0"/>
          <w:i w:val="0"/>
          <w:iCs w:val="0"/>
          <w:sz w:val="24"/>
          <w:szCs w:val="24"/>
          <w:shd w:val="clear" w:color="auto" w:fill="auto"/>
          <w:lang w:val="ru-RU"/>
        </w:rPr>
      </w:r>
      <w:r/>
      <w:r/>
      <w:r/>
      <w:bookmarkStart w:id="37" w:name="_Toc51339699"/>
      <w:r/>
      <w:bookmarkStart w:id="38" w:name="_Toc46743519"/>
      <w:r/>
      <w:bookmarkStart w:id="39" w:name="_Ref40301253"/>
      <w:r/>
      <w:bookmarkEnd w:id="37"/>
      <w:r/>
      <w:bookmarkEnd w:id="38"/>
      <w:r/>
      <w:bookmarkEnd w:id="39"/>
      <w:r/>
      <w:r>
        <w:rPr>
          <w:rStyle w:val="771"/>
          <w:b w:val="0"/>
          <w:i w:val="0"/>
          <w:iCs w:val="0"/>
          <w:sz w:val="24"/>
          <w:szCs w:val="24"/>
          <w:shd w:val="clear" w:color="auto" w:fill="auto"/>
          <w:lang w:val="ru-RU"/>
        </w:rPr>
      </w:r>
    </w:p>
    <w:tbl>
      <w:tblPr>
        <w:tblW w:w="14880" w:type="dxa"/>
        <w:tblInd w:w="103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851"/>
        <w:gridCol w:w="3574"/>
        <w:gridCol w:w="4257"/>
        <w:gridCol w:w="2067"/>
        <w:gridCol w:w="2065"/>
        <w:gridCol w:w="20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restart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57" w:type="dxa"/>
            <w:vAlign w:val="center"/>
            <w:vMerge w:val="restart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32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Align w:val="center"/>
            <w:vMerge w:val="restart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continue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7" w:type="dxa"/>
            <w:vAlign w:val="center"/>
            <w:vMerge w:val="continue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7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Align w:val="center"/>
            <w:vMerge w:val="continue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/>
            <w:bookmarkStart w:id="40" w:name="_Toc53499667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</w:t>
            </w:r>
            <w:bookmarkEnd w:id="40"/>
            <w:r/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7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11"/>
              </w:numPr>
              <w:pBdr/>
              <w:spacing w:after="60" w:before="60"/>
              <w:ind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7831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Основные требования к оказываемым Услугам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7831" w:type="dxa"/>
            <w:vAlign w:val="center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техподдержке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Перед оказанием услуг по сопровождению программного комплекса Гранд-Смета Исполнитель обязуется произвести поставку лицензий и баз под операционную систему AlterOS, и следующее наполнение: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4257" w:type="dxa"/>
            <w:textDirection w:val="lrTb"/>
            <w:noWrap w:val="false"/>
          </w:tcPr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Ведомственные и отраслевые нормативы. Ремонт энергетического оборудолвания (ЦКБ Энергоремонт)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ГЭСН-2017, ФЕР-2017 (изм.1, изм. 1-2, изм,1-3, изм.1-4 изм 1-5)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ГЭСН-2020, ФЕР-2020 (изм.1, изм.1-2 изм,1-3, изм.1-4 изм.1-5, изм.1-6, изм.1-7, изм.1-8 изм. 1-9, изм 9)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ФСНБ-2022  (изм.1-3, изм 1-5, изм.1-6, изм. 1-7, изм.1-8, изм.1-</w:t>
            </w:r>
            <w:r>
              <w:rPr>
                <w:sz w:val="24"/>
                <w:szCs w:val="24"/>
                <w:lang w:val="ru-RU"/>
              </w:rPr>
              <w:t xml:space="preserve">9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10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11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12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13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14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15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16</w:t>
            </w:r>
            <w:r>
              <w:rPr>
                <w:sz w:val="24"/>
                <w:szCs w:val="24"/>
                <w:lang w:val="ru-RU"/>
              </w:rPr>
              <w:t xml:space="preserve">, изм.1-</w:t>
            </w:r>
            <w:r>
              <w:rPr>
                <w:sz w:val="24"/>
                <w:szCs w:val="24"/>
                <w:lang w:val="ru-RU"/>
              </w:rPr>
              <w:t xml:space="preserve">17)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Информационная справочная база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Проектные и изыскательские работы (для версии 7 и ниже)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Укрупненные  нормативы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Проектные и изыскательские работы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6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 </w:t>
            </w:r>
            <w:r>
              <w:rPr>
                <w:sz w:val="24"/>
                <w:szCs w:val="24"/>
                <w:lang w:val="ru-RU"/>
              </w:rPr>
              <w:t xml:space="preserve">Ведомственные и отраслевые нормативы ЕниР и ВНиР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обеспечить функцио</w:t>
            </w:r>
            <w:r>
              <w:rPr>
                <w:sz w:val="24"/>
                <w:szCs w:val="24"/>
                <w:lang w:val="ru-RU"/>
              </w:rPr>
              <w:t xml:space="preserve">нирование телефонной линии бесплатной информационно-технической и консультационной поддержки пользователей по вопросам эксплуатации Гранд-Смета, в режиме "горячая линия": в рабочие дни (с понедельника по пятницу) с 9.00 до 17.00 часов по времени г.Якутска.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 предоставляет Заказчику контактные телефоны "горячей линии" сервисной поддержки и адрес электронной почты сервисной поддержки и логин и пароль в случае, если имеется система сервис деска.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предоставляет Заказчику утвержденный Исполнителем список представителей Исполнителя, соответствующей квалификацией с выездом к Заказчику в адрес указанный в Таблице 1.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Для коммуникации используются телефон, электронная почта и прочие средства коммуникации.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Время реагирования специалиста на заявку не более 3 (трех) рабочих дней с момента обращения пользователя Заказчика.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Учет выполнения работ специалистом Исполнителя ведется по фактически отработанному специалистом количеству часов.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качеству оказываемых услуг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гарантирует качество и безопасность оказываемых услуг.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предоставляет гарантию не менее 6 (шести) месяцев с момента подписания Акта сдачи-приемки оказанных услуг на разработанные в ходе исполнения Договора обработки.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период гарантийного срока Исполнитель обязан устранить выявленные замечания по оказанным услугам без взимания дополнительной платы.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порядку сдачи-приемки оказанных услуг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представляет Заказчику Акт сдачи-приемки оказанной услуги один раз в месяц, но не раньше 25-го числа текущего месяца и не позднее 10-го числа месяца, следующего за отчетным месяцем.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Заказчик, не позднее 10 (десяти) дней, после получения от Исп</w:t>
            </w:r>
            <w:r>
              <w:rPr>
                <w:sz w:val="24"/>
                <w:szCs w:val="24"/>
                <w:lang w:val="ru-RU"/>
              </w:rPr>
              <w:t xml:space="preserve">олнителя Акта сдачи-приемки оказанных услуг рассматривает результаты и осуществляет приемку на предмет соответствия их объема, качества и направляет Исполнителю подписанный Заказчиком один экземпляр Акта сдачи-приемки. Либо, если есть замечания, запрос о п</w:t>
            </w:r>
            <w:r>
              <w:rPr>
                <w:sz w:val="24"/>
                <w:szCs w:val="24"/>
                <w:lang w:val="ru-RU"/>
              </w:rPr>
              <w:t xml:space="preserve">редоставлении разъяснений касательно результатов оказанных услуг, или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отказа Заказчика от принят</w:t>
            </w:r>
            <w:r>
              <w:rPr>
                <w:sz w:val="24"/>
                <w:szCs w:val="24"/>
                <w:lang w:val="ru-RU"/>
              </w:rPr>
              <w:t xml:space="preserve">ия результатов оказанных услуг, в связи с необходимостью устранения недостатков и/или доработки результатов услуг Исполнитель обязуется в срок, установленный в акте, составленном Заказчиком, устранить указанные недостатки/произвести доработки за свой счет.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Условия конфиденциальности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Вся информация (в том числе информация о персональных данных физических лиц) по Договору и информация, полученная в результате действия сторон по Договору, является конфиденциальной.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обязуется использовать персональные данные физических лиц только для целей исполнения настоящего Договора.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Стороны обязуются не распространять, не разглашать и не использовать полученную во время действия Договора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Безопасность персональных данных физических лиц достигается Исполнителем п</w:t>
            </w:r>
            <w:r>
              <w:rPr>
                <w:sz w:val="24"/>
                <w:szCs w:val="24"/>
                <w:lang w:val="ru-RU"/>
              </w:rPr>
              <w:t xml:space="preserve">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обязан обесп</w:t>
            </w:r>
            <w:r>
              <w:rPr>
                <w:sz w:val="24"/>
                <w:szCs w:val="24"/>
                <w:lang w:val="ru-RU"/>
              </w:rPr>
              <w:t xml:space="preserve">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квалификации представителей Исполнителя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быть авторизованным представителем разработчика программного комплекса Гранд-Смета.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27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831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 выполнению услуг допускаются только компетентные специалисты Исполнителя, имеющие соответствующий опыт.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7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84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729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729"/>
        <w:pageBreakBefore w:val="false"/>
        <w:pBdr/>
        <w:spacing w:after="120" w:before="0"/>
        <w:ind/>
        <w:jc w:val="right"/>
        <w:rPr>
          <w:rStyle w:val="771"/>
          <w:rFonts w:ascii="Arial" w:hAnsi="Arial"/>
          <w:bCs/>
          <w:caps/>
          <w:sz w:val="26"/>
          <w:szCs w:val="26"/>
        </w:rPr>
      </w:pPr>
      <w:r/>
      <w:r>
        <w:rPr>
          <w:rStyle w:val="771"/>
          <w:rFonts w:ascii="Arial" w:hAnsi="Arial"/>
          <w:bCs/>
          <w:caps/>
          <w:sz w:val="26"/>
          <w:szCs w:val="26"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1134" w:right="1134" w:bottom="113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Garamond">
    <w:panose1 w:val="02020603050405020304"/>
  </w:font>
  <w:font w:name="Tahoma">
    <w:panose1 w:val="020B06040305040402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Courier New">
    <w:panose1 w:val="02070309020205020404"/>
  </w:font>
  <w:font w:name="OpenSymbol">
    <w:panose1 w:val="05010000000000000000"/>
  </w:font>
  <w:font w:name="Cambria">
    <w:panose1 w:val="020408030504060302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01"/>
                            <w:pBdr/>
                            <w:spacing/>
                            <w:ind/>
                            <w:rPr>
                              <w:rStyle w:val="742"/>
                            </w:rPr>
                          </w:pPr>
                          <w:r>
                            <w:rPr>
                              <w:rStyle w:val="74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4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4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4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4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4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01"/>
                      <w:pBdr/>
                      <w:spacing/>
                      <w:ind/>
                      <w:rPr>
                        <w:rStyle w:val="742"/>
                      </w:rPr>
                    </w:pPr>
                    <w:r>
                      <w:rPr>
                        <w:rStyle w:val="742"/>
                        <w:color w:val="000000"/>
                      </w:rPr>
                      <w:fldChar w:fldCharType="begin"/>
                    </w:r>
                    <w:r>
                      <w:rPr>
                        <w:rStyle w:val="74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42"/>
                        <w:color w:val="000000"/>
                      </w:rPr>
                      <w:fldChar w:fldCharType="separate"/>
                    </w:r>
                    <w:r>
                      <w:rPr>
                        <w:rStyle w:val="742"/>
                        <w:color w:val="000000"/>
                      </w:rPr>
                      <w:t xml:space="preserve">0</w:t>
                    </w:r>
                    <w:r>
                      <w:rPr>
                        <w:rStyle w:val="742"/>
                        <w:color w:val="000000"/>
                      </w:rPr>
                      <w:fldChar w:fldCharType="end"/>
                    </w:r>
                    <w:r>
                      <w:rPr>
                        <w:rStyle w:val="742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93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94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35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36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34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45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46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49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47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48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5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9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29"/>
    <w:next w:val="7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3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9"/>
    <w:link w:val="8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9"/>
    <w:link w:val="82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9"/>
    <w:link w:val="82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39"/>
    <w:link w:val="801"/>
    <w:uiPriority w:val="99"/>
    <w:pPr>
      <w:pBdr/>
      <w:spacing/>
      <w:ind/>
    </w:pPr>
  </w:style>
  <w:style w:type="character" w:styleId="178">
    <w:name w:val="Footer Char"/>
    <w:basedOn w:val="739"/>
    <w:link w:val="803"/>
    <w:uiPriority w:val="99"/>
    <w:pPr>
      <w:pBdr/>
      <w:spacing/>
      <w:ind/>
    </w:pPr>
  </w:style>
  <w:style w:type="character" w:styleId="181">
    <w:name w:val="Footnote Text Char"/>
    <w:basedOn w:val="739"/>
    <w:link w:val="79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9"/>
    <w:link w:val="851"/>
    <w:uiPriority w:val="99"/>
    <w:semiHidden/>
    <w:pPr>
      <w:pBdr/>
      <w:spacing/>
      <w:ind/>
    </w:pPr>
    <w:rPr>
      <w:sz w:val="20"/>
      <w:szCs w:val="20"/>
    </w:rPr>
  </w:style>
  <w:style w:type="paragraph" w:styleId="198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paragraph" w:styleId="729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30">
    <w:name w:val="Heading 1"/>
    <w:basedOn w:val="732"/>
    <w:next w:val="729"/>
    <w:link w:val="749"/>
    <w:qFormat/>
    <w:pPr>
      <w:pBdr/>
      <w:spacing/>
      <w:ind/>
      <w:outlineLvl w:val="0"/>
    </w:pPr>
    <w:rPr>
      <w:sz w:val="28"/>
      <w:szCs w:val="28"/>
    </w:rPr>
  </w:style>
  <w:style w:type="paragraph" w:styleId="731">
    <w:name w:val="Heading 2"/>
    <w:basedOn w:val="733"/>
    <w:next w:val="729"/>
    <w:link w:val="750"/>
    <w:qFormat/>
    <w:pPr>
      <w:pBdr/>
      <w:spacing/>
      <w:ind/>
      <w:outlineLvl w:val="1"/>
    </w:pPr>
  </w:style>
  <w:style w:type="paragraph" w:styleId="732">
    <w:name w:val="Heading 3"/>
    <w:basedOn w:val="729"/>
    <w:next w:val="729"/>
    <w:link w:val="751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733">
    <w:name w:val="Heading 4"/>
    <w:basedOn w:val="732"/>
    <w:next w:val="729"/>
    <w:link w:val="752"/>
    <w:qFormat/>
    <w:pPr>
      <w:pBdr/>
      <w:spacing/>
      <w:ind/>
      <w:outlineLvl w:val="3"/>
    </w:pPr>
    <w:rPr>
      <w:bCs/>
    </w:rPr>
  </w:style>
  <w:style w:type="paragraph" w:styleId="734">
    <w:name w:val="Heading 5"/>
    <w:basedOn w:val="729"/>
    <w:next w:val="729"/>
    <w:link w:val="753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35">
    <w:name w:val="Heading 6"/>
    <w:basedOn w:val="729"/>
    <w:next w:val="729"/>
    <w:link w:val="746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36">
    <w:name w:val="Heading 7"/>
    <w:basedOn w:val="729"/>
    <w:next w:val="729"/>
    <w:link w:val="747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37">
    <w:name w:val="Heading 8"/>
    <w:basedOn w:val="729"/>
    <w:next w:val="729"/>
    <w:link w:val="748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38">
    <w:name w:val="Heading 9"/>
    <w:basedOn w:val="729"/>
    <w:next w:val="729"/>
    <w:link w:val="754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3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40" w:customStyle="1">
    <w:name w:val="footnote reference"/>
    <w:pPr>
      <w:pBdr/>
      <w:spacing/>
      <w:ind/>
    </w:pPr>
    <w:rPr>
      <w:vertAlign w:val="superscript"/>
    </w:rPr>
  </w:style>
  <w:style w:type="character" w:styleId="741" w:customStyle="1">
    <w:name w:val="Footnote Characters"/>
    <w:qFormat/>
    <w:pPr>
      <w:pBdr/>
      <w:spacing/>
      <w:ind/>
    </w:pPr>
    <w:rPr>
      <w:vertAlign w:val="superscript"/>
    </w:rPr>
  </w:style>
  <w:style w:type="character" w:styleId="742">
    <w:name w:val="page number"/>
    <w:basedOn w:val="739"/>
    <w:qFormat/>
    <w:pPr>
      <w:pBdr/>
      <w:spacing/>
      <w:ind/>
    </w:pPr>
  </w:style>
  <w:style w:type="character" w:styleId="743">
    <w:name w:val="Hyperlink"/>
    <w:basedOn w:val="7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4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745">
    <w:name w:val="Strong"/>
    <w:uiPriority w:val="22"/>
    <w:qFormat/>
    <w:pPr>
      <w:pBdr/>
      <w:spacing/>
      <w:ind/>
    </w:pPr>
    <w:rPr>
      <w:b/>
      <w:bCs/>
    </w:rPr>
  </w:style>
  <w:style w:type="character" w:styleId="746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47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48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749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50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51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52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53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54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55" w:customStyle="1">
    <w:name w:val="Название Знак"/>
    <w:link w:val="799"/>
    <w:uiPriority w:val="10"/>
    <w:qFormat/>
    <w:pPr>
      <w:pBdr/>
      <w:spacing/>
      <w:ind/>
    </w:pPr>
    <w:rPr>
      <w:sz w:val="28"/>
    </w:rPr>
  </w:style>
  <w:style w:type="character" w:styleId="756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57">
    <w:name w:val="Emphasis"/>
    <w:uiPriority w:val="20"/>
    <w:qFormat/>
    <w:pPr>
      <w:pBdr/>
      <w:spacing/>
      <w:ind/>
    </w:pPr>
    <w:rPr>
      <w:i/>
      <w:iCs/>
    </w:rPr>
  </w:style>
  <w:style w:type="character" w:styleId="758" w:customStyle="1">
    <w:name w:val="Цитата 2 Знак"/>
    <w:link w:val="828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59" w:customStyle="1">
    <w:name w:val="Выделенная цитата Знак"/>
    <w:link w:val="829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60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761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762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763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64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765" w:customStyle="1">
    <w:name w:val="Электронная подпись Знак"/>
    <w:link w:val="832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766" w:customStyle="1">
    <w:name w:val="Подпункт Знак1"/>
    <w:link w:val="809"/>
    <w:qFormat/>
    <w:pPr>
      <w:pBdr/>
      <w:spacing/>
      <w:ind/>
    </w:pPr>
    <w:rPr>
      <w:sz w:val="28"/>
    </w:rPr>
  </w:style>
  <w:style w:type="character" w:styleId="767" w:customStyle="1">
    <w:name w:val="Текст сноски Знак"/>
    <w:qFormat/>
    <w:pPr>
      <w:pBdr/>
      <w:spacing/>
      <w:ind/>
    </w:pPr>
  </w:style>
  <w:style w:type="character" w:styleId="768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69" w:customStyle="1">
    <w:name w:val="blk"/>
    <w:qFormat/>
    <w:pPr>
      <w:pBdr/>
      <w:spacing/>
      <w:ind/>
    </w:pPr>
  </w:style>
  <w:style w:type="character" w:styleId="770" w:customStyle="1">
    <w:name w:val="Абзац списка Знак"/>
    <w:link w:val="827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771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72" w:customStyle="1">
    <w:name w:val="Подподпункт Знак"/>
    <w:link w:val="844"/>
    <w:qFormat/>
    <w:pPr>
      <w:pBdr/>
      <w:spacing/>
      <w:ind/>
    </w:pPr>
    <w:rPr>
      <w:sz w:val="26"/>
      <w:szCs w:val="26"/>
    </w:rPr>
  </w:style>
  <w:style w:type="character" w:styleId="773" w:customStyle="1">
    <w:name w:val="УРОВЕНЬ_Абзац_тип3 Знак"/>
    <w:link w:val="848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74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775" w:customStyle="1">
    <w:name w:val="Текст примечания Знак"/>
    <w:link w:val="817"/>
    <w:semiHidden/>
    <w:qFormat/>
    <w:pPr>
      <w:pBdr/>
      <w:spacing/>
      <w:ind/>
    </w:pPr>
  </w:style>
  <w:style w:type="character" w:styleId="776" w:customStyle="1">
    <w:name w:val="Текст концевой сноски Знак"/>
    <w:basedOn w:val="739"/>
    <w:qFormat/>
    <w:pPr>
      <w:pBdr/>
      <w:spacing/>
      <w:ind/>
    </w:pPr>
  </w:style>
  <w:style w:type="character" w:styleId="777" w:customStyle="1">
    <w:name w:val="endnote reference"/>
    <w:pPr>
      <w:pBdr/>
      <w:spacing/>
      <w:ind/>
    </w:pPr>
    <w:rPr>
      <w:vertAlign w:val="superscript"/>
    </w:rPr>
  </w:style>
  <w:style w:type="character" w:styleId="778" w:customStyle="1">
    <w:name w:val="Endnote Characters"/>
    <w:basedOn w:val="739"/>
    <w:qFormat/>
    <w:pPr>
      <w:pBdr/>
      <w:spacing/>
      <w:ind/>
    </w:pPr>
    <w:rPr>
      <w:vertAlign w:val="superscript"/>
    </w:rPr>
  </w:style>
  <w:style w:type="character" w:styleId="779" w:customStyle="1">
    <w:name w:val="Пункт2 Знак"/>
    <w:link w:val="810"/>
    <w:qFormat/>
    <w:pPr>
      <w:pBdr/>
      <w:spacing/>
      <w:ind/>
    </w:pPr>
    <w:rPr>
      <w:b/>
      <w:sz w:val="28"/>
    </w:rPr>
  </w:style>
  <w:style w:type="character" w:styleId="780" w:customStyle="1">
    <w:name w:val="УРОВЕНЬ_1. Знак"/>
    <w:link w:val="855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81" w:customStyle="1">
    <w:name w:val="Ссылка указателя"/>
    <w:qFormat/>
    <w:pPr>
      <w:pBdr/>
      <w:spacing/>
      <w:ind/>
    </w:pPr>
  </w:style>
  <w:style w:type="character" w:styleId="782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783" w:customStyle="1">
    <w:name w:val="FollowedHyperlink"/>
    <w:pPr>
      <w:pBdr/>
      <w:spacing/>
      <w:ind/>
    </w:pPr>
    <w:rPr>
      <w:rFonts w:cs="Times New Roman"/>
      <w:color w:val="800080"/>
      <w:u w:val="single"/>
    </w:rPr>
  </w:style>
  <w:style w:type="paragraph" w:styleId="784">
    <w:name w:val="Заголовок"/>
    <w:basedOn w:val="729"/>
    <w:next w:val="785"/>
    <w:qFormat/>
    <w:pPr>
      <w:keepNext w:val="true"/>
      <w:pBdr/>
      <w:spacing w:after="120" w:before="240"/>
      <w:ind/>
    </w:pPr>
    <w:rPr>
      <w:rFonts w:ascii="Liberation Sans" w:hAnsi="Liberation Sans" w:eastAsia="Microsoft YaHei" w:cs="Arial Unicode MS"/>
      <w:sz w:val="28"/>
      <w:szCs w:val="28"/>
    </w:rPr>
  </w:style>
  <w:style w:type="paragraph" w:styleId="785">
    <w:name w:val="Body Text"/>
    <w:basedOn w:val="729"/>
    <w:link w:val="768"/>
    <w:pPr>
      <w:pBdr/>
      <w:spacing w:after="120" w:before="0"/>
      <w:ind/>
    </w:pPr>
  </w:style>
  <w:style w:type="paragraph" w:styleId="786">
    <w:name w:val="List"/>
    <w:basedOn w:val="785"/>
    <w:pPr>
      <w:pBdr/>
      <w:spacing/>
      <w:ind/>
    </w:pPr>
    <w:rPr>
      <w:rFonts w:cs="Arial Unicode MS"/>
    </w:rPr>
  </w:style>
  <w:style w:type="paragraph" w:styleId="787">
    <w:name w:val="Caption"/>
    <w:basedOn w:val="729"/>
    <w:qFormat/>
    <w:pPr>
      <w:suppressLineNumbers w:val="true"/>
      <w:pBdr/>
      <w:spacing w:after="120" w:before="120"/>
      <w:ind/>
    </w:pPr>
    <w:rPr>
      <w:rFonts w:cs="Arial Unicode MS"/>
      <w:i/>
      <w:iCs/>
      <w:sz w:val="24"/>
      <w:szCs w:val="24"/>
    </w:rPr>
  </w:style>
  <w:style w:type="paragraph" w:styleId="788">
    <w:name w:val="Указатель"/>
    <w:basedOn w:val="729"/>
    <w:qFormat/>
    <w:pPr>
      <w:suppressLineNumbers w:val="true"/>
      <w:pBdr/>
      <w:spacing/>
      <w:ind/>
    </w:pPr>
    <w:rPr>
      <w:rFonts w:cs="Arial Unicode MS"/>
    </w:rPr>
  </w:style>
  <w:style w:type="paragraph" w:styleId="789" w:customStyle="1">
    <w:name w:val="Заголовок1"/>
    <w:basedOn w:val="729"/>
    <w:next w:val="785"/>
    <w:qFormat/>
    <w:pPr>
      <w:keepNext w:val="true"/>
      <w:pBdr/>
      <w:spacing w:after="120" w:before="240"/>
      <w:ind/>
    </w:pPr>
    <w:rPr>
      <w:rFonts w:ascii="Liberation Sans" w:hAnsi="Liberation Sans" w:eastAsia="Microsoft YaHei" w:cs="Arial Unicode MS"/>
    </w:rPr>
  </w:style>
  <w:style w:type="paragraph" w:styleId="790">
    <w:name w:val="caption1"/>
    <w:basedOn w:val="729"/>
    <w:next w:val="729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91">
    <w:name w:val="index heading1"/>
    <w:basedOn w:val="789"/>
    <w:qFormat/>
    <w:pPr>
      <w:pBdr/>
      <w:spacing/>
      <w:ind/>
    </w:pPr>
  </w:style>
  <w:style w:type="paragraph" w:styleId="792" w:customStyle="1">
    <w:name w:val="Название раздела инструкции"/>
    <w:basedOn w:val="729"/>
    <w:qFormat/>
    <w:pPr>
      <w:pBdr/>
      <w:spacing/>
      <w:ind/>
      <w:jc w:val="center"/>
    </w:pPr>
    <w:rPr>
      <w:b/>
    </w:rPr>
  </w:style>
  <w:style w:type="paragraph" w:styleId="793" w:customStyle="1">
    <w:name w:val="Раздел положения"/>
    <w:basedOn w:val="729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94" w:customStyle="1">
    <w:name w:val="Подраздел раздела положения"/>
    <w:basedOn w:val="729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795">
    <w:name w:val="footnote text"/>
    <w:basedOn w:val="729"/>
    <w:link w:val="767"/>
    <w:pPr>
      <w:pBdr/>
      <w:spacing/>
      <w:ind/>
    </w:pPr>
    <w:rPr>
      <w:sz w:val="20"/>
      <w:szCs w:val="20"/>
    </w:rPr>
  </w:style>
  <w:style w:type="paragraph" w:styleId="796" w:customStyle="1">
    <w:name w:val="Шапка 1"/>
    <w:basedOn w:val="729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97" w:customStyle="1">
    <w:name w:val="Шапка 2"/>
    <w:basedOn w:val="729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98" w:customStyle="1">
    <w:name w:val="Шапка 3"/>
    <w:basedOn w:val="729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99" w:customStyle="1">
    <w:name w:val="Название1"/>
    <w:basedOn w:val="729"/>
    <w:link w:val="755"/>
    <w:uiPriority w:val="10"/>
    <w:qFormat/>
    <w:pPr>
      <w:pBdr/>
      <w:spacing/>
      <w:ind/>
      <w:jc w:val="center"/>
    </w:pPr>
    <w:rPr>
      <w:szCs w:val="20"/>
    </w:rPr>
  </w:style>
  <w:style w:type="paragraph" w:styleId="800" w:customStyle="1">
    <w:name w:val="Колонтитул"/>
    <w:basedOn w:val="729"/>
    <w:qFormat/>
    <w:pPr>
      <w:pBdr/>
      <w:spacing/>
      <w:ind/>
    </w:pPr>
  </w:style>
  <w:style w:type="paragraph" w:styleId="801">
    <w:name w:val="Header"/>
    <w:basedOn w:val="729"/>
    <w:link w:val="774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02">
    <w:name w:val="Body Text Indent"/>
    <w:basedOn w:val="729"/>
    <w:pPr>
      <w:pBdr/>
      <w:spacing/>
      <w:ind w:firstLine="0" w:left="360"/>
    </w:pPr>
    <w:rPr>
      <w:sz w:val="24"/>
      <w:szCs w:val="24"/>
    </w:rPr>
  </w:style>
  <w:style w:type="paragraph" w:styleId="803">
    <w:name w:val="Footer"/>
    <w:basedOn w:val="72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04">
    <w:name w:val="Body Text Indent 2"/>
    <w:basedOn w:val="729"/>
    <w:qFormat/>
    <w:pPr>
      <w:pBdr/>
      <w:spacing w:after="120" w:before="0" w:line="480" w:lineRule="auto"/>
      <w:ind w:firstLine="0" w:left="283"/>
    </w:pPr>
  </w:style>
  <w:style w:type="paragraph" w:styleId="805">
    <w:name w:val="Body Text 3"/>
    <w:basedOn w:val="729"/>
    <w:qFormat/>
    <w:pPr>
      <w:pBdr/>
      <w:spacing w:after="120" w:before="0"/>
      <w:ind/>
    </w:pPr>
    <w:rPr>
      <w:sz w:val="16"/>
      <w:szCs w:val="16"/>
    </w:rPr>
  </w:style>
  <w:style w:type="paragraph" w:styleId="806">
    <w:name w:val="Body Text Indent 3"/>
    <w:basedOn w:val="729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07">
    <w:name w:val="Body Text 2"/>
    <w:basedOn w:val="729"/>
    <w:qFormat/>
    <w:pPr>
      <w:pBdr/>
      <w:spacing w:after="120" w:before="0" w:line="480" w:lineRule="auto"/>
      <w:ind/>
    </w:pPr>
  </w:style>
  <w:style w:type="paragraph" w:styleId="808">
    <w:name w:val="Block Text"/>
    <w:basedOn w:val="729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09" w:customStyle="1">
    <w:name w:val="Подпункт"/>
    <w:basedOn w:val="729"/>
    <w:link w:val="766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10" w:customStyle="1">
    <w:name w:val="Пункт2"/>
    <w:basedOn w:val="729"/>
    <w:link w:val="779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11">
    <w:name w:val="TOC 1"/>
    <w:basedOn w:val="729"/>
    <w:next w:val="729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12">
    <w:name w:val="TOC 3"/>
    <w:basedOn w:val="729"/>
    <w:next w:val="729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813" w:customStyle="1">
    <w:name w:val="Раздел регламента"/>
    <w:basedOn w:val="729"/>
    <w:qFormat/>
    <w:pPr>
      <w:pBdr/>
      <w:spacing/>
      <w:ind/>
    </w:pPr>
  </w:style>
  <w:style w:type="paragraph" w:styleId="814" w:customStyle="1">
    <w:name w:val="Приложение к регламенту"/>
    <w:basedOn w:val="729"/>
    <w:qFormat/>
    <w:pPr>
      <w:pBdr/>
      <w:spacing/>
      <w:ind/>
      <w:jc w:val="right"/>
    </w:pPr>
  </w:style>
  <w:style w:type="paragraph" w:styleId="815">
    <w:name w:val="TOC 2"/>
    <w:basedOn w:val="729"/>
    <w:next w:val="729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816">
    <w:name w:val="Balloon Text"/>
    <w:basedOn w:val="72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17">
    <w:name w:val="annotation text"/>
    <w:basedOn w:val="729"/>
    <w:link w:val="775"/>
    <w:semiHidden/>
    <w:qFormat/>
    <w:pPr>
      <w:pBdr/>
      <w:spacing/>
      <w:ind/>
    </w:pPr>
    <w:rPr>
      <w:sz w:val="20"/>
      <w:szCs w:val="20"/>
    </w:rPr>
  </w:style>
  <w:style w:type="paragraph" w:styleId="818">
    <w:name w:val="annotation subject"/>
    <w:basedOn w:val="817"/>
    <w:next w:val="817"/>
    <w:semiHidden/>
    <w:qFormat/>
    <w:pPr>
      <w:pBdr/>
      <w:spacing/>
      <w:ind/>
    </w:pPr>
    <w:rPr>
      <w:b/>
      <w:bCs/>
    </w:rPr>
  </w:style>
  <w:style w:type="paragraph" w:styleId="819" w:customStyle="1">
    <w:name w:val="Обычный (веб)1"/>
    <w:basedOn w:val="729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20">
    <w:name w:val="TOC 9"/>
    <w:basedOn w:val="729"/>
    <w:next w:val="729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21">
    <w:name w:val="TOC 5"/>
    <w:basedOn w:val="729"/>
    <w:next w:val="729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22">
    <w:name w:val="TOC 4"/>
    <w:basedOn w:val="729"/>
    <w:next w:val="729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823" w:customStyle="1">
    <w:name w:val="Раздел положения 2"/>
    <w:basedOn w:val="729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24" w:customStyle="1">
    <w:name w:val="Знак Знак Знак Знак Знак Знак Знак Знак Знак"/>
    <w:basedOn w:val="72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25">
    <w:name w:val="No Spacing"/>
    <w:basedOn w:val="729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26">
    <w:name w:val="Subtitle"/>
    <w:basedOn w:val="729"/>
    <w:next w:val="729"/>
    <w:link w:val="756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27">
    <w:name w:val="List Paragraph"/>
    <w:basedOn w:val="729"/>
    <w:link w:val="770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28">
    <w:name w:val="Quote"/>
    <w:basedOn w:val="729"/>
    <w:next w:val="729"/>
    <w:link w:val="758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29">
    <w:name w:val="Intense Quote"/>
    <w:basedOn w:val="729"/>
    <w:next w:val="729"/>
    <w:link w:val="759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30">
    <w:name w:val="Index Heading"/>
    <w:basedOn w:val="784"/>
    <w:pPr>
      <w:pBdr/>
      <w:spacing/>
      <w:ind/>
    </w:pPr>
  </w:style>
  <w:style w:type="paragraph" w:styleId="831">
    <w:name w:val="TOC Heading"/>
    <w:basedOn w:val="730"/>
    <w:next w:val="729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32">
    <w:name w:val="E-mail Signature"/>
    <w:basedOn w:val="729"/>
    <w:link w:val="765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833" w:customStyle="1">
    <w:name w:val="Знак"/>
    <w:basedOn w:val="729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34" w:customStyle="1">
    <w:name w:val="Нумерованный список ур3"/>
    <w:basedOn w:val="729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35" w:customStyle="1">
    <w:name w:val="Список 31"/>
    <w:basedOn w:val="729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36" w:customStyle="1">
    <w:name w:val="Нумерованный список ур2"/>
    <w:basedOn w:val="729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37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38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39" w:customStyle="1">
    <w:name w:val="Знак Знак3 Знак Знак"/>
    <w:basedOn w:val="72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40" w:customStyle="1">
    <w:name w:val="Пункт"/>
    <w:basedOn w:val="729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41" w:customStyle="1">
    <w:name w:val="Абзац списка1"/>
    <w:basedOn w:val="729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42" w:customStyle="1">
    <w:name w:val="Таблица"/>
    <w:basedOn w:val="729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43" w:customStyle="1">
    <w:name w:val="Таблица шапка"/>
    <w:basedOn w:val="729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44" w:customStyle="1">
    <w:name w:val="Подподпункт"/>
    <w:basedOn w:val="809"/>
    <w:link w:val="772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45" w:customStyle="1">
    <w:name w:val="УРОВЕНЬ_(а)"/>
    <w:basedOn w:val="827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46" w:customStyle="1">
    <w:name w:val="УРОВЕНЬ_-"/>
    <w:basedOn w:val="827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47" w:customStyle="1">
    <w:name w:val="УРОВЕНЬ_Абзац_тип2"/>
    <w:basedOn w:val="827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48" w:customStyle="1">
    <w:name w:val="УРОВЕНЬ_Абзац_тип3"/>
    <w:basedOn w:val="827"/>
    <w:link w:val="773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49" w:customStyle="1">
    <w:name w:val="УРОВЕНЬ_Подпись"/>
    <w:basedOn w:val="827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50" w:customStyle="1">
    <w:name w:val="Стиль Заголовок 1 + по ширине"/>
    <w:basedOn w:val="730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51">
    <w:name w:val="endnote text"/>
    <w:basedOn w:val="729"/>
    <w:link w:val="776"/>
    <w:pPr>
      <w:pBdr/>
      <w:spacing/>
      <w:ind/>
    </w:pPr>
    <w:rPr>
      <w:sz w:val="20"/>
      <w:szCs w:val="20"/>
    </w:rPr>
  </w:style>
  <w:style w:type="paragraph" w:styleId="852" w:customStyle="1">
    <w:name w:val="Заголовок 2 КВВ"/>
    <w:basedOn w:val="729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53" w:customStyle="1">
    <w:name w:val="Таблица текст"/>
    <w:basedOn w:val="729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54">
    <w:name w:val="Normal (Web)"/>
    <w:basedOn w:val="729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855" w:customStyle="1">
    <w:name w:val="УРОВЕНЬ_1."/>
    <w:basedOn w:val="827"/>
    <w:link w:val="780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56">
    <w:name w:val="TOC 6"/>
    <w:basedOn w:val="729"/>
    <w:next w:val="729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57">
    <w:name w:val="TOC 7"/>
    <w:basedOn w:val="729"/>
    <w:next w:val="729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58">
    <w:name w:val="TOC 8"/>
    <w:basedOn w:val="729"/>
    <w:next w:val="729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59" w:customStyle="1">
    <w:name w:val="Содержимое врезки"/>
    <w:basedOn w:val="729"/>
    <w:qFormat/>
    <w:pPr>
      <w:pBdr/>
      <w:spacing/>
      <w:ind/>
    </w:pPr>
  </w:style>
  <w:style w:type="paragraph" w:styleId="860" w:customStyle="1">
    <w:name w:val="Standard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61" w:customStyle="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 w:eastAsiaTheme="minorHAnsi"/>
      <w:color w:val="000000"/>
      <w:sz w:val="24"/>
      <w:szCs w:val="24"/>
      <w:lang w:val="ru-RU" w:eastAsia="en-US" w:bidi="ar-SA"/>
    </w:rPr>
  </w:style>
  <w:style w:type="paragraph" w:styleId="862" w:customStyle="1">
    <w:name w:val="Основной текст5"/>
    <w:basedOn w:val="729"/>
    <w:qFormat/>
    <w:pPr>
      <w:pBdr/>
      <w:shd w:val="clear" w:color="auto" w:fill="ffffff"/>
      <w:spacing w:after="0" w:before="180" w:line="274" w:lineRule="exact"/>
      <w:ind w:hanging="440"/>
      <w:jc w:val="both"/>
    </w:pPr>
    <w:rPr>
      <w:sz w:val="23"/>
      <w:szCs w:val="23"/>
      <w:lang w:eastAsia="en-US"/>
    </w:rPr>
  </w:style>
  <w:style w:type="paragraph" w:styleId="863">
    <w:name w:val="Содержимое таблицы"/>
    <w:basedOn w:val="729"/>
    <w:qFormat/>
    <w:pPr>
      <w:widowControl w:val="false"/>
      <w:suppressLineNumbers w:val="true"/>
      <w:pBdr/>
      <w:spacing/>
      <w:ind/>
    </w:pPr>
  </w:style>
  <w:style w:type="paragraph" w:styleId="864">
    <w:name w:val="Заголовок таблицы"/>
    <w:basedOn w:val="863"/>
    <w:qFormat/>
    <w:pPr>
      <w:suppressLineNumbers w:val="true"/>
      <w:pBdr/>
      <w:spacing/>
      <w:ind/>
      <w:jc w:val="center"/>
    </w:pPr>
    <w:rPr>
      <w:b/>
      <w:bCs/>
    </w:rPr>
  </w:style>
  <w:style w:type="numbering" w:styleId="865" w:default="1">
    <w:name w:val="No List"/>
    <w:uiPriority w:val="99"/>
    <w:semiHidden/>
    <w:unhideWhenUsed/>
    <w:qFormat/>
    <w:pPr>
      <w:pBdr/>
      <w:spacing/>
      <w:ind/>
    </w:pPr>
  </w:style>
  <w:style w:type="numbering" w:styleId="866" w:customStyle="1">
    <w:name w:val="Стиль1"/>
    <w:uiPriority w:val="99"/>
    <w:qFormat/>
    <w:pPr>
      <w:pBdr/>
      <w:spacing/>
      <w:ind/>
    </w:pPr>
  </w:style>
  <w:style w:type="numbering" w:styleId="867" w:customStyle="1">
    <w:name w:val="Стиль2"/>
    <w:uiPriority w:val="99"/>
    <w:qFormat/>
    <w:pPr>
      <w:pBdr/>
      <w:spacing/>
      <w:ind/>
    </w:pPr>
  </w:style>
  <w:style w:type="table" w:styleId="868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Table Grid"/>
    <w:basedOn w:val="86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Сетка таблицы1"/>
    <w:basedOn w:val="868"/>
    <w:uiPriority w:val="39"/>
    <w:pPr>
      <w:pBdr/>
      <w:spacing/>
      <w:ind/>
    </w:pPr>
    <w:rPr>
      <w:rFonts w:asciiTheme="minorHAnsi" w:hAnsiTheme="minorHAnsi" w:eastAsiaTheme="minorHAnsi" w:cstheme="minorBidi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41C0-76FB-4A1A-B9F9-DC13C8A4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28</cp:revision>
  <dcterms:created xsi:type="dcterms:W3CDTF">2023-02-28T05:13:00Z</dcterms:created>
  <dcterms:modified xsi:type="dcterms:W3CDTF">2026-08-24T06:57:26Z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