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widowControl w:val="false"/>
        <w:tabs>
          <w:tab w:val="clear" w:pos="720"/>
          <w:tab w:val="left" w:pos="993" w:leader="none"/>
        </w:tabs>
        <w:spacing w:before="120" w:after="120"/>
        <w:ind w:left="5839" w:hanging="0"/>
        <w:rPr>
          <w:rFonts w:eastAsia="Calibri"/>
          <w:b/>
          <w:sz w:val="24"/>
          <w:szCs w:val="24"/>
          <w:lang w:eastAsia="x-none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20"/>
          <w:tab w:val="left" w:pos="993" w:leader="none"/>
        </w:tabs>
        <w:spacing w:before="120" w:after="120"/>
        <w:ind w:left="5839" w:hanging="0"/>
        <w:rPr>
          <w:rFonts w:eastAsia="Calibri"/>
          <w:b/>
          <w:sz w:val="24"/>
          <w:szCs w:val="24"/>
          <w:lang w:eastAsia="x-none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center"/>
        <w:rPr>
          <w:b/>
          <w:bCs/>
        </w:rPr>
      </w:pPr>
      <w:r>
        <w:rPr>
          <w:rFonts w:eastAsia="Calibri"/>
          <w:b/>
          <w:bCs/>
          <w:sz w:val="24"/>
          <w:szCs w:val="24"/>
        </w:rPr>
        <w:t>ОКПД2 27.20.23.190 Поставка аккумуляторных батарей для оборудования службы связи, информационных и технологических систем филиала ПАО «РусГидро» - «Жигулевская ГЭС»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center"/>
        <w:rPr>
          <w:rFonts w:ascii="Times New Roman" w:hAnsi="Times New Roman" w:eastAsia="Calibri"/>
          <w:bCs/>
          <w:iCs w:val="false"/>
        </w:rPr>
      </w:pPr>
      <w:r>
        <w:rPr>
          <w:rFonts w:eastAsia="Calibri"/>
          <w:bCs/>
          <w:iCs w:val="fals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center"/>
        <w:rPr>
          <w:sz w:val="24"/>
          <w:szCs w:val="24"/>
        </w:rPr>
      </w:pPr>
      <w:r>
        <w:rPr/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center"/>
        <w:rPr>
          <w:b/>
          <w:i w:val="false"/>
          <w:i w:val="false"/>
          <w:sz w:val="24"/>
          <w:szCs w:val="24"/>
        </w:rPr>
      </w:pPr>
      <w:r>
        <w:rPr>
          <w:b/>
          <w:i w:val="false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center"/>
        <w:rPr>
          <w:b/>
          <w:i w:val="false"/>
          <w:i w:val="false"/>
          <w:sz w:val="24"/>
          <w:szCs w:val="24"/>
        </w:rPr>
      </w:pPr>
      <w:r>
        <w:rPr>
          <w:b/>
          <w:i w:val="false"/>
          <w:sz w:val="24"/>
          <w:szCs w:val="24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4"/>
              <w:sz w:val="24"/>
              <w:szCs w:val="24"/>
            </w:rPr>
            <w:instrText xml:space="preserve"> TOC \o "1-4" \h</w:instrText>
          </w:r>
          <w:r>
            <w:rPr>
              <w:rStyle w:val="Style14"/>
              <w:sz w:val="24"/>
              <w:szCs w:val="24"/>
            </w:rPr>
            <w:fldChar w:fldCharType="separate"/>
          </w:r>
          <w:hyperlink w:anchor="__RefHeading___Toc13683_1054193455">
            <w:r>
              <w:rPr>
                <w:rStyle w:val="Style14"/>
                <w:sz w:val="24"/>
                <w:szCs w:val="24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13685_1054193455">
            <w:r>
              <w:rPr>
                <w:rStyle w:val="Style14"/>
                <w:sz w:val="24"/>
                <w:szCs w:val="24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13687_1054193455">
            <w:r>
              <w:rPr>
                <w:rStyle w:val="Style14"/>
                <w:sz w:val="24"/>
                <w:szCs w:val="24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13689_1054193455">
            <w:r>
              <w:rPr>
                <w:rStyle w:val="Style14"/>
                <w:sz w:val="24"/>
                <w:szCs w:val="24"/>
              </w:rPr>
              <w:t>1.3. Цель использования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13691_1054193455">
            <w:r>
              <w:rPr>
                <w:rStyle w:val="Style14"/>
                <w:sz w:val="24"/>
                <w:szCs w:val="24"/>
              </w:rPr>
              <w:t>1.4. Существующее положение</w:t>
              <w:tab/>
              <w:t>4</w:t>
            </w:r>
          </w:hyperlink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13693_1054193455">
            <w:r>
              <w:rPr>
                <w:rStyle w:val="Style14"/>
                <w:sz w:val="24"/>
                <w:szCs w:val="24"/>
              </w:rPr>
              <w:t>1.5.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        <w:tab/>
              <w:t>4</w:t>
            </w:r>
          </w:hyperlink>
        </w:p>
        <w:p>
          <w:pPr>
            <w:pStyle w:val="TOC3"/>
            <w:tabs>
              <w:tab w:val="clear" w:pos="720"/>
              <w:tab w:val="right" w:pos="9921" w:leader="dot"/>
            </w:tabs>
            <w:rPr/>
          </w:pPr>
          <w:hyperlink w:anchor="__RefHeading___Toc1760_2097421158">
            <w:r>
              <w:rPr>
                <w:rStyle w:val="Style14"/>
                <w:sz w:val="24"/>
                <w:szCs w:val="24"/>
              </w:rPr>
              <w:t xml:space="preserve"> </w:t>
            </w:r>
          </w:hyperlink>
          <w:r>
            <w:rPr>
              <w:sz w:val="24"/>
              <w:szCs w:val="24"/>
            </w:rPr>
            <w:t xml:space="preserve">    </w:t>
          </w:r>
          <w:hyperlink w:anchor="__RefHeading___Toc13695_1054193455">
            <w:r>
              <w:rPr>
                <w:rStyle w:val="Style14"/>
                <w:sz w:val="24"/>
                <w:szCs w:val="24"/>
              </w:rPr>
              <w:t>1.6. Иные требования и сведения общего характера</w:t>
              <w:tab/>
              <w:t>4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13697_1054193455">
            <w:r>
              <w:rPr>
                <w:rStyle w:val="Style14"/>
                <w:sz w:val="24"/>
                <w:szCs w:val="24"/>
              </w:rPr>
              <w:t>2. Требования к продукции</w:t>
              <w:tab/>
              <w:t>4</w:t>
            </w:r>
          </w:hyperlink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13699_1054193455">
            <w:r>
              <w:rPr>
                <w:rStyle w:val="Style14"/>
                <w:sz w:val="24"/>
                <w:szCs w:val="24"/>
              </w:rPr>
              <w:t>2.1. Требования к объемам и срокам поставки</w:t>
              <w:tab/>
              <w:t>4</w:t>
            </w:r>
          </w:hyperlink>
        </w:p>
        <w:p>
          <w:pPr>
            <w:pStyle w:val="TOC3"/>
            <w:tabs>
              <w:tab w:val="clear" w:pos="720"/>
              <w:tab w:val="right" w:pos="992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      </w:t>
          </w:r>
          <w:r>
            <w:rPr>
              <w:sz w:val="24"/>
              <w:szCs w:val="24"/>
            </w:rPr>
            <w:t>2.1.1. Перечень и объем закупаемой продукции</w:t>
            <w:tab/>
            <w:t>4</w:t>
          </w:r>
        </w:p>
        <w:p>
          <w:pPr>
            <w:pStyle w:val="TOC3"/>
            <w:tabs>
              <w:tab w:val="clear" w:pos="720"/>
              <w:tab w:val="right" w:pos="9921" w:leader="dot"/>
            </w:tabs>
            <w:rPr/>
          </w:pPr>
          <w:r>
            <w:rPr>
              <w:sz w:val="24"/>
              <w:szCs w:val="24"/>
            </w:rPr>
            <w:t xml:space="preserve">      </w:t>
          </w:r>
          <w:hyperlink w:anchor="__RefHeading___Toc13705_1054193455">
            <w:r>
              <w:rPr>
                <w:rStyle w:val="Style14"/>
                <w:sz w:val="24"/>
                <w:szCs w:val="24"/>
              </w:rPr>
              <w:t>2.1.2. Требования к срокам поставки продукции и оказания сопутствующих услуг</w:t>
              <w:tab/>
            </w:r>
          </w:hyperlink>
          <w:r>
            <w:rPr>
              <w:sz w:val="24"/>
              <w:szCs w:val="24"/>
            </w:rPr>
            <w:t>5</w:t>
          </w:r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13709_1054193455">
            <w:r>
              <w:rPr>
                <w:rStyle w:val="Style14"/>
                <w:sz w:val="24"/>
                <w:szCs w:val="24"/>
              </w:rPr>
              <w:t>2.2. Требования к качеству продукции</w:t>
              <w:tab/>
              <w:t>6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13711_1054193455">
            <w:r>
              <w:rPr>
                <w:rStyle w:val="Style14"/>
                <w:sz w:val="24"/>
                <w:szCs w:val="24"/>
              </w:rPr>
              <w:t>3. Требования к документации по ценообразованию на этапе закупки</w:t>
              <w:tab/>
              <w:t>1</w:t>
            </w:r>
          </w:hyperlink>
          <w:r>
            <w:rPr>
              <w:sz w:val="24"/>
              <w:szCs w:val="24"/>
            </w:rPr>
            <w:t>0</w:t>
          </w:r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13717_1054193455">
            <w:r>
              <w:rPr>
                <w:rStyle w:val="Style14"/>
                <w:sz w:val="24"/>
                <w:szCs w:val="24"/>
              </w:rPr>
              <w:t>4. Приложения</w:t>
              <w:tab/>
              <w:t>1</w:t>
            </w:r>
          </w:hyperlink>
          <w:r>
            <w:rPr>
              <w:sz w:val="24"/>
              <w:szCs w:val="24"/>
            </w:rPr>
            <w:t>1</w:t>
          </w:r>
          <w:r>
            <w:rPr>
              <w:sz w:val="24"/>
              <w:szCs w:val="24"/>
            </w:rPr>
            <w:fldChar w:fldCharType="end"/>
          </w:r>
        </w:p>
      </w:sdtContent>
    </w:sdt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1"/>
        </w:numPr>
        <w:rPr/>
      </w:pPr>
      <w:bookmarkStart w:id="0" w:name="__RefHeading___Toc13683_1054193455"/>
      <w:bookmarkStart w:id="1" w:name="_Toc51339692"/>
      <w:bookmarkStart w:id="2" w:name="_Toc126936392"/>
      <w:bookmarkEnd w:id="0"/>
      <w:bookmarkEnd w:id="1"/>
      <w:bookmarkEnd w:id="2"/>
      <w:r>
        <w:rPr/>
        <w:t>Общие сведения</w:t>
      </w:r>
    </w:p>
    <w:p>
      <w:pPr>
        <w:pStyle w:val="Heading4"/>
        <w:numPr>
          <w:ilvl w:val="1"/>
          <w:numId w:val="1"/>
        </w:numPr>
        <w:rPr/>
      </w:pPr>
      <w:bookmarkStart w:id="3" w:name="__RefHeading___Toc13685_1054193455"/>
      <w:bookmarkStart w:id="4" w:name="_Toc126936393"/>
      <w:bookmarkStart w:id="5" w:name="_Toc46743505"/>
      <w:bookmarkEnd w:id="3"/>
      <w:bookmarkEnd w:id="4"/>
      <w:bookmarkEnd w:id="5"/>
      <w:r>
        <w:rPr/>
        <w:t>Обозначения и сокращения</w:t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6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Филиал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Филиал ПАО «РусГидро» - «Жигулевская ГЭС»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ПАО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Публичное акционерное общество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i w:val="false"/>
                <w:sz w:val="24"/>
                <w:szCs w:val="24"/>
                <w:shd w:fill="FFFFFF" w:val="clear"/>
              </w:rPr>
              <w:t>МТР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bCs/>
                <w:i w:val="false"/>
                <w:sz w:val="24"/>
                <w:szCs w:val="24"/>
                <w:shd w:fill="FFFFFF" w:val="clear"/>
              </w:rPr>
              <w:t>Материально-технические ресурсы, включая материалы и запчасти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1"/>
        </w:numPr>
        <w:rPr/>
      </w:pPr>
      <w:bookmarkStart w:id="6" w:name="__RefHeading___Toc13687_1054193455"/>
      <w:bookmarkStart w:id="7" w:name="_Toc126936394"/>
      <w:bookmarkStart w:id="8" w:name="_Toc46743506"/>
      <w:bookmarkEnd w:id="6"/>
      <w:bookmarkEnd w:id="7"/>
      <w:bookmarkEnd w:id="8"/>
      <w:r>
        <w:rPr/>
        <w:t>Наименование закупаемой продукции</w:t>
      </w:r>
    </w:p>
    <w:p>
      <w:pPr>
        <w:pStyle w:val="Normal"/>
        <w:ind w:firstLine="45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ОКПД2 27.20.23.190 Поставка аккумуляторных батарей для оборудования службы связи, информационных и технологических систем филиала ПАО «РусГидро» - «Жигулевская ГЭС»</w:t>
      </w:r>
    </w:p>
    <w:p>
      <w:pPr>
        <w:pStyle w:val="Heading4"/>
        <w:numPr>
          <w:ilvl w:val="1"/>
          <w:numId w:val="1"/>
        </w:numPr>
        <w:spacing w:before="0" w:after="60"/>
        <w:rPr/>
      </w:pPr>
      <w:bookmarkStart w:id="9" w:name="__RefHeading___Toc13689_1054193455"/>
      <w:bookmarkStart w:id="10" w:name="_Toc126936395"/>
      <w:bookmarkStart w:id="11" w:name="_Toc46743507"/>
      <w:bookmarkEnd w:id="9"/>
      <w:r>
        <w:rPr/>
        <w:t xml:space="preserve">Цель </w:t>
      </w:r>
      <w:bookmarkEnd w:id="11"/>
      <w:r>
        <w:rPr/>
        <w:t>использования закупаемой продукции</w:t>
      </w:r>
      <w:bookmarkEnd w:id="10"/>
      <w:r>
        <w:rPr/>
        <w:t xml:space="preserve">  </w:t>
      </w:r>
    </w:p>
    <w:p>
      <w:pPr>
        <w:pStyle w:val="Normal"/>
        <w:spacing w:before="0" w:after="60"/>
        <w:ind w:firstLine="426"/>
        <w:jc w:val="both"/>
        <w:rPr>
          <w:sz w:val="24"/>
          <w:szCs w:val="24"/>
        </w:rPr>
      </w:pPr>
      <w:r>
        <w:rPr>
          <w:rFonts w:eastAsia="Calibri"/>
          <w:b w:val="false"/>
          <w:bCs w:val="false"/>
          <w:color w:val="000000"/>
          <w:sz w:val="24"/>
          <w:szCs w:val="24"/>
        </w:rPr>
        <w:t>Аккумуляторные батареи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закупаются для использования в производственной деятельности и эксплуатации оборудования связи, информационных и технологических систем.</w:t>
      </w:r>
    </w:p>
    <w:p>
      <w:pPr>
        <w:pStyle w:val="Heading4"/>
        <w:numPr>
          <w:ilvl w:val="1"/>
          <w:numId w:val="1"/>
        </w:numPr>
        <w:spacing w:before="0" w:after="60"/>
        <w:rPr/>
      </w:pPr>
      <w:bookmarkStart w:id="12" w:name="__RefHeading___Toc13691_1054193455"/>
      <w:bookmarkStart w:id="13" w:name="_Toc46743508"/>
      <w:bookmarkStart w:id="14" w:name="_Toc126936396"/>
      <w:bookmarkEnd w:id="12"/>
      <w:bookmarkEnd w:id="13"/>
      <w:bookmarkEnd w:id="14"/>
      <w:r>
        <w:rPr/>
        <w:t>Существующее положение</w:t>
      </w:r>
    </w:p>
    <w:p>
      <w:pPr>
        <w:pStyle w:val="Normal"/>
        <w:spacing w:before="0" w:after="6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процессе эксплуатации и техническом обслуживании оборудования информационных и технологических систем, в соответствии с регламентами технического обслуживания необходима замена </w:t>
      </w:r>
      <w:r>
        <w:rPr>
          <w:rFonts w:eastAsia="Calibri"/>
          <w:b w:val="false"/>
          <w:bCs w:val="false"/>
          <w:sz w:val="24"/>
          <w:szCs w:val="24"/>
        </w:rPr>
        <w:t>аккумуляторных батарей</w:t>
      </w:r>
      <w:r>
        <w:rPr>
          <w:sz w:val="24"/>
          <w:szCs w:val="24"/>
        </w:rPr>
        <w:t xml:space="preserve"> для обеспечения надежного функционирования оборудования. </w:t>
      </w:r>
    </w:p>
    <w:p>
      <w:pPr>
        <w:pStyle w:val="Heading4"/>
        <w:numPr>
          <w:ilvl w:val="1"/>
          <w:numId w:val="1"/>
        </w:numPr>
        <w:ind w:left="0" w:firstLine="57"/>
        <w:rPr/>
      </w:pPr>
      <w:bookmarkStart w:id="15" w:name="__RefHeading___Toc913_40715321"/>
      <w:bookmarkStart w:id="16" w:name="_Toc75446571"/>
      <w:bookmarkStart w:id="17" w:name="_Toc46743509_Копия_1"/>
      <w:bookmarkStart w:id="18" w:name="_Hlk49857604_Копия_1"/>
      <w:bookmarkEnd w:id="15"/>
      <w:r>
        <w:rPr/>
        <w:t xml:space="preserve">Информация в отношении исполнения договора, </w:t>
      </w:r>
      <w:bookmarkStart w:id="19" w:name="_Hlk46492347_Копия_1"/>
      <w:r>
        <w:rPr/>
        <w:t>которая должна быть учтена при подготовке заявк</w:t>
      </w:r>
      <w:bookmarkEnd w:id="19"/>
      <w:r>
        <w:rPr/>
        <w:t xml:space="preserve">и 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bookmarkEnd w:id="16"/>
      <w:bookmarkEnd w:id="17"/>
      <w:bookmarkEnd w:id="18"/>
      <w:r>
        <w:rPr/>
        <w:t xml:space="preserve"> на этапе исполнения договора)</w:t>
      </w:r>
    </w:p>
    <w:p>
      <w:pPr>
        <w:pStyle w:val="Normal"/>
        <w:spacing w:before="0" w:after="60"/>
        <w:jc w:val="both"/>
        <w:rPr/>
      </w:pPr>
      <w:r>
        <w:rPr/>
        <w:tab/>
      </w:r>
      <w:r>
        <w:rPr>
          <w:sz w:val="24"/>
          <w:szCs w:val="24"/>
        </w:rPr>
        <w:t xml:space="preserve">Продукция </w:t>
      </w:r>
      <w:r>
        <w:rPr>
          <w:rStyle w:val="Style8"/>
          <w:rFonts w:eastAsia="Calibri"/>
          <w:bCs/>
          <w:i w:val="false"/>
          <w:sz w:val="24"/>
          <w:szCs w:val="24"/>
          <w:shd w:fill="FFFFFF" w:val="clear"/>
          <w:lang w:eastAsia="x-none"/>
        </w:rPr>
        <w:t>поставляется на склад Заказчика по адресу: филиал ПАО «РусГидро» - «Жигулевская ГЭС», Московское шоссе, д.2, г. Жигулевск, Самарская обл., Российская Федерация, 445350.</w:t>
      </w:r>
    </w:p>
    <w:p>
      <w:pPr>
        <w:pStyle w:val="Heading4"/>
        <w:numPr>
          <w:ilvl w:val="1"/>
          <w:numId w:val="1"/>
        </w:numPr>
        <w:rPr/>
      </w:pPr>
      <w:bookmarkStart w:id="20" w:name="__RefHeading___Toc915_40715321"/>
      <w:bookmarkStart w:id="21" w:name="_Toc50125126_Копия_1"/>
      <w:bookmarkStart w:id="22" w:name="_Toc46743510_Копия_1"/>
      <w:bookmarkStart w:id="23" w:name="_Hlk482097611_Копия_1"/>
      <w:bookmarkStart w:id="24" w:name="_Toc75446572"/>
      <w:bookmarkEnd w:id="20"/>
      <w:bookmarkEnd w:id="21"/>
      <w:bookmarkEnd w:id="22"/>
      <w:bookmarkEnd w:id="23"/>
      <w:bookmarkEnd w:id="24"/>
      <w:r>
        <w:rPr/>
        <w:t>Иные требования и сведения общего характера</w:t>
      </w:r>
    </w:p>
    <w:p>
      <w:pPr>
        <w:pStyle w:val="Normal"/>
        <w:ind w:firstLine="426"/>
        <w:jc w:val="both"/>
        <w:rPr/>
      </w:pPr>
      <w:r>
        <w:rPr>
          <w:bCs/>
          <w:sz w:val="24"/>
          <w:szCs w:val="24"/>
        </w:rPr>
        <w:t>Участник готовит и предоставляет информацию согласно требованиям настоящих ТТ как в текстовой форме, так и в виде заполнения таблиц, указанных в настоящем ТТ. Все включенные в предложение в соответствии с настоящими ТТ таблицы Участника должны иметь электронную версию в формате совместимом с программными продуктами AlterOffice, LibreOffice и MS Office.</w:t>
      </w:r>
    </w:p>
    <w:p>
      <w:pPr>
        <w:pStyle w:val="Normal"/>
        <w:widowControl w:val="false"/>
        <w:tabs>
          <w:tab w:val="clear" w:pos="720"/>
          <w:tab w:val="left" w:pos="993" w:leader="none"/>
        </w:tabs>
        <w:ind w:firstLine="510"/>
        <w:rPr/>
      </w:pPr>
      <w:r>
        <w:rPr>
          <w:rFonts w:eastAsia="Calibri"/>
          <w:sz w:val="24"/>
          <w:szCs w:val="24"/>
          <w:lang w:eastAsia="x-none"/>
        </w:rPr>
        <w:t>Участник должен представить техническое предложение, состоящее из комментариев по исполнению требований Приложения №1 настоящих ТТ, заполнив столбец 10 «Предложение участника по характеристикам и параметрам».</w:t>
      </w:r>
    </w:p>
    <w:p>
      <w:pPr>
        <w:pStyle w:val="Normal"/>
        <w:ind w:firstLine="426"/>
        <w:jc w:val="both"/>
        <w:rPr/>
      </w:pPr>
      <w:r>
        <w:rPr>
          <w:rStyle w:val="Style8"/>
          <w:rFonts w:eastAsia="Calibri"/>
          <w:i w:val="false"/>
          <w:sz w:val="24"/>
          <w:szCs w:val="24"/>
          <w:shd w:fill="FFFFFF" w:val="clear"/>
          <w:lang w:eastAsia="x-none"/>
        </w:rPr>
        <w:t xml:space="preserve">При составлении технического предложения возможно использование эквивалентной продукции (эквивалент). Эквивалентной продукцией (эквивалент) является продукция, которая по техническим и функциональным характеристикам, установочным размерам, не уступает характеристикам, заявленным в документации о закупке, в том числе, по гарантийным срокам и срокам эксплуатации. </w:t>
      </w:r>
    </w:p>
    <w:p>
      <w:pPr>
        <w:pStyle w:val="Normal"/>
        <w:widowControl w:val="false"/>
        <w:tabs>
          <w:tab w:val="clear" w:pos="720"/>
          <w:tab w:val="left" w:pos="993" w:leader="none"/>
        </w:tabs>
        <w:ind w:firstLine="454"/>
        <w:jc w:val="both"/>
        <w:rPr>
          <w:sz w:val="24"/>
          <w:szCs w:val="24"/>
        </w:rPr>
      </w:pPr>
      <w:r>
        <w:rPr>
          <w:sz w:val="24"/>
          <w:szCs w:val="24"/>
        </w:rPr>
        <w:t>Неисполнение вышеуказанных требований будет служить основанием для отклонения заявки Участника.</w:t>
      </w: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iCs/>
          <w:caps/>
          <w:lang w:val="ru-RU"/>
        </w:rPr>
      </w:pPr>
      <w:bookmarkStart w:id="25" w:name="__RefHeading___Toc917_40715321"/>
      <w:bookmarkStart w:id="26" w:name="_Toc51339693_Копия_1"/>
      <w:bookmarkStart w:id="27" w:name="_Toc75446573"/>
      <w:bookmarkEnd w:id="25"/>
      <w:bookmarkEnd w:id="26"/>
      <w:bookmarkEnd w:id="27"/>
      <w:r>
        <w:rPr>
          <w:iCs/>
        </w:rPr>
        <w:t>Требования к продукции</w:t>
      </w:r>
    </w:p>
    <w:p>
      <w:pPr>
        <w:pStyle w:val="Heading4"/>
        <w:numPr>
          <w:ilvl w:val="1"/>
          <w:numId w:val="1"/>
        </w:numPr>
        <w:rPr/>
      </w:pPr>
      <w:bookmarkStart w:id="28" w:name="__RefHeading___Toc919_40715321"/>
      <w:bookmarkStart w:id="29" w:name="_Toc75446574"/>
      <w:bookmarkEnd w:id="28"/>
      <w:r>
        <w:rPr/>
        <w:t xml:space="preserve">Требования к объемам и срокам </w:t>
      </w:r>
      <w:bookmarkEnd w:id="29"/>
      <w:r>
        <w:rPr>
          <w:lang w:val="ru-RU"/>
        </w:rPr>
        <w:t>поставки</w:t>
      </w:r>
    </w:p>
    <w:p>
      <w:pPr>
        <w:pStyle w:val="Heading3"/>
        <w:numPr>
          <w:ilvl w:val="2"/>
          <w:numId w:val="1"/>
        </w:numPr>
        <w:rPr>
          <w:lang w:val="ru-RU"/>
        </w:rPr>
      </w:pPr>
      <w:bookmarkStart w:id="30" w:name="__RefHeading___Toc921_40715321"/>
      <w:bookmarkStart w:id="31" w:name="_Toc75446575"/>
      <w:bookmarkEnd w:id="30"/>
      <w:bookmarkEnd w:id="31"/>
      <w:r>
        <w:rPr>
          <w:lang w:val="ru-RU"/>
        </w:rPr>
        <w:t>Перечень и объем закупаемой продукции</w:t>
      </w:r>
    </w:p>
    <w:p>
      <w:pPr>
        <w:pStyle w:val="Heading1"/>
        <w:tabs>
          <w:tab w:val="clear" w:pos="720"/>
        </w:tabs>
        <w:spacing w:before="240" w:after="60"/>
        <w:ind w:left="0" w:hanging="0"/>
        <w:rPr>
          <w:b w:val="false"/>
        </w:rPr>
      </w:pPr>
      <w:bookmarkStart w:id="32" w:name="__RefHeading___Toc923_40715321"/>
      <w:bookmarkStart w:id="33" w:name="_Toc75446576"/>
      <w:bookmarkStart w:id="34" w:name="_Toc51339695_Копия_1"/>
      <w:bookmarkEnd w:id="32"/>
      <w:r>
        <w:rPr>
          <w:b w:val="false"/>
          <w:sz w:val="24"/>
          <w:szCs w:val="24"/>
        </w:rPr>
        <w:t xml:space="preserve">Таблица </w:t>
      </w:r>
      <w:r>
        <w:rPr>
          <w:b w:val="false"/>
          <w:sz w:val="24"/>
          <w:szCs w:val="24"/>
          <w:lang w:val="ru-RU"/>
        </w:rPr>
        <w:t>1.</w:t>
      </w:r>
      <w:r>
        <w:rPr>
          <w:b w:val="false"/>
          <w:sz w:val="24"/>
          <w:szCs w:val="24"/>
        </w:rPr>
        <w:t xml:space="preserve"> </w:t>
      </w:r>
      <w:r>
        <w:rPr>
          <w:b w:val="false"/>
          <w:sz w:val="24"/>
          <w:szCs w:val="24"/>
          <w:lang w:val="ru-RU"/>
        </w:rPr>
        <w:t xml:space="preserve">Перечень </w:t>
      </w:r>
      <w:bookmarkEnd w:id="33"/>
      <w:bookmarkEnd w:id="34"/>
      <w:r>
        <w:rPr>
          <w:b w:val="false"/>
          <w:sz w:val="24"/>
          <w:szCs w:val="24"/>
          <w:lang w:val="ru-RU"/>
        </w:rPr>
        <w:t>и объем закупаемой продукции</w:t>
      </w:r>
    </w:p>
    <w:tbl>
      <w:tblPr>
        <w:tblW w:w="9812" w:type="dxa"/>
        <w:jc w:val="left"/>
        <w:tblInd w:w="121" w:type="dxa"/>
        <w:tblLayout w:type="fixed"/>
        <w:tblCellMar>
          <w:top w:w="0" w:type="dxa"/>
          <w:left w:w="5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35"/>
        <w:gridCol w:w="6142"/>
        <w:gridCol w:w="1425"/>
        <w:gridCol w:w="1409"/>
      </w:tblGrid>
      <w:tr>
        <w:trPr/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993" w:leader="none"/>
              </w:tabs>
              <w:jc w:val="both"/>
              <w:rPr/>
            </w:pPr>
            <w:r>
              <w:rPr>
                <w:rFonts w:eastAsia="Calibri"/>
                <w:b w:val="false"/>
                <w:bCs w:val="false"/>
                <w:color w:val="000000"/>
                <w:sz w:val="24"/>
                <w:szCs w:val="24"/>
                <w:lang w:eastAsia="x-none"/>
              </w:rPr>
              <w:t>Поставка аккумуляторных батарей для оборудования службы связи, информационных и технологических систем.</w:t>
            </w:r>
            <w:r>
              <w:rPr>
                <w:rFonts w:eastAsia="Calibri"/>
                <w:b w:val="false"/>
                <w:bCs w:val="false"/>
                <w:sz w:val="24"/>
                <w:szCs w:val="24"/>
                <w:lang w:eastAsia="x-none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x-none"/>
              </w:rPr>
              <w:t>Наименование, описание (тип, марка, единицы измерений, количество и т.д.) подлежащей поставке продукции, указаны в Приложении №1 к настоящим ТТ.</w:t>
            </w:r>
          </w:p>
        </w:tc>
        <w:tc>
          <w:tcPr>
            <w:tcW w:w="28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 xml:space="preserve">В соответствии с приложением №1 </w:t>
            </w:r>
            <w:r>
              <w:rPr>
                <w:rFonts w:eastAsia="Calibri"/>
                <w:sz w:val="24"/>
                <w:szCs w:val="24"/>
                <w:lang w:eastAsia="x-none"/>
              </w:rPr>
              <w:t>к настоящим ТТ.</w:t>
            </w:r>
          </w:p>
        </w:tc>
      </w:tr>
    </w:tbl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ind w:firstLine="142"/>
        <w:rPr>
          <w:rStyle w:val="Style8"/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Heading3"/>
        <w:numPr>
          <w:ilvl w:val="2"/>
          <w:numId w:val="1"/>
        </w:numPr>
        <w:rPr/>
      </w:pPr>
      <w:bookmarkStart w:id="35" w:name="__RefHeading___Toc925_40715321"/>
      <w:bookmarkStart w:id="36" w:name="_Toc75446578"/>
      <w:bookmarkStart w:id="37" w:name="_Toc51339696_Копия_1"/>
      <w:bookmarkEnd w:id="35"/>
      <w:r>
        <w:rPr>
          <w:lang w:val="ru-RU"/>
        </w:rPr>
        <w:t xml:space="preserve">Требования </w:t>
      </w:r>
      <w:bookmarkEnd w:id="36"/>
      <w:bookmarkEnd w:id="37"/>
      <w:r>
        <w:rPr>
          <w:lang w:val="ru-RU"/>
        </w:rPr>
        <w:t>к срокам поставки продукции и оказания сопутствующих услуг</w:t>
      </w:r>
    </w:p>
    <w:p>
      <w:pPr>
        <w:pStyle w:val="Heading1"/>
        <w:keepLines/>
        <w:tabs>
          <w:tab w:val="clear" w:pos="720"/>
        </w:tabs>
        <w:spacing w:before="240" w:after="60"/>
        <w:ind w:left="0" w:hanging="0"/>
        <w:rPr>
          <w:b w:val="false"/>
        </w:rPr>
      </w:pPr>
      <w:bookmarkStart w:id="38" w:name="__RefHeading___Toc927_40715321"/>
      <w:bookmarkStart w:id="39" w:name="_Toc75446579"/>
      <w:bookmarkStart w:id="40" w:name="_Toc50125127_Копия_1"/>
      <w:bookmarkStart w:id="41" w:name="_Toc51339697_Копия_1"/>
      <w:bookmarkStart w:id="42" w:name="_Toc501251261_Копия_1"/>
      <w:bookmarkEnd w:id="38"/>
      <w:bookmarkEnd w:id="42"/>
      <w:r>
        <w:rPr>
          <w:b w:val="false"/>
          <w:sz w:val="24"/>
          <w:szCs w:val="24"/>
        </w:rPr>
        <w:t xml:space="preserve">Таблица </w:t>
      </w:r>
      <w:r>
        <w:rPr>
          <w:b w:val="false"/>
          <w:sz w:val="24"/>
          <w:szCs w:val="24"/>
          <w:lang w:val="ru-RU"/>
        </w:rPr>
        <w:t>2</w:t>
      </w:r>
      <w:r>
        <w:rPr>
          <w:b w:val="false"/>
          <w:sz w:val="24"/>
          <w:szCs w:val="24"/>
        </w:rPr>
        <w:t xml:space="preserve">. </w:t>
      </w:r>
      <w:bookmarkStart w:id="43" w:name="_Hlk50465284_Копия_1"/>
      <w:r>
        <w:rPr>
          <w:b w:val="false"/>
          <w:sz w:val="24"/>
          <w:szCs w:val="24"/>
        </w:rPr>
        <w:t xml:space="preserve">Требования по срокам </w:t>
      </w:r>
      <w:bookmarkEnd w:id="40"/>
      <w:bookmarkEnd w:id="41"/>
      <w:bookmarkEnd w:id="43"/>
      <w:r>
        <w:rPr>
          <w:b w:val="false"/>
          <w:sz w:val="24"/>
          <w:szCs w:val="24"/>
          <w:lang w:val="ru-RU"/>
        </w:rPr>
        <w:t xml:space="preserve">поставки </w:t>
      </w:r>
      <w:bookmarkEnd w:id="39"/>
      <w:r>
        <w:rPr>
          <w:b w:val="false"/>
          <w:sz w:val="24"/>
          <w:szCs w:val="24"/>
          <w:lang w:val="ru-RU"/>
        </w:rPr>
        <w:t>продукции</w:t>
      </w:r>
    </w:p>
    <w:tbl>
      <w:tblPr>
        <w:tblW w:w="9776" w:type="dxa"/>
        <w:jc w:val="left"/>
        <w:tblInd w:w="33" w:type="dxa"/>
        <w:tblLayout w:type="fixed"/>
        <w:tblCellMar>
          <w:top w:w="0" w:type="dxa"/>
          <w:left w:w="6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2"/>
        <w:gridCol w:w="2548"/>
        <w:gridCol w:w="2980"/>
        <w:gridCol w:w="3115"/>
      </w:tblGrid>
      <w:tr>
        <w:trPr/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1541" w:hRule="atLeast"/>
        </w:trPr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0" w:after="0"/>
              <w:jc w:val="left"/>
              <w:rPr/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Поставка аккумуляторных батарей для оборудования службы связи, информационных и технологических систем  </w:t>
            </w:r>
            <w:r>
              <w:rPr>
                <w:rFonts w:eastAsia="Calibri"/>
                <w:color w:val="auto"/>
                <w:sz w:val="24"/>
                <w:szCs w:val="24"/>
              </w:rPr>
              <w:t>филиала ПАО «РусГидро» - «Жигулевская ГЭС»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lang w:val="en-US"/>
              </w:rPr>
              <w:t xml:space="preserve"> даты подпи</w:t>
            </w:r>
            <w:r>
              <w:rPr>
                <w:sz w:val="24"/>
                <w:szCs w:val="24"/>
              </w:rPr>
              <w:t>сания договора</w:t>
            </w: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 60 календарных дней с даты подписания договора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1"/>
        </w:numPr>
        <w:rPr/>
      </w:pPr>
      <w:bookmarkStart w:id="44" w:name="__RefHeading___Toc929_40715321"/>
      <w:bookmarkStart w:id="45" w:name="_Toc51339698_Копия_1"/>
      <w:bookmarkStart w:id="46" w:name="_Toc75446581"/>
      <w:bookmarkStart w:id="47" w:name="_Toc46743511_Копия_1"/>
      <w:bookmarkEnd w:id="44"/>
      <w:r>
        <w:rPr/>
        <w:t xml:space="preserve">Требования к </w:t>
      </w:r>
      <w:bookmarkEnd w:id="46"/>
      <w:bookmarkEnd w:id="47"/>
      <w:r>
        <w:rPr>
          <w:lang w:val="ru-RU"/>
        </w:rPr>
        <w:t>качеству продукции</w:t>
      </w:r>
    </w:p>
    <w:p>
      <w:pPr>
        <w:pStyle w:val="Heading1"/>
        <w:keepLines/>
        <w:tabs>
          <w:tab w:val="clear" w:pos="720"/>
        </w:tabs>
        <w:spacing w:before="240" w:after="60"/>
        <w:ind w:left="0" w:hanging="0"/>
        <w:rPr>
          <w:b w:val="false"/>
        </w:rPr>
      </w:pPr>
      <w:bookmarkStart w:id="48" w:name="__RefHeading___Toc931_40715321"/>
      <w:bookmarkEnd w:id="48"/>
      <w:r>
        <w:rPr>
          <w:b w:val="false"/>
          <w:sz w:val="24"/>
          <w:szCs w:val="24"/>
        </w:rPr>
        <w:t xml:space="preserve"> </w:t>
      </w:r>
      <w:bookmarkStart w:id="49" w:name="_Toc75446582"/>
      <w:r>
        <w:rPr>
          <w:b w:val="false"/>
          <w:sz w:val="24"/>
          <w:szCs w:val="24"/>
        </w:rPr>
        <w:t xml:space="preserve">Таблица </w:t>
      </w:r>
      <w:r>
        <w:rPr>
          <w:b w:val="false"/>
          <w:sz w:val="24"/>
          <w:szCs w:val="24"/>
          <w:lang w:val="ru-RU"/>
        </w:rPr>
        <w:t>3</w:t>
      </w:r>
      <w:r>
        <w:rPr>
          <w:b w:val="false"/>
          <w:sz w:val="24"/>
          <w:szCs w:val="24"/>
        </w:rPr>
        <w:t xml:space="preserve">. Требования </w:t>
      </w:r>
      <w:bookmarkEnd w:id="45"/>
      <w:bookmarkEnd w:id="49"/>
      <w:r>
        <w:rPr>
          <w:b w:val="false"/>
          <w:sz w:val="24"/>
          <w:szCs w:val="24"/>
        </w:rPr>
        <w:t xml:space="preserve">к </w:t>
      </w:r>
      <w:r>
        <w:rPr>
          <w:b w:val="false"/>
          <w:sz w:val="24"/>
          <w:szCs w:val="24"/>
          <w:lang w:val="ru-RU"/>
        </w:rPr>
        <w:t>качеству продукции</w:t>
      </w:r>
    </w:p>
    <w:p>
      <w:pPr>
        <w:pStyle w:val="Normal"/>
        <w:spacing w:before="113" w:after="113"/>
        <w:jc w:val="both"/>
        <w:rPr/>
      </w:pPr>
      <w:r>
        <w:rPr>
          <w:b/>
          <w:bCs/>
          <w:i/>
          <w:iCs/>
          <w:sz w:val="24"/>
          <w:szCs w:val="24"/>
        </w:rPr>
        <w:t>Наименование продукции (все позиции</w:t>
      </w:r>
      <w:r>
        <w:rPr>
          <w:rStyle w:val="Style8"/>
          <w:b/>
          <w:bCs/>
          <w:iCs/>
          <w:sz w:val="24"/>
          <w:szCs w:val="24"/>
          <w:shd w:fill="FFFFFF" w:val="clear"/>
        </w:rPr>
        <w:t xml:space="preserve"> </w:t>
      </w:r>
      <w:r>
        <w:rPr>
          <w:b/>
          <w:bCs/>
          <w:i/>
          <w:iCs/>
          <w:sz w:val="24"/>
          <w:szCs w:val="24"/>
        </w:rPr>
        <w:t>Таблицы 1): П</w:t>
      </w:r>
      <w:r>
        <w:rPr>
          <w:rStyle w:val="Style8"/>
          <w:b/>
          <w:bCs/>
          <w:iCs/>
          <w:sz w:val="24"/>
          <w:szCs w:val="24"/>
          <w:shd w:fill="FFFFFF" w:val="clear"/>
        </w:rPr>
        <w:t xml:space="preserve">риложение №1 </w:t>
      </w:r>
      <w:r>
        <w:rPr>
          <w:rStyle w:val="Style8"/>
          <w:rFonts w:eastAsia="Calibri"/>
          <w:b/>
          <w:bCs/>
          <w:iCs/>
          <w:sz w:val="24"/>
          <w:szCs w:val="24"/>
          <w:shd w:fill="FFFFFF" w:val="clear"/>
          <w:lang w:eastAsia="x-none"/>
        </w:rPr>
        <w:t>«Перечень и объем закупаемой продукции» к настоящим ТТ.</w:t>
      </w:r>
    </w:p>
    <w:tbl>
      <w:tblPr>
        <w:tblStyle w:val="affff5"/>
        <w:tblW w:w="15315" w:type="dxa"/>
        <w:jc w:val="left"/>
        <w:tblInd w:w="28" w:type="dxa"/>
        <w:tblLayout w:type="fixed"/>
        <w:tblCellMar>
          <w:top w:w="0" w:type="dxa"/>
          <w:left w:w="6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1"/>
        <w:gridCol w:w="1985"/>
        <w:gridCol w:w="3003"/>
        <w:gridCol w:w="2803"/>
        <w:gridCol w:w="3262"/>
        <w:gridCol w:w="3410"/>
      </w:tblGrid>
      <w:tr>
        <w:trPr/>
        <w:tc>
          <w:tcPr>
            <w:tcW w:w="85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198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00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6065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41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98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00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80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1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98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300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80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32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34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498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8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498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735" w:leader="none"/>
              </w:tabs>
              <w:suppressAutoHyphens w:val="true"/>
              <w:spacing w:lineRule="auto" w:line="259" w:before="120" w:after="12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 w:eastAsiaTheme="minorHAnsi"/>
                <w:kern w:val="0"/>
                <w:sz w:val="22"/>
                <w:szCs w:val="22"/>
                <w:lang w:val="ru-RU" w:eastAsia="en-US" w:bidi="ar-SA"/>
              </w:rPr>
              <w:t>Требования к техническим и функциональным характеристикам в отношении каждой позиции  представлены в Приложении № 1 к настоящим Техническим требованиям</w:t>
            </w:r>
          </w:p>
        </w:tc>
        <w:tc>
          <w:tcPr>
            <w:tcW w:w="28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x-none" w:bidi="ar-SA"/>
              </w:rPr>
              <w:t>Согласие с требованием (Приложение №1 к настоящим Техническим требованиям)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498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</w:t>
            </w:r>
          </w:p>
        </w:tc>
        <w:tc>
          <w:tcPr>
            <w:tcW w:w="30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 w:eastAsiaTheme="minorHAnsi"/>
                <w:kern w:val="0"/>
                <w:sz w:val="22"/>
                <w:szCs w:val="22"/>
                <w:lang w:val="ru-RU" w:eastAsia="en-US" w:bidi="ar-SA"/>
              </w:rPr>
              <w:t>Поставка продукции осуществляется Поставщиком по адресу: филиал ПАО «РусГидро» - «Жигулевская ГЭС», Московское шоссе, д.2, г. Жигулевск, Самарская обл., Российская Федерация, 445350</w:t>
            </w:r>
          </w:p>
        </w:tc>
        <w:tc>
          <w:tcPr>
            <w:tcW w:w="28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/>
                <w:b w:val="false"/>
                <w:lang w:val="ru-RU" w:eastAsia="ru-RU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 упаковке</w:t>
            </w:r>
          </w:p>
        </w:tc>
        <w:tc>
          <w:tcPr>
            <w:tcW w:w="300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Поставляемая продукция должна быть в оригинальной заводской упаковке производителя. Упаковка должна обеспечивать полную сохранность продукции при транспортировке, погрузке, разгрузке и хранении.</w:t>
            </w:r>
          </w:p>
        </w:tc>
        <w:tc>
          <w:tcPr>
            <w:tcW w:w="28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2.3.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Входной контроль качества поставляемой продукции.</w:t>
            </w:r>
          </w:p>
        </w:tc>
        <w:tc>
          <w:tcPr>
            <w:tcW w:w="300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Организация входного контроля поставляемой продукции выполняется Поставщиком совместно с Заказчиком.</w:t>
            </w:r>
          </w:p>
        </w:tc>
        <w:tc>
          <w:tcPr>
            <w:tcW w:w="28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2.4.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x-none" w:bidi="ar-SA"/>
              </w:rPr>
              <w:t>Погрузка, доставка, разгрузка и перемещение</w:t>
            </w:r>
          </w:p>
        </w:tc>
        <w:tc>
          <w:tcPr>
            <w:tcW w:w="30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x-none" w:bidi="ar-SA"/>
              </w:rPr>
              <w:t>Погрузка, доставка, разгрузка и перемещение продукции (в том числе по территории Покупателя) осуществляется Поставщиком. Стоимость погрузки, доставки, разгрузки и перемещения продукции должна быть включена в стоимость Продукции.</w:t>
            </w:r>
          </w:p>
        </w:tc>
        <w:tc>
          <w:tcPr>
            <w:tcW w:w="28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x-none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498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8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сроку гарантии на поставляемую продукцию</w:t>
            </w:r>
          </w:p>
        </w:tc>
        <w:tc>
          <w:tcPr>
            <w:tcW w:w="30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Срок гарантии на поставляемую продукцию должен быть не менее 12 месяцев  с даты подписания универсального передаточного акта.</w:t>
            </w:r>
          </w:p>
        </w:tc>
        <w:tc>
          <w:tcPr>
            <w:tcW w:w="28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4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/>
                <w:b w:val="false"/>
                <w:lang w:val="ru-RU" w:eastAsia="ru-RU"/>
              </w:rPr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гарантийному обслуживанию</w:t>
            </w:r>
          </w:p>
        </w:tc>
        <w:tc>
          <w:tcPr>
            <w:tcW w:w="30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гарантийному обслуживанию: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в обязанности поставщика входит гарантийное обслуживание поставляемых  продукции на протяжении всего гарантийного срока;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эксплуатация поставляемой продукции осуществляется силами персонала заказчика. При этом в обязанности персонала заказчика в период гарантийного срока входит регламентное обслуживание в соответствии с эксплуатационной документацией, контроль исправности, фиксация возникающих дефектов с последующей передачей информации поставщику для проведения замены или ремонтно-восстановительных работ;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на протяжении всего указанного срока поставщик обязан обеспечить за счет собственных средств и сил восстановление или замену вышедшей из строя продукции (в случае, если причина дефекта не связана с неправильной эксплуатацией данной продукции.);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57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срок восстановления или замены вышедших из строя МТР должен быть не более 2-х месяцев;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57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гарантийный срок увеличивается на время устранения дефекта или замены продукции, возникшего в период гарантийного обслуживания;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57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замена продукции производится поставщиком по адресу, указанному Заказчиком</w:t>
            </w:r>
          </w:p>
        </w:tc>
        <w:tc>
          <w:tcPr>
            <w:tcW w:w="2803" w:type="dxa"/>
            <w:tcBorders/>
            <w:shd w:color="auto" w:fill="auto" w:val="clea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/>
                <w:sz w:val="22"/>
                <w:szCs w:val="22"/>
              </w:rPr>
            </w:pPr>
            <w:bookmarkStart w:id="50" w:name="__RefHeading___Toc933_40715321"/>
            <w:bookmarkStart w:id="51" w:name="_Toc126936407_Копия_1"/>
            <w:bookmarkEnd w:id="50"/>
            <w:bookmarkEnd w:id="51"/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b w:val="false"/>
                <w:lang w:val="ru-RU"/>
              </w:rPr>
            </w:pPr>
            <w:r>
              <w:rPr>
                <w:b w:val="false"/>
                <w:lang w:val="ru-RU"/>
              </w:rPr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498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98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 w:eastAsiaTheme="minorHAnsi"/>
                <w:kern w:val="0"/>
                <w:sz w:val="22"/>
                <w:szCs w:val="22"/>
                <w:lang w:val="ru-RU" w:eastAsia="en-US" w:bidi="ar-SA"/>
              </w:rPr>
              <w:t>Документы, передаваемые вместе с продукцией</w:t>
            </w:r>
          </w:p>
        </w:tc>
        <w:tc>
          <w:tcPr>
            <w:tcW w:w="300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Поставщик обязан одновременно с передачей продукции передать Заказчику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сертификаты качества;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технические паспорта;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руководства по эксплуатации;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протоколы заводских испытаний (при их наличии);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упаковочные листы, упаковочные ярлыки;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товарно-транспортную накладную формы №1-Т;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товарную накладную унифицированной формы.</w:t>
            </w:r>
          </w:p>
        </w:tc>
        <w:tc>
          <w:tcPr>
            <w:tcW w:w="280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lang w:val="ru-RU"/>
        </w:rPr>
      </w:pPr>
      <w:bookmarkStart w:id="52" w:name="__RefHeading___Toc935_40715321"/>
      <w:bookmarkStart w:id="53" w:name="_Toc75446583"/>
      <w:bookmarkStart w:id="54" w:name="_Toc53393312_Копия_1"/>
      <w:bookmarkEnd w:id="52"/>
      <w:r>
        <w:rPr>
          <w:lang w:val="ru-RU"/>
        </w:rPr>
        <w:t>Требования к документации по ценообразованию</w:t>
      </w:r>
      <w:bookmarkEnd w:id="53"/>
      <w:bookmarkEnd w:id="54"/>
      <w:r>
        <w:rPr>
          <w:lang w:val="ru-RU"/>
        </w:rPr>
        <w:t xml:space="preserve"> на этапе закупки</w:t>
      </w:r>
    </w:p>
    <w:p>
      <w:pPr>
        <w:pStyle w:val="Normal"/>
        <w:widowControl w:val="false"/>
        <w:tabs>
          <w:tab w:val="clear" w:pos="720"/>
          <w:tab w:val="left" w:pos="993" w:leader="none"/>
        </w:tabs>
        <w:spacing w:before="120" w:after="120"/>
        <w:ind w:firstLine="851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keepLines/>
        <w:widowControl w:val="false"/>
        <w:tabs>
          <w:tab w:val="clear" w:pos="720"/>
          <w:tab w:val="left" w:pos="993" w:leader="none"/>
        </w:tabs>
        <w:spacing w:before="120" w:after="120"/>
        <w:ind w:firstLine="851"/>
        <w:jc w:val="both"/>
        <w:rPr>
          <w:rFonts w:eastAsia="Calibri"/>
          <w:iCs/>
          <w:sz w:val="24"/>
          <w:szCs w:val="24"/>
          <w:lang w:val="x-none" w:eastAsia="x-none"/>
        </w:rPr>
      </w:pPr>
      <w:r>
        <w:rPr>
          <w:rFonts w:eastAsia="Calibri"/>
          <w:iCs/>
          <w:sz w:val="24"/>
          <w:szCs w:val="24"/>
          <w:lang w:val="x-none" w:eastAsia="x-none"/>
        </w:rPr>
        <w:t xml:space="preserve">3.2. </w:t>
      </w:r>
      <w:r>
        <w:rPr>
          <w:rFonts w:eastAsia="Calibri"/>
          <w:iCs/>
          <w:sz w:val="24"/>
          <w:szCs w:val="24"/>
          <w:lang w:eastAsia="x-none"/>
        </w:rPr>
        <w:t>Дополнительные документы по ценообразованию в состав заявки не включается</w:t>
      </w:r>
      <w:r>
        <w:rPr>
          <w:rFonts w:eastAsia="Calibri"/>
          <w:iCs/>
          <w:sz w:val="24"/>
          <w:szCs w:val="24"/>
          <w:lang w:val="x-none" w:eastAsia="x-none"/>
        </w:rPr>
        <w:t>.</w:t>
      </w:r>
    </w:p>
    <w:p>
      <w:pPr>
        <w:pStyle w:val="Normal"/>
        <w:rPr>
          <w:rFonts w:eastAsia="Calibri"/>
          <w:b/>
          <w:iCs/>
          <w:lang w:val="x-none" w:eastAsia="x-none"/>
        </w:rPr>
      </w:pPr>
      <w:r>
        <w:rPr>
          <w:rFonts w:eastAsia="Calibri"/>
          <w:b/>
          <w:iCs/>
          <w:lang w:val="x-none" w:eastAsia="x-none"/>
        </w:rPr>
      </w:r>
      <w:r>
        <w:br w:type="page"/>
      </w: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/>
      </w:pPr>
      <w:bookmarkStart w:id="55" w:name="__RefHeading___Toc937_40715321"/>
      <w:bookmarkStart w:id="56" w:name="_Toc75446585"/>
      <w:bookmarkStart w:id="57" w:name="_Toc46743519_Копия_1"/>
      <w:bookmarkStart w:id="58" w:name="_Toc51339699_Копия_1"/>
      <w:bookmarkEnd w:id="55"/>
      <w:bookmarkEnd w:id="56"/>
      <w:bookmarkEnd w:id="57"/>
      <w:bookmarkEnd w:id="58"/>
      <w:r>
        <w:rPr>
          <w:iCs/>
        </w:rPr>
        <w:t>Приложения</w:t>
      </w:r>
    </w:p>
    <w:p>
      <w:pPr>
        <w:pStyle w:val="Normal"/>
        <w:widowControl w:val="false"/>
        <w:tabs>
          <w:tab w:val="clear" w:pos="720"/>
          <w:tab w:val="left" w:pos="993" w:leader="none"/>
        </w:tabs>
        <w:suppressAutoHyphens w:val="true"/>
        <w:bidi w:val="0"/>
        <w:spacing w:before="120" w:after="120"/>
        <w:ind w:left="0" w:right="0" w:firstLine="340"/>
        <w:jc w:val="both"/>
        <w:rPr/>
      </w:pPr>
      <w:r>
        <w:rPr>
          <w:rFonts w:eastAsia="Calibri"/>
          <w:sz w:val="24"/>
          <w:szCs w:val="24"/>
          <w:lang w:eastAsia="x-none"/>
        </w:rPr>
        <w:t>Перечень приложений к ТТ: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993" w:leader="none"/>
        </w:tabs>
        <w:spacing w:before="120" w:after="120"/>
        <w:ind w:left="360" w:hanging="0"/>
        <w:contextualSpacing/>
        <w:jc w:val="both"/>
        <w:rPr/>
      </w:pPr>
      <w:r>
        <w:rPr>
          <w:sz w:val="24"/>
          <w:szCs w:val="24"/>
          <w:lang w:eastAsia="x-none"/>
        </w:rPr>
        <w:t xml:space="preserve">1. Приложение №1 - </w:t>
      </w:r>
      <w:r>
        <w:rPr>
          <w:rStyle w:val="Style8"/>
          <w:i w:val="false"/>
          <w:sz w:val="24"/>
          <w:szCs w:val="24"/>
          <w:shd w:fill="FFFFFF" w:val="clear"/>
          <w:lang w:eastAsia="x-none"/>
        </w:rPr>
        <w:t xml:space="preserve">Перечень и объем закупаемой продукции. </w:t>
      </w:r>
      <w:r>
        <w:rPr>
          <w:sz w:val="24"/>
          <w:szCs w:val="24"/>
          <w:lang w:eastAsia="x-none"/>
        </w:rPr>
        <w:t>Требования к продукции (индивидуальные требования по каждой позиции перечня продукции).</w:t>
      </w:r>
    </w:p>
    <w:p>
      <w:pPr>
        <w:pStyle w:val="Heading4"/>
        <w:numPr>
          <w:ilvl w:val="0"/>
          <w:numId w:val="0"/>
        </w:numPr>
        <w:spacing w:before="0" w:after="60"/>
        <w:ind w:left="432" w:hanging="0"/>
        <w:rPr>
          <w:lang w:val="ru-RU"/>
        </w:rPr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effect w:val="none"/>
        <w:szCs w:val="28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sz w:val="24"/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link w:val="2"/>
    <w:qFormat/>
    <w:pPr>
      <w:outlineLvl w:val="1"/>
    </w:pPr>
    <w:rPr/>
  </w:style>
  <w:style w:type="paragraph" w:styleId="Heading3">
    <w:name w:val="Heading 3"/>
    <w:basedOn w:val="Normal"/>
    <w:link w:val="3"/>
    <w:autoRedefine/>
    <w:qFormat/>
    <w:rsid w:val="00ca4d10"/>
    <w:pPr>
      <w:keepNext w:val="true"/>
      <w:ind w:firstLine="170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link w:val="4"/>
    <w:qFormat/>
    <w:pPr>
      <w:outlineLvl w:val="3"/>
    </w:pPr>
    <w:rPr>
      <w:bCs/>
    </w:rPr>
  </w:style>
  <w:style w:type="paragraph" w:styleId="Heading5">
    <w:name w:val="Heading 5"/>
    <w:basedOn w:val="Normal"/>
    <w:link w:val="5"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link w:val="6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link w:val="7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link w:val="8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link w:val="9"/>
    <w:qFormat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1" w:customStyle="1">
    <w:name w:val="Гиперссылка1"/>
    <w:basedOn w:val="DefaultParagraphFont"/>
    <w:qFormat/>
    <w:rPr>
      <w:color w:val="0563C1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 w:customStyle="1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ca4d10"/>
    <w:rPr>
      <w:rFonts w:eastAsia="Calibri"/>
      <w:b/>
      <w:color w:val="00000A"/>
      <w:sz w:val="24"/>
      <w:szCs w:val="24"/>
      <w:lang w:val="x-none" w:eastAsia="x-none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qFormat/>
    <w:rPr>
      <w:rFonts w:ascii="Arial" w:hAnsi="Arial" w:cs="Arial"/>
      <w:sz w:val="22"/>
      <w:szCs w:val="22"/>
    </w:rPr>
  </w:style>
  <w:style w:type="character" w:styleId="Style1" w:customStyle="1">
    <w:name w:val="Название Знак"/>
    <w:qFormat/>
    <w:rPr>
      <w:sz w:val="28"/>
    </w:rPr>
  </w:style>
  <w:style w:type="character" w:styleId="Style2" w:customStyle="1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 w:customStyle="1">
    <w:name w:val="Цитата 2 Знак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 w:customStyle="1">
    <w:name w:val="Электронная подпись Знак"/>
    <w:qFormat/>
    <w:rPr>
      <w:rFonts w:eastAsia="Calibri"/>
      <w:sz w:val="24"/>
      <w:szCs w:val="24"/>
    </w:rPr>
  </w:style>
  <w:style w:type="character" w:styleId="111" w:customStyle="1">
    <w:name w:val="Заголовок 1 Знак1"/>
    <w:qFormat/>
    <w:rPr>
      <w:sz w:val="28"/>
    </w:rPr>
  </w:style>
  <w:style w:type="character" w:styleId="Style5" w:customStyle="1">
    <w:name w:val="Текст сноски Знак"/>
    <w:qFormat/>
    <w:rPr/>
  </w:style>
  <w:style w:type="character" w:styleId="Style6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7" w:customStyle="1">
    <w:name w:val="Абзац списка Знак"/>
    <w:qFormat/>
    <w:rPr>
      <w:rFonts w:eastAsia="Calibri"/>
      <w:sz w:val="24"/>
      <w:szCs w:val="24"/>
    </w:rPr>
  </w:style>
  <w:style w:type="character" w:styleId="Style8" w:customStyle="1">
    <w:name w:val="комментарий"/>
    <w:qFormat/>
    <w:rPr>
      <w:i/>
      <w:shd w:fill="FFFF99" w:val="clear"/>
    </w:rPr>
  </w:style>
  <w:style w:type="character" w:styleId="Style9" w:customStyle="1">
    <w:name w:val="Подподпункт Знак"/>
    <w:qFormat/>
    <w:rPr>
      <w:sz w:val="26"/>
      <w:szCs w:val="26"/>
    </w:rPr>
  </w:style>
  <w:style w:type="character" w:styleId="31" w:customStyle="1">
    <w:name w:val="Заголовок 3 Знак1"/>
    <w:qFormat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qFormat/>
    <w:rPr>
      <w:sz w:val="24"/>
      <w:szCs w:val="24"/>
    </w:rPr>
  </w:style>
  <w:style w:type="character" w:styleId="Style11" w:customStyle="1">
    <w:name w:val="Текст примечания Знак"/>
    <w:qFormat/>
    <w:rPr/>
  </w:style>
  <w:style w:type="character" w:styleId="Style12" w:customStyle="1">
    <w:name w:val="Текст концевой сноски Знак"/>
    <w:basedOn w:val="DefaultParagraphFont"/>
    <w:qFormat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Pr>
      <w:vertAlign w:val="superscript"/>
    </w:rPr>
  </w:style>
  <w:style w:type="character" w:styleId="22" w:customStyle="1">
    <w:name w:val="Пункт2 Знак"/>
    <w:qFormat/>
    <w:rPr>
      <w:b/>
      <w:sz w:val="28"/>
    </w:rPr>
  </w:style>
  <w:style w:type="character" w:styleId="12" w:customStyle="1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link w:val="Style22"/>
    <w:qFormat/>
    <w:rPr>
      <w:color w:val="605E5C"/>
      <w:shd w:fill="E1DFDD" w:val="clear"/>
    </w:rPr>
  </w:style>
  <w:style w:type="character" w:styleId="32" w:customStyle="1">
    <w:name w:val="Оглавление 3 Знак"/>
    <w:link w:val="33"/>
    <w:qFormat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Символы концевой сноски"/>
    <w:qFormat/>
    <w:rPr/>
  </w:style>
  <w:style w:type="character" w:styleId="Hyperlink">
    <w:name w:val="Hyperlink"/>
    <w:rPr>
      <w:color w:val="000080"/>
      <w:u w:val="single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Style16"/>
    <w:qFormat/>
    <w:pPr/>
    <w:rPr/>
  </w:style>
  <w:style w:type="paragraph" w:styleId="Caption11" w:customStyle="1">
    <w:name w:val="caption11"/>
    <w:basedOn w:val="Normal"/>
    <w:qFormat/>
    <w:pPr/>
    <w:rPr>
      <w:rFonts w:eastAsia="Calibri"/>
      <w:b/>
      <w:bCs/>
      <w:color w:val="4F81BD"/>
      <w:sz w:val="18"/>
      <w:szCs w:val="18"/>
    </w:rPr>
  </w:style>
  <w:style w:type="paragraph" w:styleId="Indexheading11" w:customStyle="1">
    <w:name w:val="index heading11"/>
    <w:basedOn w:val="Style16"/>
    <w:qFormat/>
    <w:pPr/>
    <w:rPr/>
  </w:style>
  <w:style w:type="paragraph" w:styleId="Title">
    <w:name w:val="Title"/>
    <w:basedOn w:val="Normal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Style18" w:customStyle="1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p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pPr>
      <w:spacing w:before="80" w:after="80"/>
      <w:jc w:val="both"/>
    </w:pPr>
    <w:rPr/>
  </w:style>
  <w:style w:type="paragraph" w:styleId="FootnoteText">
    <w:name w:val="Footnote Text"/>
    <w:basedOn w:val="Normal"/>
    <w:pPr/>
    <w:rPr/>
  </w:style>
  <w:style w:type="paragraph" w:styleId="14" w:customStyle="1">
    <w:name w:val="Шапка 1"/>
    <w:basedOn w:val="Normal"/>
    <w:qFormat/>
    <w:pPr>
      <w:pBdr>
        <w:bottom w:val="thickThinSmallGap" w:sz="24" w:space="1" w:color="00000A"/>
      </w:pBdr>
      <w:spacing w:before="0" w:after="240"/>
      <w:jc w:val="center"/>
    </w:pPr>
    <w:rPr>
      <w:sz w:val="22"/>
      <w:szCs w:val="22"/>
    </w:rPr>
  </w:style>
  <w:style w:type="paragraph" w:styleId="211" w:customStyle="1">
    <w:name w:val="Заголовок 2 Знак1"/>
    <w:basedOn w:val="Normal"/>
    <w:qFormat/>
    <w:pPr>
      <w:pBdr>
        <w:bottom w:val="thickThinSmallGap" w:sz="24" w:space="1" w:color="00000A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link w:val="32"/>
    <w:qFormat/>
    <w:pPr>
      <w:pBdr>
        <w:bottom w:val="thickThinSmallGap" w:sz="24" w:space="1" w:color="00000A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qFormat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hanging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3"/>
    <w:qFormat/>
    <w:pPr>
      <w:tabs>
        <w:tab w:val="clear" w:pos="720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3" w:customStyle="1">
    <w:name w:val="Пункт2"/>
    <w:basedOn w:val="Normal"/>
    <w:qFormat/>
    <w:pPr>
      <w:keepNext w:val="true"/>
      <w:tabs>
        <w:tab w:val="clear" w:pos="720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autoRedefine/>
    <w:pPr>
      <w:spacing w:before="120" w:after="0"/>
    </w:pPr>
    <w:rPr>
      <w:rFonts w:cs="Calibri Light (Заголовки)"/>
      <w:b/>
      <w:bCs/>
      <w:sz w:val="20"/>
      <w:szCs w:val="24"/>
    </w:rPr>
  </w:style>
  <w:style w:type="paragraph" w:styleId="TOC3">
    <w:name w:val="TOC 3"/>
    <w:basedOn w:val="Normal"/>
    <w:autoRedefine/>
    <w:pPr>
      <w:ind w:left="280" w:hanging="0"/>
    </w:pPr>
    <w:rPr>
      <w:rFonts w:cs="Calibri"/>
      <w:sz w:val="20"/>
      <w:szCs w:val="20"/>
    </w:rPr>
  </w:style>
  <w:style w:type="paragraph" w:styleId="Style23" w:customStyle="1">
    <w:name w:val="Раздел регламента"/>
    <w:basedOn w:val="Normal"/>
    <w:qFormat/>
    <w:pPr/>
    <w:rPr/>
  </w:style>
  <w:style w:type="paragraph" w:styleId="Style24" w:customStyle="1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autoRedefine/>
    <w:pPr>
      <w:spacing w:before="240" w:after="0"/>
    </w:pPr>
    <w:rPr>
      <w:rFonts w:cs="Calibri"/>
      <w:b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Annotationsubject">
    <w:name w:val="annotation subject"/>
    <w:basedOn w:val="Annotationtext"/>
    <w:qFormat/>
    <w:pPr/>
    <w:rPr>
      <w:b/>
      <w:bCs/>
    </w:rPr>
  </w:style>
  <w:style w:type="paragraph" w:styleId="16" w:customStyle="1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autoRedefine/>
    <w:pPr>
      <w:ind w:left="1960" w:hanging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autoRedefine/>
    <w:pPr>
      <w:ind w:left="840" w:hanging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autoRedefine/>
    <w:pPr>
      <w:ind w:left="560" w:hanging="0"/>
    </w:pPr>
    <w:rPr>
      <w:rFonts w:cs="Calibri"/>
      <w:sz w:val="20"/>
      <w:szCs w:val="20"/>
    </w:rPr>
  </w:style>
  <w:style w:type="paragraph" w:styleId="24" w:customStyle="1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qFormat/>
    <w:pPr>
      <w:keepLines/>
      <w:spacing w:before="480" w:after="0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qFormat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Основной текст с отступом 3 Знак"/>
    <w:basedOn w:val="Normal"/>
    <w:qFormat/>
    <w:p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25" w:customStyle="1">
    <w:name w:val="Нумерованный список ур2"/>
    <w:basedOn w:val="Normal"/>
    <w:qFormat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8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qFormat/>
    <w:pPr>
      <w:tabs>
        <w:tab w:val="left" w:pos="1134" w:leader="none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6" w:customStyle="1">
    <w:name w:val="Оглавление 2 Знак"/>
    <w:basedOn w:val="ListParagraph"/>
    <w:qFormat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311" w:customStyle="1">
    <w:name w:val="Основной текст с отступом 3 Знак1"/>
    <w:basedOn w:val="ListParagraph"/>
    <w:qFormat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pPr>
      <w:keepLines/>
      <w:tabs>
        <w:tab w:val="clear" w:pos="720"/>
        <w:tab w:val="left" w:pos="567" w:leader="none"/>
      </w:tabs>
      <w:spacing w:before="480" w:after="240"/>
      <w:ind w:left="567" w:hanging="567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EndnoteText">
    <w:name w:val="Endnote Text"/>
    <w:basedOn w:val="Normal"/>
    <w:pPr/>
    <w:rPr/>
  </w:style>
  <w:style w:type="paragraph" w:styleId="27" w:customStyle="1">
    <w:name w:val="Заголовок 2 КВВ"/>
    <w:basedOn w:val="Normal"/>
    <w:qFormat/>
    <w:pPr>
      <w:keepNext w:val="true"/>
      <w:spacing w:before="120" w:after="120"/>
      <w:jc w:val="both"/>
      <w:outlineLvl w:val="0"/>
    </w:pPr>
    <w:rPr>
      <w:b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9" w:customStyle="1">
    <w:name w:val="УРОВЕНЬ_1."/>
    <w:basedOn w:val="ListParagraph"/>
    <w:qFormat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autoRedefine/>
    <w:pPr>
      <w:ind w:left="112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autoRedefine/>
    <w:pPr>
      <w:ind w:left="1400" w:hanging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autoRedefine/>
    <w:pPr>
      <w:ind w:left="1680" w:hanging="0"/>
    </w:pPr>
    <w:rPr>
      <w:rFonts w:ascii="Calibri" w:hAnsi="Calibri" w:cs="Calibri"/>
      <w:sz w:val="20"/>
      <w:szCs w:val="20"/>
    </w:rPr>
  </w:style>
  <w:style w:type="paragraph" w:styleId="Style34" w:customStyle="1">
    <w:name w:val="Содержимое таблицы"/>
    <w:basedOn w:val="Normal"/>
    <w:qFormat/>
    <w:pPr/>
    <w:rPr/>
  </w:style>
  <w:style w:type="paragraph" w:styleId="Style35" w:customStyle="1">
    <w:name w:val="Заголовок таблицы"/>
    <w:basedOn w:val="Style34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qFormat/>
  </w:style>
  <w:style w:type="numbering" w:styleId="28" w:customStyle="1">
    <w:name w:val="Стиль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Application>AlterOffice/3.4.0.9$Linux_X86_64 LibreOffice_project/b8daf9e823b1a5463a2f48435ddc2e8696e7d4fc</Application>
  <AppVersion>15.0000</AppVersion>
  <Pages>10</Pages>
  <Words>1114</Words>
  <Characters>7754</Characters>
  <CharactersWithSpaces>8723</CharactersWithSpaces>
  <Paragraphs>161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2023-03-30T12:26:00Z</dcterms:created>
  <dc:creator>Быстров Олег Геннадьевич</dc:creator>
  <dc:description/>
  <dc:language>ru-RU</dc:language>
  <cp:lastModifiedBy>antonovanal@corp.gidroogk.com</cp:lastModifiedBy>
  <cp:lastPrinted>2025-02-04T10:34:02Z</cp:lastPrinted>
  <dcterms:modified xsi:type="dcterms:W3CDTF">2026-08-24T11:08:49Z</dcterms:modified>
  <cp:revision>51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