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0"/>
        <w:shd w:val="clear" w:color="auto" w:fill="auto"/>
        <w:ind w:left="9020" w:hanging="47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Технические требования </w:t>
      </w:r>
    </w:p>
    <w:p>
      <w:pPr>
        <w:pStyle w:val="Normal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</w:rPr>
        <w:t xml:space="preserve">ОКПД2 08.12.22.111 Поставка бентонитового глинопорошка для Вилюйской ГЭС-1,2 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eastAsia="Calibri"/>
          <w:color w:val="000000"/>
          <w:sz w:val="24"/>
          <w:szCs w:val="24"/>
          <w:shd w:fill="auto" w:val="clear"/>
        </w:rPr>
        <w:t xml:space="preserve">лот </w:t>
      </w:r>
      <w:r>
        <w:rPr>
          <w:rFonts w:eastAsia="Calibri"/>
          <w:color w:val="000000"/>
          <w:sz w:val="22"/>
          <w:szCs w:val="22"/>
          <w:shd w:fill="auto" w:val="clear"/>
        </w:rPr>
        <w:t>№ 0164-РЕМ ДОХ-2026-ГРВКК-СШФ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  <w:highlight w:val="none"/>
          <w:shd w:fill="auto" w:val="clear"/>
        </w:rPr>
      </w:pPr>
      <w:r>
        <w:rPr>
          <w:rFonts w:eastAsia="Calibri"/>
          <w:b/>
          <w:sz w:val="24"/>
          <w:szCs w:val="24"/>
          <w:shd w:fill="auto" w:val="clear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0"/>
          <w:numId w:val="0"/>
        </w:numPr>
        <w:ind w:left="432" w:hanging="0"/>
        <w:rPr>
          <w:lang w:val="ru-RU"/>
        </w:rPr>
      </w:pPr>
      <w:r>
        <w:rPr>
          <w:lang w:val="ru-RU"/>
        </w:rPr>
        <w:t xml:space="preserve">                                                        </w:t>
      </w:r>
      <w:r>
        <w:rPr>
          <w:lang w:val="ru-RU"/>
        </w:rPr>
        <w:t>1. Общие сведения</w:t>
      </w:r>
    </w:p>
    <w:p>
      <w:pPr>
        <w:pStyle w:val="Heading4"/>
        <w:numPr>
          <w:ilvl w:val="1"/>
          <w:numId w:val="6"/>
        </w:numPr>
        <w:rPr>
          <w:lang w:val="ru-RU"/>
        </w:rPr>
      </w:pPr>
      <w:bookmarkStart w:id="0" w:name="_Toc46743506"/>
      <w:bookmarkStart w:id="1" w:name="_Toc75446568"/>
      <w:r>
        <w:rPr>
          <w:lang w:val="ru-RU"/>
        </w:rPr>
        <w:t>Наименование закупаемой продукции</w:t>
      </w:r>
      <w:bookmarkEnd w:id="0"/>
      <w:bookmarkEnd w:id="1"/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«ОКПД2 08.12.22.111 Поставка бентонитового глинопорошка для Вилюйской ГЭС-1,2 </w:t>
      </w:r>
      <w:r>
        <w:rPr>
          <w:rFonts w:eastAsia="Calibri"/>
          <w:color w:val="000000"/>
          <w:sz w:val="24"/>
          <w:szCs w:val="24"/>
          <w:lang w:eastAsia="x-none"/>
        </w:rPr>
        <w:t xml:space="preserve"> </w:t>
      </w:r>
      <w:r>
        <w:rPr>
          <w:rFonts w:eastAsia="Calibri"/>
          <w:sz w:val="24"/>
          <w:szCs w:val="24"/>
          <w:lang w:eastAsia="x-none"/>
        </w:rPr>
        <w:t>(далее – продукция)</w:t>
      </w:r>
    </w:p>
    <w:p>
      <w:pPr>
        <w:pStyle w:val="Heading4"/>
        <w:numPr>
          <w:ilvl w:val="1"/>
          <w:numId w:val="6"/>
        </w:numPr>
        <w:spacing w:before="240" w:after="60"/>
        <w:rPr>
          <w:lang w:val="ru-RU"/>
        </w:rPr>
      </w:pPr>
      <w:bookmarkStart w:id="2" w:name="_Toc75446569"/>
      <w:bookmarkStart w:id="3" w:name="_Toc46743507"/>
      <w:r>
        <w:rPr>
          <w:lang w:val="ru-RU"/>
        </w:rPr>
        <w:t xml:space="preserve">Цель </w:t>
      </w:r>
      <w:bookmarkEnd w:id="3"/>
      <w:r>
        <w:rPr>
          <w:lang w:val="ru-RU"/>
        </w:rPr>
        <w:t xml:space="preserve">использования закупаемой продукции </w:t>
      </w:r>
      <w:bookmarkEnd w:id="2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Продукция предназначена для устройства цементационных скважин </w:t>
      </w:r>
      <w:r>
        <w:rPr>
          <w:sz w:val="24"/>
          <w:szCs w:val="24"/>
          <w:shd w:fill="auto" w:val="clear"/>
        </w:rPr>
        <w:t>в целях исполнения решений Протокола совещания по вопросу технического состояния правобережного примыкания Каскада Вилюйских ГЭС им. Е.Н. Батенчука ПАО «Якутскэнерго» в связи с превышением критерия безопасности уровня К1 (03.08.20206) №751 от 06.08.2026.</w:t>
      </w:r>
    </w:p>
    <w:p>
      <w:pPr>
        <w:pStyle w:val="Normal"/>
        <w:jc w:val="both"/>
        <w:rPr>
          <w:sz w:val="20"/>
          <w:szCs w:val="24"/>
          <w:highlight w:val="none"/>
          <w:shd w:fill="auto" w:val="clear"/>
        </w:rPr>
      </w:pPr>
      <w:r>
        <w:rPr>
          <w:sz w:val="20"/>
          <w:szCs w:val="24"/>
          <w:shd w:fill="auto" w:val="clear"/>
        </w:rPr>
      </w:r>
    </w:p>
    <w:p>
      <w:pPr>
        <w:pStyle w:val="Normal"/>
        <w:jc w:val="center"/>
        <w:rPr>
          <w:sz w:val="24"/>
          <w:szCs w:val="24"/>
        </w:rPr>
      </w:pPr>
      <w:bookmarkStart w:id="4" w:name="_Toc75446573"/>
      <w:bookmarkStart w:id="5" w:name="_Toc51339693"/>
      <w:r>
        <w:rPr>
          <w:b/>
          <w:bCs/>
          <w:sz w:val="24"/>
          <w:szCs w:val="24"/>
        </w:rPr>
        <w:t>2. Требования к продукции</w:t>
      </w:r>
      <w:bookmarkEnd w:id="4"/>
      <w:bookmarkEnd w:id="5"/>
    </w:p>
    <w:p>
      <w:pPr>
        <w:pStyle w:val="Heading4"/>
        <w:numPr>
          <w:ilvl w:val="0"/>
          <w:numId w:val="0"/>
        </w:numPr>
        <w:ind w:left="432" w:hanging="0"/>
        <w:rPr>
          <w:lang w:val="ru-RU"/>
        </w:rPr>
      </w:pPr>
      <w:bookmarkStart w:id="6" w:name="_Toc75446574"/>
      <w:r>
        <w:rPr>
          <w:lang w:val="ru-RU"/>
        </w:rPr>
        <w:t>2.1. Требования к объемам и срокам поставки</w:t>
      </w:r>
      <w:bookmarkEnd w:id="6"/>
    </w:p>
    <w:p>
      <w:pPr>
        <w:pStyle w:val="Heading3"/>
        <w:rPr>
          <w:lang w:val="ru-RU"/>
        </w:rPr>
      </w:pPr>
      <w:bookmarkStart w:id="7" w:name="_Toc75446575"/>
      <w:r>
        <w:rPr>
          <w:lang w:val="ru-RU"/>
        </w:rPr>
        <w:t>2.1.1. Перечень и объем закупаемой продукции</w:t>
      </w:r>
      <w:bookmarkEnd w:id="7"/>
    </w:p>
    <w:p>
      <w:pPr>
        <w:pStyle w:val="Heading1"/>
        <w:keepLines/>
        <w:spacing w:before="240" w:after="60"/>
        <w:ind w:left="0" w:hanging="0"/>
        <w:rPr>
          <w:sz w:val="24"/>
          <w:szCs w:val="24"/>
          <w:lang w:val="ru-RU"/>
        </w:rPr>
      </w:pPr>
      <w:bookmarkStart w:id="8" w:name="_Toc75446576"/>
      <w:bookmarkStart w:id="9" w:name="_Toc51339695"/>
      <w:r>
        <w:rPr>
          <w:b w:val="false"/>
          <w:sz w:val="24"/>
          <w:szCs w:val="24"/>
          <w:lang w:val="ru-RU"/>
        </w:rPr>
        <w:t xml:space="preserve">Таблица 2.1 Перечень </w:t>
      </w:r>
      <w:bookmarkEnd w:id="9"/>
      <w:r>
        <w:rPr>
          <w:b w:val="false"/>
          <w:sz w:val="24"/>
          <w:szCs w:val="24"/>
          <w:lang w:val="ru-RU"/>
        </w:rPr>
        <w:t>и объем закупаемой продукции</w:t>
      </w:r>
      <w:bookmarkEnd w:id="8"/>
    </w:p>
    <w:tbl>
      <w:tblPr>
        <w:tblW w:w="995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91"/>
        <w:gridCol w:w="6289"/>
        <w:gridCol w:w="1324"/>
        <w:gridCol w:w="1547"/>
      </w:tblGrid>
      <w:tr>
        <w:trPr/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566" w:hRule="atLeas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jc w:val="center"/>
              <w:rPr/>
            </w:pPr>
            <w:r>
              <w:rPr/>
            </w:r>
          </w:p>
        </w:tc>
        <w:tc>
          <w:tcPr>
            <w:tcW w:w="6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Бентонитовый глинопорошок марки ПБМВ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кг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16 000</w:t>
            </w:r>
          </w:p>
        </w:tc>
      </w:tr>
    </w:tbl>
    <w:p>
      <w:pPr>
        <w:pStyle w:val="Heading3"/>
        <w:ind w:left="720" w:hanging="0"/>
        <w:rPr>
          <w:lang w:val="ru-RU"/>
        </w:rPr>
      </w:pPr>
      <w:r>
        <w:rPr>
          <w:lang w:val="ru-RU"/>
        </w:rPr>
        <w:t>2.1.2. Требования к срокам поставки продукции</w:t>
      </w:r>
    </w:p>
    <w:p>
      <w:pPr>
        <w:pStyle w:val="Heading1"/>
        <w:keepLines/>
        <w:spacing w:before="240" w:after="60"/>
        <w:ind w:left="0" w:hanging="0"/>
        <w:rPr>
          <w:sz w:val="24"/>
          <w:szCs w:val="24"/>
          <w:lang w:val="ru-RU"/>
        </w:rPr>
      </w:pPr>
      <w:bookmarkStart w:id="10" w:name="_Toc75446579"/>
      <w:bookmarkStart w:id="11" w:name="_Toc51339697"/>
      <w:bookmarkStart w:id="12" w:name="_Toc50125127"/>
      <w:bookmarkStart w:id="13" w:name="_Toc50125126"/>
      <w:bookmarkEnd w:id="13"/>
      <w:r>
        <w:rPr>
          <w:sz w:val="24"/>
          <w:szCs w:val="24"/>
          <w:lang w:val="ru-RU"/>
        </w:rPr>
        <w:t>Продукция поставляется по заявкам, в соответствии со сроками Таблицы 2.2</w:t>
      </w:r>
    </w:p>
    <w:p>
      <w:pPr>
        <w:pStyle w:val="Heading1"/>
        <w:keepLines/>
        <w:spacing w:before="240" w:after="60"/>
        <w:ind w:left="0" w:hanging="0"/>
        <w:rPr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  <w:t xml:space="preserve">Таблица 2.2 </w:t>
      </w:r>
      <w:bookmarkStart w:id="14" w:name="_Hlk50465284"/>
      <w:r>
        <w:rPr>
          <w:b w:val="false"/>
          <w:sz w:val="24"/>
          <w:szCs w:val="24"/>
          <w:lang w:val="ru-RU"/>
        </w:rPr>
        <w:t xml:space="preserve">Требования по срокам </w:t>
      </w:r>
      <w:bookmarkEnd w:id="11"/>
      <w:bookmarkEnd w:id="12"/>
      <w:bookmarkEnd w:id="14"/>
      <w:r>
        <w:rPr>
          <w:b w:val="false"/>
          <w:sz w:val="24"/>
          <w:szCs w:val="24"/>
          <w:lang w:val="ru-RU"/>
        </w:rPr>
        <w:t>поставки продукции</w:t>
      </w:r>
      <w:bookmarkEnd w:id="10"/>
      <w:r>
        <w:rPr>
          <w:b w:val="false"/>
          <w:sz w:val="24"/>
          <w:szCs w:val="24"/>
          <w:lang w:val="ru-RU"/>
        </w:rPr>
        <w:t xml:space="preserve"> </w:t>
      </w:r>
    </w:p>
    <w:tbl>
      <w:tblPr>
        <w:tblW w:w="1034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7"/>
        <w:gridCol w:w="4254"/>
        <w:gridCol w:w="2693"/>
        <w:gridCol w:w="2407"/>
      </w:tblGrid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заявки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734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360" w:hanging="0"/>
              <w:rPr/>
            </w:pPr>
            <w:r>
              <w:rPr/>
              <w:t>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Бентонитовый глинопорошок марки ПБМВ – </w:t>
            </w:r>
            <w:r>
              <w:rPr>
                <w:b/>
                <w:sz w:val="24"/>
                <w:szCs w:val="24"/>
                <w:shd w:fill="auto" w:val="clear"/>
              </w:rPr>
              <w:t>4000 кг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 даты подписания договора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10.09.2026 г.</w:t>
            </w:r>
          </w:p>
        </w:tc>
      </w:tr>
      <w:tr>
        <w:trPr>
          <w:trHeight w:val="734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360" w:hanging="0"/>
              <w:rPr/>
            </w:pPr>
            <w:r>
              <w:rPr/>
              <w:t>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Бентонитовый глинопорошок марки ПБМВ – </w:t>
            </w:r>
            <w:r>
              <w:rPr>
                <w:b/>
                <w:sz w:val="24"/>
                <w:szCs w:val="24"/>
                <w:shd w:fill="auto" w:val="clear"/>
              </w:rPr>
              <w:t>4000 кг</w:t>
            </w:r>
          </w:p>
        </w:tc>
        <w:tc>
          <w:tcPr>
            <w:tcW w:w="269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20.09.2026 г.</w:t>
            </w:r>
          </w:p>
        </w:tc>
      </w:tr>
      <w:tr>
        <w:trPr>
          <w:trHeight w:val="734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360" w:hanging="0"/>
              <w:rPr/>
            </w:pPr>
            <w:r>
              <w:rPr/>
              <w:t>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Бентонитовый глинопорошок марки ПБМВ – </w:t>
            </w:r>
            <w:r>
              <w:rPr>
                <w:b/>
                <w:sz w:val="24"/>
                <w:szCs w:val="24"/>
                <w:shd w:fill="auto" w:val="clear"/>
              </w:rPr>
              <w:t>4000 кг</w:t>
            </w:r>
          </w:p>
        </w:tc>
        <w:tc>
          <w:tcPr>
            <w:tcW w:w="269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30.09.2026 г.</w:t>
            </w:r>
          </w:p>
        </w:tc>
      </w:tr>
      <w:tr>
        <w:trPr>
          <w:trHeight w:val="734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360" w:hanging="0"/>
              <w:rPr/>
            </w:pPr>
            <w:r>
              <w:rPr/>
              <w:t>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Бентонитовый глинопорошок марки ПБМВ – </w:t>
            </w:r>
            <w:r>
              <w:rPr>
                <w:b/>
                <w:sz w:val="24"/>
                <w:szCs w:val="24"/>
                <w:shd w:fill="auto" w:val="clear"/>
              </w:rPr>
              <w:t>4000 кг</w:t>
            </w:r>
          </w:p>
        </w:tc>
        <w:tc>
          <w:tcPr>
            <w:tcW w:w="26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10.10.2026 г.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851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0"/>
          <w:numId w:val="0"/>
        </w:numPr>
        <w:ind w:left="425" w:hanging="0"/>
        <w:rPr>
          <w:lang w:val="ru-RU"/>
        </w:rPr>
      </w:pPr>
      <w:r>
        <w:rPr>
          <w:lang w:val="ru-RU"/>
        </w:rPr>
        <w:t>2.3 Требования к качеству продукции</w:t>
      </w:r>
    </w:p>
    <w:p>
      <w:pPr>
        <w:pStyle w:val="Heading1"/>
        <w:keepLines/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bookmarkStart w:id="15" w:name="_Toc75446582"/>
      <w:r>
        <w:rPr>
          <w:b w:val="false"/>
          <w:sz w:val="24"/>
          <w:szCs w:val="24"/>
          <w:lang w:val="ru-RU"/>
        </w:rPr>
        <w:t>Таблица 2.3. Требования к продукции</w:t>
      </w:r>
      <w:bookmarkEnd w:id="15"/>
      <w:r>
        <w:rPr>
          <w:b w:val="false"/>
          <w:sz w:val="24"/>
          <w:szCs w:val="24"/>
          <w:lang w:val="ru-RU"/>
        </w:rPr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Наименование продукции: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</w:rPr>
        <w:t xml:space="preserve">«ОКПД2 08.12.22.111 Поставка бентонитового глинопорошка для Вилюйской ГЭС-1,2 </w:t>
      </w:r>
    </w:p>
    <w:tbl>
      <w:tblPr>
        <w:tblStyle w:val="affff8"/>
        <w:tblW w:w="15135" w:type="dxa"/>
        <w:jc w:val="left"/>
        <w:tblInd w:w="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79"/>
        <w:gridCol w:w="3587"/>
        <w:gridCol w:w="3685"/>
        <w:gridCol w:w="2434"/>
        <w:gridCol w:w="2432"/>
        <w:gridCol w:w="2217"/>
      </w:tblGrid>
      <w:tr>
        <w:trPr/>
        <w:tc>
          <w:tcPr>
            <w:tcW w:w="77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5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продукции</w:t>
            </w:r>
          </w:p>
        </w:tc>
        <w:tc>
          <w:tcPr>
            <w:tcW w:w="368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434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64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779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34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3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77" w:hRule="atLeast"/>
        </w:trPr>
        <w:tc>
          <w:tcPr>
            <w:tcW w:w="7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5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4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432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2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14355" w:type="dxa"/>
            <w:gridSpan w:val="5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848" w:hRule="atLeast"/>
        </w:trPr>
        <w:tc>
          <w:tcPr>
            <w:tcW w:w="77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35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Бентонитовый глинопорошок марки ПБМВ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Выход глинистого раствора с вязкостью 20 мПа·с</w:t>
            </w:r>
          </w:p>
        </w:tc>
        <w:tc>
          <w:tcPr>
            <w:tcW w:w="24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14,5–15,5 м³/т</w:t>
            </w:r>
          </w:p>
        </w:tc>
        <w:tc>
          <w:tcPr>
            <w:tcW w:w="2432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в заявке согласие поставить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21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704" w:hRule="atLeast"/>
        </w:trPr>
        <w:tc>
          <w:tcPr>
            <w:tcW w:w="7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Массовая доля влаги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8–10 %</w:t>
            </w:r>
          </w:p>
        </w:tc>
        <w:tc>
          <w:tcPr>
            <w:tcW w:w="2432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829" w:hRule="atLeast"/>
        </w:trPr>
        <w:tc>
          <w:tcPr>
            <w:tcW w:w="7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Содержание свободной соды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2,0–2,5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г/100 г глинопорошка</w:t>
            </w:r>
          </w:p>
        </w:tc>
        <w:tc>
          <w:tcPr>
            <w:tcW w:w="2432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30" w:hRule="atLeast"/>
        </w:trPr>
        <w:tc>
          <w:tcPr>
            <w:tcW w:w="7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Показатель фильтрации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17–18 см³</w:t>
            </w:r>
          </w:p>
        </w:tc>
        <w:tc>
          <w:tcPr>
            <w:tcW w:w="2432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80" w:hRule="atLeast"/>
        </w:trPr>
        <w:tc>
          <w:tcPr>
            <w:tcW w:w="7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ТУ 2164-006-41219638¬8-2005</w:t>
            </w:r>
          </w:p>
        </w:tc>
        <w:tc>
          <w:tcPr>
            <w:tcW w:w="2432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14355" w:type="dxa"/>
            <w:gridSpan w:val="5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586" w:hRule="atLeast"/>
        </w:trPr>
        <w:tc>
          <w:tcPr>
            <w:tcW w:w="7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</w:t>
            </w:r>
          </w:p>
        </w:tc>
        <w:tc>
          <w:tcPr>
            <w:tcW w:w="358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10768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Российская Федерация, Республика Саха (Якутия), п.г.т. Чернышевский, Каскад Вилюйских ГЭС им. Е.Н. Батенчука</w:t>
            </w:r>
          </w:p>
        </w:tc>
      </w:tr>
      <w:tr>
        <w:trPr/>
        <w:tc>
          <w:tcPr>
            <w:tcW w:w="7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2.2</w:t>
            </w:r>
          </w:p>
        </w:tc>
        <w:tc>
          <w:tcPr>
            <w:tcW w:w="35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 продукции</w:t>
            </w:r>
          </w:p>
        </w:tc>
        <w:tc>
          <w:tcPr>
            <w:tcW w:w="1076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поставлена автотранспортом Поставщика, в герметичной таре и защищена от атмосферных осадков. Приемка продукции осуществляется только в рабочие дни с 9-00 до 11-00 и с 13-00 до 16-00.</w:t>
            </w:r>
          </w:p>
        </w:tc>
      </w:tr>
      <w:tr>
        <w:trPr>
          <w:trHeight w:val="748" w:hRule="atLeast"/>
        </w:trPr>
        <w:tc>
          <w:tcPr>
            <w:tcW w:w="7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2.3</w:t>
            </w:r>
          </w:p>
        </w:tc>
        <w:tc>
          <w:tcPr>
            <w:tcW w:w="35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</w:t>
            </w:r>
          </w:p>
        </w:tc>
        <w:tc>
          <w:tcPr>
            <w:tcW w:w="1076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транспорте, на котором осуществляется поставка Продукции, предоставляется Поставщиком не позднее предыдущего рабочего дня до прибытия транспорта.</w:t>
            </w:r>
          </w:p>
        </w:tc>
      </w:tr>
      <w:tr>
        <w:trPr/>
        <w:tc>
          <w:tcPr>
            <w:tcW w:w="7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14355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3.1</w:t>
            </w:r>
          </w:p>
        </w:tc>
        <w:tc>
          <w:tcPr>
            <w:tcW w:w="358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Сроки гарантии</w:t>
            </w:r>
          </w:p>
        </w:tc>
        <w:tc>
          <w:tcPr>
            <w:tcW w:w="10768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(двенадцати) месяцев, исчисляемый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14355" w:type="dxa"/>
            <w:gridSpan w:val="5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</w:t>
            </w:r>
          </w:p>
        </w:tc>
        <w:tc>
          <w:tcPr>
            <w:tcW w:w="358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 продукцией</w:t>
            </w:r>
          </w:p>
        </w:tc>
        <w:tc>
          <w:tcPr>
            <w:tcW w:w="10768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ней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Сертификат качества в 1 экз.;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Технический паспорт на русском языке в 1 экз.;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Инструкция по эксплуатации (монтажу и т.п.) на русском языке в 1 экз.;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Упаковочный лист на Продукцию (каждую партию отгруженной Продукции) в 1 экз.;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Сертификат о происхождении Продукции в 1 экз.;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Лицензии и т.п.) в зависимости от номенклатуры поставляемой Продукции;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Обязательные первичные документы: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Товарно-транспортную накладную формы № 1-Т (для учета товарно-материальных ценностей и расчетов за их перевозки) или Железнодорожную накладную (форма № ГУ-27) в 1 экз. или Транспортную накладную ((для учета товарно-материальных ценностей и расчетов за их перевозки) по форме согласно Приложению 4 к Правилам перевозки грузов автомобильным транспортом (в ред. Постановления Правительства РФ от 21.12.2020 № 2200);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  <w:tab w:val="left" w:pos="1134" w:leader="none"/>
                <w:tab w:val="left" w:pos="1276" w:leader="none"/>
              </w:tabs>
              <w:suppressAutoHyphens w:val="true"/>
              <w:spacing w:before="0" w:after="120"/>
              <w:ind w:left="0" w:firstLine="567"/>
              <w:jc w:val="both"/>
              <w:rPr>
                <w:sz w:val="24"/>
                <w:szCs w:val="24"/>
              </w:rPr>
            </w:pPr>
            <w:bookmarkStart w:id="16" w:name="_GoBack"/>
            <w:bookmarkEnd w:id="16"/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Товарную накладную по форме ТОРГ-12 или Универсальный передаточный документ (УПД) с обязательным указанием номера и даты Заявки-Спецификации в 2 экз.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355" w:type="dxa"/>
            <w:gridSpan w:val="5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</w:t>
            </w:r>
          </w:p>
        </w:tc>
        <w:tc>
          <w:tcPr>
            <w:tcW w:w="14355" w:type="dxa"/>
            <w:gridSpan w:val="5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не бывшей в употреблении, не должна быть восстановленной, не позднее 2026 года выпуска.</w:t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5.2</w:t>
            </w:r>
          </w:p>
        </w:tc>
        <w:tc>
          <w:tcPr>
            <w:tcW w:w="14355" w:type="dxa"/>
            <w:gridSpan w:val="5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соответствовать обязательным требованиям, установленным нормативными документами, действующими в РФ.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соответствовать техническим параметрам, стандартам и требованиям для данной продукции, в том числе общеизвестным техническим параметрам, а также соответствовать стандартам и требованиям для данной продукции, установленных нормативными регламентами и законодательством Российской Федерации. В случае наличия особенностей производства продукции, особенности технических параметров продукции или отступления от стандартов Поставщик обязан согласовывать это с Покупателем.</w:t>
            </w:r>
          </w:p>
        </w:tc>
      </w:tr>
    </w:tbl>
    <w:p>
      <w:pPr>
        <w:pStyle w:val="Heading1"/>
        <w:spacing w:before="120" w:after="60"/>
        <w:ind w:left="0" w:right="114" w:hanging="0"/>
        <w:rPr>
          <w:sz w:val="24"/>
          <w:szCs w:val="24"/>
          <w:lang w:val="ru-RU"/>
        </w:rPr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567" w:gutter="0" w:header="680" w:top="851" w:footer="0" w:bottom="709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785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5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05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15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0" w:hanging="1800"/>
      </w:pPr>
      <w:rPr/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94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d4b0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spacing w:before="120" w:after="60"/>
      <w:ind w:left="737" w:hanging="34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ind w:left="737" w:hanging="34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Основной текст_"/>
    <w:basedOn w:val="DefaultParagraphFont"/>
    <w:link w:val="110"/>
    <w:uiPriority w:val="99"/>
    <w:qFormat/>
    <w:locked/>
    <w:rsid w:val="00480c65"/>
    <w:rPr>
      <w:sz w:val="28"/>
      <w:szCs w:val="28"/>
      <w:shd w:fill="FFFFFF" w:val="clear"/>
    </w:rPr>
  </w:style>
  <w:style w:type="character" w:styleId="Style15" w:customStyle="1">
    <w:name w:val="Основной текст + Малые прописные"/>
    <w:basedOn w:val="Style14"/>
    <w:uiPriority w:val="99"/>
    <w:qFormat/>
    <w:rsid w:val="00480c65"/>
    <w:rPr>
      <w:rFonts w:ascii="Times New Roman" w:hAnsi="Times New Roman" w:cs="Times New Roman"/>
      <w:smallCaps/>
      <w:strike w:val="false"/>
      <w:dstrike w:val="false"/>
      <w:color w:val="000000"/>
      <w:spacing w:val="0"/>
      <w:w w:val="100"/>
      <w:sz w:val="28"/>
      <w:szCs w:val="28"/>
      <w:u w:val="none"/>
      <w:effect w:val="none"/>
      <w:shd w:fill="FFFFFF" w:val="clear"/>
      <w:lang w:val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5928d1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10" w:customStyle="1">
    <w:name w:val="Основной текст1"/>
    <w:basedOn w:val="Normal"/>
    <w:link w:val="Style14"/>
    <w:uiPriority w:val="99"/>
    <w:qFormat/>
    <w:rsid w:val="00480c65"/>
    <w:pPr>
      <w:widowControl w:val="false"/>
      <w:shd w:val="clear" w:color="auto" w:fill="FFFFFF"/>
      <w:spacing w:lineRule="exact" w:line="302"/>
    </w:pPr>
    <w:rPr/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424EA-AA07-4CA2-BA94-3FFA06826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6391</TotalTime>
  <Application>AlterOffice/2025.3.1.0$Linux_X86_64 LibreOffice_project/431cd1b79110582f53535c95ed0a2449aadc8bf9</Application>
  <AppVersion>15.0000</AppVersion>
  <Pages>5</Pages>
  <Words>725</Words>
  <Characters>4967</Characters>
  <CharactersWithSpaces>5631</CharactersWithSpaces>
  <Paragraphs>122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2021-04-05T15:04:00Z</dcterms:created>
  <dc:creator>Мигунов</dc:creator>
  <dc:description/>
  <dc:language>ru-RU</dc:language>
  <cp:lastModifiedBy>porkhaevayv@corp.gidroogk.com</cp:lastModifiedBy>
  <cp:lastPrinted>2024-11-07T07:04:00Z</cp:lastPrinted>
  <dcterms:modified xsi:type="dcterms:W3CDTF">2026-08-24T10:50:48Z</dcterms:modified>
  <cp:revision>455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