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numPr>
          <w:ilvl w:val="0"/>
          <w:numId w:val="0"/>
        </w:numPr>
        <w:ind w:left="0" w:firstLine="567"/>
        <w:jc w:val="right"/>
        <w:outlineLvl w:val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spacing w:lineRule="auto" w:line="36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spacing w:lineRule="auto" w:line="36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360"/>
        <w:ind w:left="0" w:hanging="0"/>
        <w:jc w:val="center"/>
        <w:outlineLvl w:val="0"/>
        <w:rPr/>
      </w:pPr>
      <w:bookmarkStart w:id="0" w:name="__RefHeading___Toc7015_899461045"/>
      <w:bookmarkEnd w:id="0"/>
      <w:r>
        <w:rPr>
          <w:b/>
          <w:sz w:val="24"/>
          <w:szCs w:val="24"/>
        </w:rPr>
        <w:t>ТЕХНИЧЕСКИЕ ТРЕБОВАНИЯ</w:t>
      </w:r>
    </w:p>
    <w:p>
      <w:pPr>
        <w:pStyle w:val="Normal"/>
        <w:spacing w:lineRule="auto" w:line="360"/>
        <w:jc w:val="center"/>
        <w:rPr>
          <w:color w:val="000000"/>
          <w:sz w:val="18"/>
        </w:rPr>
      </w:pPr>
      <w:r>
        <w:rPr>
          <w:b/>
          <w:color w:val="000000"/>
          <w:sz w:val="24"/>
          <w:szCs w:val="24"/>
        </w:rPr>
        <w:t>ОКПД2 24.10.71  Поставка металлопроката на Колымскую ГЭС для нужд Башкирского филиала.</w:t>
      </w:r>
    </w:p>
    <w:p>
      <w:pPr>
        <w:pStyle w:val="Normal"/>
        <w:spacing w:lineRule="auto" w:line="360"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jc w:val="center"/>
        <w:rPr>
          <w:color w:val="000000"/>
          <w:sz w:val="18"/>
        </w:rPr>
      </w:pPr>
      <w:r>
        <w:rPr>
          <w:color w:val="000000"/>
          <w:sz w:val="18"/>
        </w:rPr>
      </w:r>
    </w:p>
    <w:p>
      <w:pPr>
        <w:pStyle w:val="Normal"/>
        <w:spacing w:lineRule="auto" w:line="360"/>
        <w:jc w:val="center"/>
        <w:rPr/>
      </w:pPr>
      <w:r>
        <w:rPr/>
      </w:r>
    </w:p>
    <w:p>
      <w:pPr>
        <w:pStyle w:val="Normal"/>
        <w:spacing w:lineRule="auto" w:line="36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numPr>
          <w:ilvl w:val="0"/>
        </w:numPr>
        <w:ind w:left="284" w:hanging="0"/>
        <w:jc w:val="center"/>
        <w:rPr>
          <w:b/>
          <w:color w:val="000000"/>
          <w:shd w:fill="FFFFFF" w:val="clear"/>
        </w:rPr>
      </w:pPr>
      <w:r>
        <w:rPr>
          <w:b/>
          <w:color w:val="000000"/>
          <w:shd w:fill="FFFFFF" w:val="clear"/>
        </w:rPr>
      </w:r>
      <w:bookmarkStart w:id="1" w:name="__RefHeading___Toc12781_1771583711"/>
      <w:bookmarkStart w:id="2" w:name="__RefHeading___Toc12781_1771583711"/>
      <w:bookmarkEnd w:id="2"/>
    </w:p>
    <w:p>
      <w:pPr>
        <w:pStyle w:val="Normal"/>
        <w:ind w:left="284" w:hang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numPr>
              <w:ilvl w:val="0"/>
            </w:numPr>
            <w:ind w:left="284" w:hanging="0"/>
            <w:rPr>
              <w:rFonts w:ascii="Times New Roman" w:hAnsi="Times New Roman"/>
              <w:color w:val="000000"/>
            </w:rPr>
          </w:pPr>
          <w:r>
            <w:rPr>
              <w:rFonts w:ascii="Times New Roman" w:hAnsi="Times New Roman"/>
              <w:color w:val="000000"/>
            </w:rPr>
            <w:t>Содержание</w:t>
          </w:r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r>
            <w:fldChar w:fldCharType="begin"/>
          </w:r>
          <w:r>
            <w:rPr>
              <w:rStyle w:val="Style16"/>
            </w:rPr>
            <w:instrText xml:space="preserve"> TOC \f \o "1-9" \h</w:instrText>
          </w:r>
          <w:r>
            <w:rPr>
              <w:rStyle w:val="Style16"/>
            </w:rPr>
            <w:fldChar w:fldCharType="separate"/>
          </w:r>
          <w:hyperlink w:anchor="__RefHeading___Toc7015_899461045">
            <w:r>
              <w:rPr>
                <w:rStyle w:val="Style16"/>
              </w:rPr>
              <w:t>ТЕХНИЧЕСКИЕ ТРЕБОВАНИЯ</w:t>
              <w:tab/>
              <w:t>1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7017_899461045">
            <w:r>
              <w:rPr>
                <w:rStyle w:val="Style16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019_899461045">
            <w:r>
              <w:rPr>
                <w:rStyle w:val="Style16"/>
              </w:rPr>
              <w:t>1.1.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021_899461045">
            <w:r>
              <w:rPr>
                <w:rStyle w:val="Style16"/>
              </w:rPr>
              <w:t>1.2.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8323_2243388018">
            <w:r>
              <w:rPr>
                <w:rStyle w:val="Style16"/>
              </w:rPr>
              <w:t>1.3. Цель использования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8325_2243388018">
            <w:r>
              <w:rPr>
                <w:rStyle w:val="Style16"/>
              </w:rPr>
              <w:t>2. Требования к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023_899461045">
            <w:r>
              <w:rPr>
                <w:rStyle w:val="Style16"/>
              </w:rPr>
              <w:t>2.1. Требования к объемам и срокам поставки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7025_899461045">
            <w:r>
              <w:rPr>
                <w:rStyle w:val="Style16"/>
              </w:rPr>
              <w:t>2.1.1. Перечень и объем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7027_899461045">
            <w:r>
              <w:rPr>
                <w:rStyle w:val="Style16"/>
              </w:rPr>
              <w:t>Таблица 1.1 Перечень и объем закупаемой продукции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7029_899461045">
            <w:r>
              <w:rPr>
                <w:rStyle w:val="Style16"/>
              </w:rPr>
              <w:t>2.1.2. Требования к срокам поставки продукции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7031_899461045">
            <w:r>
              <w:rPr>
                <w:rStyle w:val="Style16"/>
              </w:rPr>
              <w:t>Таблица 2.1 Требования по срокам поставки продукции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033_899461045">
            <w:r>
              <w:rPr>
                <w:rStyle w:val="Style16"/>
              </w:rPr>
              <w:t>2.2. Требования к качеству продукции</w:t>
              <w:tab/>
              <w:t>5</w:t>
            </w:r>
          </w:hyperlink>
        </w:p>
      </w:sdtContent>
    </w:sdt>
    <w:p>
      <w:pPr>
        <w:pStyle w:val="TOC1"/>
        <w:tabs>
          <w:tab w:val="clear" w:pos="708"/>
          <w:tab w:val="right" w:pos="9921" w:leader="dot"/>
        </w:tabs>
        <w:rPr/>
      </w:pPr>
      <w:r>
        <w:rPr/>
        <w:t xml:space="preserve">Таблица 3 </w:t>
      </w:r>
      <w:r>
        <w:rPr>
          <w:b/>
          <w:sz w:val="24"/>
          <w:szCs w:val="24"/>
        </w:rPr>
        <w:t>Требования к продукции</w:t>
      </w:r>
      <w:hyperlink w:anchor="__RefHeading___Toc7035_899461045">
        <w:r>
          <w:rPr>
            <w:rStyle w:val="Style16"/>
          </w:rPr>
          <w:tab/>
        </w:r>
      </w:hyperlink>
      <w:r>
        <w:rPr/>
        <w:t>5</w:t>
      </w:r>
      <w:r>
        <w:rPr/>
        <w:fldChar w:fldCharType="end"/>
      </w:r>
    </w:p>
    <w:p>
      <w:pPr>
        <w:pStyle w:val="TOC1"/>
        <w:tabs>
          <w:tab w:val="clear" w:pos="708"/>
          <w:tab w:val="right" w:pos="9921" w:leader="dot"/>
        </w:tabs>
        <w:rPr/>
      </w:pPr>
      <w:r>
        <w:rPr>
          <w:rStyle w:val="Style16"/>
        </w:rPr>
        <w:t>3</w:t>
      </w:r>
      <w:hyperlink w:anchor="__RefHeading___Toc7035_899461045">
        <w:r>
          <w:rPr>
            <w:rStyle w:val="Style16"/>
          </w:rPr>
          <w:t>. Приложение</w:t>
          <w:tab/>
        </w:r>
      </w:hyperlink>
      <w:r>
        <w:rPr>
          <w:rStyle w:val="Style16"/>
        </w:rPr>
        <w:t>9</w:t>
      </w:r>
      <w:r>
        <w:br w:type="page"/>
      </w:r>
    </w:p>
    <w:p>
      <w:pPr>
        <w:pStyle w:val="Heading1"/>
        <w:numPr>
          <w:ilvl w:val="0"/>
          <w:numId w:val="3"/>
        </w:numPr>
        <w:ind w:left="432" w:hanging="432"/>
        <w:rPr>
          <w:b/>
          <w:sz w:val="24"/>
          <w:szCs w:val="24"/>
        </w:rPr>
      </w:pPr>
      <w:bookmarkStart w:id="3" w:name="__RefHeading___Toc7017_899461045"/>
      <w:bookmarkStart w:id="4" w:name="_Toc75446568"/>
      <w:bookmarkStart w:id="5" w:name="_Toc46743506"/>
      <w:bookmarkEnd w:id="3"/>
      <w:r>
        <w:rPr>
          <w:b/>
          <w:sz w:val="24"/>
          <w:szCs w:val="24"/>
        </w:rPr>
        <w:t>Общие сведения</w:t>
      </w:r>
      <w:bookmarkEnd w:id="4"/>
      <w:bookmarkEnd w:id="5"/>
    </w:p>
    <w:p>
      <w:pPr>
        <w:pStyle w:val="Heading4"/>
        <w:numPr>
          <w:ilvl w:val="1"/>
          <w:numId w:val="3"/>
        </w:numPr>
        <w:rPr>
          <w:b/>
        </w:rPr>
      </w:pPr>
      <w:bookmarkStart w:id="6" w:name="__RefHeading___Toc7019_899461045"/>
      <w:bookmarkEnd w:id="6"/>
      <w:r>
        <w:rPr>
          <w:b/>
        </w:rPr>
        <w:t>Обозначения и сокращения</w:t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СТО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стандарт организации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технические требования</w:t>
            </w:r>
          </w:p>
        </w:tc>
      </w:tr>
    </w:tbl>
    <w:p>
      <w:pPr>
        <w:pStyle w:val="Heading4"/>
        <w:numPr>
          <w:ilvl w:val="1"/>
          <w:numId w:val="3"/>
        </w:numPr>
        <w:rPr>
          <w:b/>
        </w:rPr>
      </w:pPr>
      <w:bookmarkStart w:id="7" w:name="__RefHeading___Toc7021_899461045"/>
      <w:bookmarkEnd w:id="7"/>
      <w:r>
        <w:rPr>
          <w:b/>
        </w:rPr>
        <w:t>Наименование закупаемой продукции</w:t>
      </w:r>
    </w:p>
    <w:p>
      <w:pPr>
        <w:pStyle w:val="Normal"/>
        <w:jc w:val="both"/>
        <w:rPr/>
      </w:pPr>
      <w:r>
        <w:rPr>
          <w:color w:val="000000"/>
          <w:sz w:val="24"/>
          <w:szCs w:val="24"/>
        </w:rPr>
        <w:t>ОКПД2 24.10.71 Поставка металлопроката на Колымскую ГЭС для нужд Башкирского филиала.</w:t>
      </w:r>
    </w:p>
    <w:p>
      <w:pPr>
        <w:pStyle w:val="Heading4"/>
        <w:numPr>
          <w:ilvl w:val="1"/>
          <w:numId w:val="3"/>
        </w:numPr>
        <w:rPr/>
      </w:pPr>
      <w:bookmarkStart w:id="8" w:name="__RefHeading___Toc8323_2243388018"/>
      <w:bookmarkEnd w:id="8"/>
      <w:r>
        <w:rPr>
          <w:b/>
        </w:rPr>
        <w:t>Цель использования закупаемой продукции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360"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Закупаемая продукция предназначена для Выполнение монтажных работ в части инженерно-технических средств защиты, включая поставку оборудования и материалов по 3-м системам (системе контроля и управление доступом; системе охранной, телевизионной; инженерно-технических средств защиты) комплексной системы безопасности Колымской ГЭС в рамках инвестиционного проекта у взаимозависимого лица по лоту №0012-ТПиР БЕЗОП-2026-КЭ-КГЭС, подписанного между ПАО «Колымаэнерго» и АО «Гидроремонт-ВКК».</w:t>
      </w:r>
    </w:p>
    <w:p>
      <w:pPr>
        <w:pStyle w:val="Heading1"/>
        <w:numPr>
          <w:ilvl w:val="0"/>
          <w:numId w:val="3"/>
        </w:numPr>
        <w:spacing w:before="0" w:after="0"/>
        <w:ind w:left="709" w:hanging="709"/>
        <w:rPr>
          <w:b/>
          <w:bCs/>
        </w:rPr>
      </w:pPr>
      <w:bookmarkStart w:id="9" w:name="__RefHeading___Toc8325_2243388018"/>
      <w:bookmarkStart w:id="10" w:name="_Toc75446573"/>
      <w:bookmarkStart w:id="11" w:name="_Toc124846885"/>
      <w:bookmarkStart w:id="12" w:name="_Toc51339693"/>
      <w:bookmarkStart w:id="13" w:name="_Toc46743510_Копия_1"/>
      <w:bookmarkStart w:id="14" w:name="_Toc50125126"/>
      <w:bookmarkEnd w:id="9"/>
      <w:bookmarkEnd w:id="13"/>
      <w:bookmarkEnd w:id="14"/>
      <w:r>
        <w:rPr>
          <w:b/>
          <w:bCs/>
          <w:sz w:val="24"/>
          <w:szCs w:val="24"/>
        </w:rPr>
        <w:t>Требования к продукции</w:t>
      </w:r>
      <w:bookmarkEnd w:id="10"/>
      <w:bookmarkEnd w:id="11"/>
      <w:bookmarkEnd w:id="12"/>
    </w:p>
    <w:p>
      <w:pPr>
        <w:pStyle w:val="Heading4"/>
        <w:numPr>
          <w:ilvl w:val="1"/>
          <w:numId w:val="3"/>
        </w:numPr>
        <w:rPr>
          <w:b/>
        </w:rPr>
      </w:pPr>
      <w:bookmarkStart w:id="15" w:name="__RefHeading___Toc7023_899461045"/>
      <w:bookmarkStart w:id="16" w:name="_Toc75446574"/>
      <w:bookmarkEnd w:id="15"/>
      <w:r>
        <w:rPr>
          <w:b/>
        </w:rPr>
        <w:t>Требования к объемам и срокам поставки</w:t>
      </w:r>
      <w:bookmarkEnd w:id="16"/>
    </w:p>
    <w:p>
      <w:pPr>
        <w:pStyle w:val="Heading3"/>
        <w:numPr>
          <w:ilvl w:val="2"/>
          <w:numId w:val="3"/>
        </w:numPr>
        <w:ind w:left="1224" w:hanging="504"/>
        <w:rPr>
          <w:b/>
        </w:rPr>
      </w:pPr>
      <w:bookmarkStart w:id="17" w:name="__RefHeading___Toc7025_899461045"/>
      <w:bookmarkStart w:id="18" w:name="_Toc75446575"/>
      <w:bookmarkEnd w:id="17"/>
      <w:r>
        <w:rPr>
          <w:b/>
        </w:rPr>
        <w:t>Перечень и объем закупаемой продукции</w:t>
      </w:r>
      <w:bookmarkEnd w:id="18"/>
    </w:p>
    <w:p>
      <w:pPr>
        <w:pStyle w:val="Heading1"/>
        <w:numPr>
          <w:ilvl w:val="0"/>
        </w:numPr>
        <w:ind w:left="284" w:hanging="0"/>
        <w:rPr>
          <w:b/>
          <w:sz w:val="24"/>
          <w:szCs w:val="24"/>
        </w:rPr>
      </w:pPr>
      <w:bookmarkStart w:id="19" w:name="__RefHeading___Toc7027_899461045"/>
      <w:bookmarkStart w:id="20" w:name="_Toc75446576"/>
      <w:bookmarkStart w:id="21" w:name="_Toc51339695"/>
      <w:bookmarkEnd w:id="19"/>
      <w:r>
        <w:rPr>
          <w:b/>
          <w:sz w:val="24"/>
          <w:szCs w:val="24"/>
        </w:rPr>
        <w:t xml:space="preserve">Таблица 1.1 Перечень </w:t>
      </w:r>
      <w:bookmarkEnd w:id="21"/>
      <w:r>
        <w:rPr>
          <w:b/>
          <w:sz w:val="24"/>
          <w:szCs w:val="24"/>
        </w:rPr>
        <w:t>и объем закупаемой продукции</w:t>
      </w:r>
      <w:bookmarkEnd w:id="20"/>
    </w:p>
    <w:tbl>
      <w:tblPr>
        <w:tblW w:w="10065" w:type="dxa"/>
        <w:jc w:val="lef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000" w:noHBand="0" w:noVBand="0" w:firstColumn="0" w:lastRow="0" w:lastColumn="0" w:firstRow="0"/>
      </w:tblPr>
      <w:tblGrid>
        <w:gridCol w:w="818"/>
        <w:gridCol w:w="3998"/>
        <w:gridCol w:w="1276"/>
        <w:gridCol w:w="1988"/>
        <w:gridCol w:w="1985"/>
      </w:tblGrid>
      <w:tr>
        <w:trPr>
          <w:tblHeader w:val="true"/>
          <w:trHeight w:val="454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Примечание</w:t>
            </w:r>
          </w:p>
        </w:tc>
      </w:tr>
      <w:tr>
        <w:trPr>
          <w:trHeight w:val="256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</w:t>
            </w:r>
          </w:p>
        </w:tc>
      </w:tr>
      <w:tr>
        <w:trPr>
          <w:trHeight w:val="454" w:hRule="atLeast"/>
        </w:trPr>
        <w:tc>
          <w:tcPr>
            <w:tcW w:w="1006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4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Заявка №1</w:t>
            </w:r>
          </w:p>
        </w:tc>
      </w:tr>
      <w:tr>
        <w:trPr>
          <w:trHeight w:val="454" w:hRule="atLeast"/>
        </w:trPr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340" w:hanging="22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Швеллер 16П ст3  ГОСТ 8240-97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35,568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068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340" w:hanging="22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Полоса 6х60х6000мм ст3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0,399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</w:r>
    </w:p>
    <w:p>
      <w:pPr>
        <w:pStyle w:val="Heading3"/>
        <w:numPr>
          <w:ilvl w:val="2"/>
          <w:numId w:val="3"/>
        </w:numPr>
        <w:ind w:left="1224" w:hanging="504"/>
        <w:rPr>
          <w:b/>
        </w:rPr>
      </w:pPr>
      <w:bookmarkStart w:id="22" w:name="__RefHeading___Toc7029_899461045"/>
      <w:bookmarkEnd w:id="22"/>
      <w:r>
        <w:rPr>
          <w:b/>
        </w:rPr>
        <w:t xml:space="preserve">Требования к срокам поставки продукции </w:t>
      </w:r>
    </w:p>
    <w:p>
      <w:pPr>
        <w:pStyle w:val="Heading1"/>
        <w:numPr>
          <w:ilvl w:val="0"/>
        </w:numPr>
        <w:ind w:left="142" w:hanging="0"/>
        <w:rPr>
          <w:b/>
          <w:sz w:val="24"/>
        </w:rPr>
      </w:pPr>
      <w:bookmarkStart w:id="23" w:name="__RefHeading___Toc7031_899461045"/>
      <w:bookmarkStart w:id="24" w:name="_Toc75446579"/>
      <w:bookmarkStart w:id="25" w:name="_Toc51339697"/>
      <w:bookmarkStart w:id="26" w:name="_Toc50125127"/>
      <w:bookmarkStart w:id="27" w:name="_Toc501251261"/>
      <w:bookmarkEnd w:id="23"/>
      <w:bookmarkEnd w:id="27"/>
      <w:r>
        <w:rPr>
          <w:b/>
          <w:sz w:val="24"/>
        </w:rPr>
        <w:t xml:space="preserve">Таблица 2.1 </w:t>
      </w:r>
      <w:bookmarkStart w:id="28" w:name="_Hlk50465284"/>
      <w:r>
        <w:rPr>
          <w:b/>
          <w:sz w:val="24"/>
        </w:rPr>
        <w:t xml:space="preserve">Требования по срокам </w:t>
      </w:r>
      <w:bookmarkEnd w:id="25"/>
      <w:bookmarkEnd w:id="26"/>
      <w:bookmarkEnd w:id="28"/>
      <w:r>
        <w:rPr>
          <w:b/>
          <w:sz w:val="24"/>
        </w:rPr>
        <w:t>поставки продукции</w:t>
      </w:r>
      <w:bookmarkEnd w:id="24"/>
      <w:r>
        <w:rPr>
          <w:b/>
          <w:sz w:val="24"/>
        </w:rPr>
        <w:t xml:space="preserve"> </w:t>
      </w:r>
    </w:p>
    <w:tbl>
      <w:tblPr>
        <w:tblW w:w="9826" w:type="dxa"/>
        <w:jc w:val="left"/>
        <w:tblInd w:w="2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noHBand="0" w:noVBand="0" w:firstColumn="0" w:lastRow="0" w:lastColumn="0" w:firstRow="0"/>
      </w:tblPr>
      <w:tblGrid>
        <w:gridCol w:w="395"/>
        <w:gridCol w:w="3478"/>
        <w:gridCol w:w="3871"/>
        <w:gridCol w:w="2081"/>
      </w:tblGrid>
      <w:tr>
        <w:trPr/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3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4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8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bookmarkStart w:id="29" w:name="_Toc46743510"/>
            <w:r>
              <w:rPr>
                <w:b/>
                <w:szCs w:val="22"/>
              </w:rPr>
              <w:t>6</w:t>
            </w:r>
            <w:bookmarkEnd w:id="29"/>
          </w:p>
        </w:tc>
      </w:tr>
      <w:tr>
        <w:trPr>
          <w:trHeight w:val="919" w:hRule="atLeast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113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4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ОКПД2 24.10.71 Поставка металлопроката на Колымскую ГЭС для нужд Башкирского филиала.</w:t>
            </w:r>
          </w:p>
        </w:tc>
        <w:tc>
          <w:tcPr>
            <w:tcW w:w="38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15.01.2027</w:t>
            </w:r>
          </w:p>
        </w:tc>
        <w:tc>
          <w:tcPr>
            <w:tcW w:w="2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15.05.2027</w:t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gutter="0" w:header="680" w:top="1134" w:footer="0" w:bottom="1276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>
          <w:b/>
        </w:rPr>
      </w:pPr>
      <w:bookmarkStart w:id="30" w:name="__RefHeading___Toc7033_899461045"/>
      <w:bookmarkStart w:id="31" w:name="_Toc51339698"/>
      <w:bookmarkStart w:id="32" w:name="_Toc75446581"/>
      <w:bookmarkStart w:id="33" w:name="_Toc46743511"/>
      <w:bookmarkStart w:id="34" w:name="_Toc547856221"/>
      <w:bookmarkEnd w:id="30"/>
      <w:bookmarkEnd w:id="34"/>
      <w:r>
        <w:rPr>
          <w:b/>
        </w:rPr>
        <w:t xml:space="preserve">Требования к </w:t>
      </w:r>
      <w:bookmarkEnd w:id="33"/>
      <w:r>
        <w:rPr>
          <w:b/>
        </w:rPr>
        <w:t>качеству продукции</w:t>
      </w:r>
      <w:bookmarkEnd w:id="32"/>
    </w:p>
    <w:p>
      <w:pPr>
        <w:pStyle w:val="Heading1"/>
        <w:numPr>
          <w:ilvl w:val="0"/>
        </w:numPr>
        <w:ind w:left="0" w:hanging="0"/>
        <w:rPr>
          <w:b/>
          <w:sz w:val="24"/>
          <w:szCs w:val="24"/>
        </w:rPr>
      </w:pPr>
      <w:bookmarkStart w:id="35" w:name="__RefHeading___Toc7035_899461045"/>
      <w:bookmarkStart w:id="36" w:name="_Toc75446582"/>
      <w:bookmarkEnd w:id="35"/>
      <w:r>
        <w:rPr>
          <w:b/>
          <w:sz w:val="24"/>
          <w:szCs w:val="24"/>
        </w:rPr>
        <w:t>Таблица 3. Требования к продукции</w:t>
      </w:r>
      <w:bookmarkEnd w:id="36"/>
      <w:r>
        <w:rPr>
          <w:b/>
          <w:sz w:val="24"/>
          <w:szCs w:val="24"/>
        </w:rPr>
        <w:t xml:space="preserve"> </w:t>
      </w:r>
      <w:bookmarkEnd w:id="31"/>
    </w:p>
    <w:p>
      <w:pPr>
        <w:pStyle w:val="Normal"/>
        <w:jc w:val="both"/>
        <w:rPr>
          <w:sz w:val="24"/>
          <w:szCs w:val="24"/>
        </w:rPr>
      </w:pPr>
      <w:r>
        <w:rPr>
          <w:b/>
          <w:bCs/>
          <w:iCs/>
          <w:sz w:val="24"/>
          <w:szCs w:val="24"/>
        </w:rPr>
        <w:t>Наименование продукции (позиция №1-2 Таблицы 1.1. «Перечень и объем закупаемой продукции»):</w:t>
      </w:r>
      <w:r>
        <w:rPr>
          <w:iCs/>
          <w:sz w:val="24"/>
          <w:szCs w:val="24"/>
        </w:rPr>
        <w:t xml:space="preserve"> </w:t>
      </w:r>
      <w:r>
        <w:rPr>
          <w:iCs/>
          <w:color w:val="000000"/>
          <w:sz w:val="22"/>
          <w:szCs w:val="22"/>
        </w:rPr>
        <w:t>ОКПД2 24.10.71 Поставка металлопроката на Колымскую ГЭС для нужд Башкирского филиала.</w:t>
      </w:r>
    </w:p>
    <w:tbl>
      <w:tblPr>
        <w:tblW w:w="14681" w:type="dxa"/>
        <w:jc w:val="center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000" w:noHBand="0" w:noVBand="0" w:firstColumn="0" w:lastRow="0" w:lastColumn="0" w:firstRow="0"/>
      </w:tblPr>
      <w:tblGrid>
        <w:gridCol w:w="619"/>
        <w:gridCol w:w="1768"/>
        <w:gridCol w:w="2037"/>
        <w:gridCol w:w="4820"/>
        <w:gridCol w:w="1640"/>
        <w:gridCol w:w="1753"/>
        <w:gridCol w:w="2043"/>
      </w:tblGrid>
      <w:tr>
        <w:trPr>
          <w:trHeight w:val="20" w:hRule="atLeast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продукции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3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2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Предложение участника по характеристикам и параметрам</w:t>
            </w:r>
          </w:p>
        </w:tc>
      </w:tr>
      <w:tr>
        <w:trPr>
          <w:trHeight w:val="20" w:hRule="atLeast"/>
        </w:trPr>
        <w:tc>
          <w:tcPr>
            <w:tcW w:w="6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8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1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2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4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</w:tr>
      <w:tr>
        <w:trPr>
          <w:trHeight w:val="20" w:hRule="atLeast"/>
        </w:trPr>
        <w:tc>
          <w:tcPr>
            <w:tcW w:w="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06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>
          <w:trHeight w:val="20" w:hRule="atLeast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0" w:right="-53" w:hanging="0"/>
              <w:contextualSpacing/>
              <w:jc w:val="center"/>
              <w:rPr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</w:t>
            </w:r>
          </w:p>
        </w:tc>
        <w:tc>
          <w:tcPr>
            <w:tcW w:w="8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left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Швеллер 16П ст3  ГОСТ 8240-97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0" w:right="-53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1.1.1</w:t>
            </w:r>
          </w:p>
        </w:tc>
        <w:tc>
          <w:tcPr>
            <w:tcW w:w="17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Тип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Швеллер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</w:rPr>
              <w:t>Согласие с требованием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1.1.2</w:t>
            </w:r>
          </w:p>
        </w:tc>
        <w:tc>
          <w:tcPr>
            <w:tcW w:w="17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Размер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16П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</w:rPr>
              <w:t>Согласие с требованием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</w:tr>
      <w:tr>
        <w:trPr>
          <w:trHeight w:val="594" w:hRule="atLeast"/>
        </w:trPr>
        <w:tc>
          <w:tcPr>
            <w:tcW w:w="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1.1.3</w:t>
            </w:r>
          </w:p>
        </w:tc>
        <w:tc>
          <w:tcPr>
            <w:tcW w:w="17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Марка стали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Ст3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</w:rPr>
              <w:t>Согласие с требованием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1.1.4</w:t>
            </w:r>
          </w:p>
        </w:tc>
        <w:tc>
          <w:tcPr>
            <w:tcW w:w="17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Соответствие стандарту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ГОСТ 8240-97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</w:rPr>
              <w:t>Согласие с требованием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1.1.5</w:t>
            </w:r>
          </w:p>
        </w:tc>
        <w:tc>
          <w:tcPr>
            <w:tcW w:w="17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Высота стенки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 xml:space="preserve"> </w:t>
            </w:r>
            <w:r>
              <w:rPr>
                <w:sz w:val="22"/>
                <w:szCs w:val="22"/>
                <w:shd w:fill="FFFFFF" w:val="clear"/>
              </w:rPr>
              <w:t>160 мм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</w:rPr>
              <w:t>Согласие с требованием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1.1.6</w:t>
            </w:r>
          </w:p>
        </w:tc>
        <w:tc>
          <w:tcPr>
            <w:tcW w:w="17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Ширина полки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 xml:space="preserve"> </w:t>
            </w:r>
            <w:r>
              <w:rPr>
                <w:color w:val="000000"/>
                <w:sz w:val="22"/>
                <w:szCs w:val="22"/>
                <w:shd w:fill="FFFFFF" w:val="clear"/>
              </w:rPr>
              <w:t>64 мм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</w:rPr>
              <w:t>Согласие с требованием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1.1.7</w:t>
            </w:r>
          </w:p>
        </w:tc>
        <w:tc>
          <w:tcPr>
            <w:tcW w:w="17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Толщина полки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8,4 мм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</w:rPr>
              <w:t>Согласие с требованием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1.1.8</w:t>
            </w:r>
          </w:p>
        </w:tc>
        <w:tc>
          <w:tcPr>
            <w:tcW w:w="17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Длина еденицы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Не менее 12 000 мм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</w:rPr>
              <w:t>Согласие с требованием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737" w:right="-57" w:hanging="73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1.2</w:t>
            </w:r>
          </w:p>
        </w:tc>
        <w:tc>
          <w:tcPr>
            <w:tcW w:w="8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hd w:val="clear" w:fill="FFFFFF"/>
              <w:jc w:val="left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Полоса 6х60х6000мм ст3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hd w:val="clear" w:fill="FFFFFF"/>
              <w:jc w:val="left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hd w:val="clear" w:fill="FFFFFF"/>
              <w:jc w:val="left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hd w:val="clear" w:fill="FFFFFF"/>
              <w:jc w:val="left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737" w:right="-57" w:hanging="73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1.2.1</w:t>
            </w:r>
          </w:p>
        </w:tc>
        <w:tc>
          <w:tcPr>
            <w:tcW w:w="17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Форма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Пластина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</w:rPr>
              <w:t>Согласие с требованием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360" w:right="-53" w:hanging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1.2.2</w:t>
            </w:r>
          </w:p>
        </w:tc>
        <w:tc>
          <w:tcPr>
            <w:tcW w:w="17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Марка стали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Ст3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</w:rPr>
              <w:t>Согласие с требованием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360" w:right="-53" w:hanging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1.2.3</w:t>
            </w:r>
          </w:p>
        </w:tc>
        <w:tc>
          <w:tcPr>
            <w:tcW w:w="17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Толщина стенки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мм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</w:rPr>
              <w:t>Согласие с требованием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7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1.2.4</w:t>
            </w:r>
          </w:p>
        </w:tc>
        <w:tc>
          <w:tcPr>
            <w:tcW w:w="17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Ширина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60 мм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</w:rPr>
              <w:t>Согласие с требованием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ind w:left="0" w:right="-57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1.2.5</w:t>
            </w:r>
          </w:p>
        </w:tc>
        <w:tc>
          <w:tcPr>
            <w:tcW w:w="176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Длина еденицы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 мм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</w:rPr>
              <w:t>Согласие с требованием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619" w:type="dxa"/>
            <w:tcBorders>
              <w:left w:val="single" w:sz="4" w:space="0" w:color="000000"/>
              <w:bottom w:val="outset" w:sz="2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ind w:left="0" w:right="-57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1.2.6</w:t>
            </w:r>
          </w:p>
        </w:tc>
        <w:tc>
          <w:tcPr>
            <w:tcW w:w="176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Соответствие стандарту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19903-2015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</w:rPr>
              <w:t>Согласие с требованием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ListParagraph"/>
              <w:widowControl w:val="false"/>
              <w:spacing w:before="60" w:after="60"/>
              <w:ind w:left="80" w:right="-53" w:hanging="0"/>
              <w:contextualSpacing/>
              <w:jc w:val="center"/>
              <w:rPr>
                <w:b/>
                <w:sz w:val="22"/>
                <w:szCs w:val="22"/>
                <w:lang w:eastAsia="x-none"/>
              </w:rPr>
            </w:pPr>
            <w:r>
              <w:rPr>
                <w:b/>
                <w:sz w:val="22"/>
                <w:szCs w:val="22"/>
                <w:lang w:eastAsia="x-none"/>
              </w:rPr>
              <w:t>2.</w:t>
            </w:r>
          </w:p>
        </w:tc>
        <w:tc>
          <w:tcPr>
            <w:tcW w:w="8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before="2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</w:rPr>
              <w:t>Согласие с требованием</w:t>
            </w:r>
          </w:p>
        </w:tc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2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ListParagraph"/>
              <w:widowControl w:val="false"/>
              <w:spacing w:before="60" w:after="60"/>
              <w:ind w:left="80" w:hanging="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2.1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Место поставки</w:t>
            </w:r>
          </w:p>
        </w:tc>
        <w:tc>
          <w:tcPr>
            <w:tcW w:w="6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 склада Колымской ГЭС, Ягодинский муниципальный округ, Магаданская область.</w:t>
            </w:r>
          </w:p>
        </w:tc>
        <w:tc>
          <w:tcPr>
            <w:tcW w:w="1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7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ListParagraph"/>
              <w:widowControl w:val="false"/>
              <w:spacing w:before="60" w:after="60"/>
              <w:ind w:left="80" w:hanging="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2.2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Поставка</w:t>
            </w:r>
          </w:p>
        </w:tc>
        <w:tc>
          <w:tcPr>
            <w:tcW w:w="6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Web"/>
              <w:widowControl w:val="false"/>
              <w:spacing w:lineRule="auto" w:line="276"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Поставка производится в рабочие дни с 8-00 до 12-00 и с 13-00 до 16-00 (по местному времени), в пятницу с 8-00 до 12-00 и с 13-00 до 15-00 (по местному времени).</w:t>
            </w:r>
          </w:p>
          <w:p>
            <w:pPr>
              <w:pStyle w:val="NormalWeb"/>
              <w:widowControl w:val="false"/>
              <w:spacing w:lineRule="auto" w:line="276"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Поставка товара осуществляется по заявкам транспортом и силами Поставщика.</w:t>
            </w:r>
          </w:p>
          <w:p>
            <w:pPr>
              <w:pStyle w:val="NormalWeb"/>
              <w:widowControl w:val="false"/>
              <w:spacing w:lineRule="auto" w:line="276"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Упаковка должна обеспечивать сохранность товара при погрузочно-разгрузочных работах и транспортировке к конечному месту поставки. Поставка Товаров должна быть выполнена с надлежащим качеством и в установленные Договором сроки.</w:t>
            </w:r>
          </w:p>
        </w:tc>
        <w:tc>
          <w:tcPr>
            <w:tcW w:w="1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Web"/>
              <w:widowControl w:val="false"/>
              <w:spacing w:lineRule="auto" w:line="276"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7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Web"/>
              <w:widowControl w:val="false"/>
              <w:spacing w:lineRule="auto" w:line="276"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Web"/>
              <w:widowControl w:val="false"/>
              <w:spacing w:lineRule="auto" w:line="276"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61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80" w:hanging="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2.3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Приемка</w:t>
            </w:r>
          </w:p>
        </w:tc>
        <w:tc>
          <w:tcPr>
            <w:tcW w:w="6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Соответствие продукции и представленных документов договору и техническим требованиям.</w:t>
            </w:r>
          </w:p>
        </w:tc>
        <w:tc>
          <w:tcPr>
            <w:tcW w:w="1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7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eastAsia="x-none"/>
              </w:rPr>
              <w:t>3.</w:t>
            </w:r>
          </w:p>
        </w:tc>
        <w:tc>
          <w:tcPr>
            <w:tcW w:w="86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7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818" w:hRule="atLeast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3.1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Гарантия, не менее</w:t>
            </w:r>
          </w:p>
        </w:tc>
        <w:tc>
          <w:tcPr>
            <w:tcW w:w="685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12 месяцев</w:t>
            </w:r>
          </w:p>
          <w:p>
            <w:pPr>
              <w:pStyle w:val="Normal"/>
              <w:widowControl w:val="false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Исчисляется с даты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  <w:tc>
          <w:tcPr>
            <w:tcW w:w="1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</w:r>
          </w:p>
        </w:tc>
        <w:tc>
          <w:tcPr>
            <w:tcW w:w="17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</w:r>
          </w:p>
        </w:tc>
        <w:tc>
          <w:tcPr>
            <w:tcW w:w="2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</w:r>
          </w:p>
        </w:tc>
      </w:tr>
      <w:tr>
        <w:trPr>
          <w:trHeight w:val="20" w:hRule="atLeast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4.</w:t>
            </w:r>
          </w:p>
        </w:tc>
        <w:tc>
          <w:tcPr>
            <w:tcW w:w="86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7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4.1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Документы о качестве продукции на русском языке</w:t>
            </w:r>
          </w:p>
        </w:tc>
        <w:tc>
          <w:tcPr>
            <w:tcW w:w="685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0" w:leader="none"/>
                <w:tab w:val="left" w:pos="900" w:leader="none"/>
                <w:tab w:val="left" w:pos="1134" w:leader="none"/>
                <w:tab w:val="left" w:pos="1276" w:leader="none"/>
              </w:tabs>
              <w:ind w:left="0" w:hanging="0"/>
              <w:jc w:val="both"/>
              <w:rPr/>
            </w:pPr>
            <w:r>
              <w:rPr>
                <w:sz w:val="24"/>
                <w:szCs w:val="24"/>
              </w:rPr>
              <w:t>1. Сертификат качества в 2 экз.;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0" w:leader="none"/>
                <w:tab w:val="left" w:pos="900" w:leader="none"/>
                <w:tab w:val="left" w:pos="1134" w:leader="none"/>
                <w:tab w:val="left" w:pos="1276" w:leader="none"/>
              </w:tabs>
              <w:ind w:left="0" w:hanging="0"/>
              <w:jc w:val="both"/>
              <w:rPr/>
            </w:pPr>
            <w:r>
              <w:rPr>
                <w:sz w:val="24"/>
                <w:szCs w:val="24"/>
              </w:rPr>
              <w:t>2. Технический паспорт на русском языке в 2 экз.;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0" w:leader="none"/>
                <w:tab w:val="left" w:pos="900" w:leader="none"/>
                <w:tab w:val="left" w:pos="1134" w:leader="none"/>
                <w:tab w:val="left" w:pos="1276" w:leader="none"/>
              </w:tabs>
              <w:ind w:left="0" w:hanging="0"/>
              <w:jc w:val="both"/>
              <w:rPr/>
            </w:pPr>
            <w:r>
              <w:rPr>
                <w:color w:val="000000"/>
                <w:sz w:val="24"/>
                <w:szCs w:val="24"/>
                <w:lang w:eastAsia="x-none"/>
              </w:rPr>
              <w:t>3. 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Лицензии и т.п.) в зависимости от номенклатуры поставляемой Продукции;</w:t>
            </w:r>
          </w:p>
        </w:tc>
        <w:tc>
          <w:tcPr>
            <w:tcW w:w="1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0" w:leader="none"/>
                <w:tab w:val="left" w:pos="900" w:leader="none"/>
                <w:tab w:val="left" w:pos="1134" w:leader="none"/>
                <w:tab w:val="left" w:pos="1276" w:leader="none"/>
              </w:tabs>
              <w:ind w:left="0" w:hanging="0"/>
              <w:jc w:val="both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0" w:leader="none"/>
                <w:tab w:val="left" w:pos="900" w:leader="none"/>
                <w:tab w:val="left" w:pos="1134" w:leader="none"/>
                <w:tab w:val="left" w:pos="1276" w:leader="none"/>
              </w:tabs>
              <w:ind w:left="0" w:hanging="0"/>
              <w:jc w:val="both"/>
              <w:rPr/>
            </w:pPr>
            <w:r>
              <w:rPr/>
            </w:r>
          </w:p>
        </w:tc>
        <w:tc>
          <w:tcPr>
            <w:tcW w:w="2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0" w:leader="none"/>
                <w:tab w:val="left" w:pos="900" w:leader="none"/>
                <w:tab w:val="left" w:pos="1134" w:leader="none"/>
                <w:tab w:val="left" w:pos="1276" w:leader="none"/>
              </w:tabs>
              <w:ind w:left="0" w:hanging="0"/>
              <w:jc w:val="both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/>
            </w:pPr>
            <w:r>
              <w:rPr>
                <w:b/>
                <w:lang w:eastAsia="x-none"/>
              </w:rPr>
              <w:t>5.</w:t>
            </w:r>
          </w:p>
        </w:tc>
        <w:tc>
          <w:tcPr>
            <w:tcW w:w="8625" w:type="dxa"/>
            <w:gridSpan w:val="3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1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/>
            </w:pPr>
            <w:r>
              <w:rPr>
                <w:lang w:eastAsia="x-none"/>
              </w:rPr>
              <w:t>5.1</w:t>
            </w:r>
          </w:p>
        </w:tc>
        <w:tc>
          <w:tcPr>
            <w:tcW w:w="8625" w:type="dxa"/>
            <w:gridSpan w:val="3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новой, ранее не использовавшейся</w:t>
            </w:r>
          </w:p>
        </w:tc>
        <w:tc>
          <w:tcPr>
            <w:tcW w:w="1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/>
            </w:pPr>
            <w:r>
              <w:rPr>
                <w:lang w:eastAsia="x-none"/>
              </w:rPr>
              <w:t>5.2</w:t>
            </w:r>
          </w:p>
        </w:tc>
        <w:tc>
          <w:tcPr>
            <w:tcW w:w="8625" w:type="dxa"/>
            <w:gridSpan w:val="3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документа-ми, выполнение требований которых является условием выполнения гарантийных обязательств производителя.</w:t>
            </w:r>
          </w:p>
        </w:tc>
        <w:tc>
          <w:tcPr>
            <w:tcW w:w="1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Heading4"/>
        <w:numPr>
          <w:ilvl w:val="0"/>
        </w:numPr>
        <w:ind w:left="0" w:hanging="0"/>
        <w:rPr>
          <w:b/>
          <w:shd w:fill="FFFFFF" w:val="clear"/>
        </w:rPr>
      </w:pPr>
      <w:r>
        <w:rPr>
          <w:b/>
          <w:shd w:fill="FFFFFF" w:val="clear"/>
        </w:rPr>
      </w:r>
    </w:p>
    <w:p>
      <w:pPr>
        <w:pStyle w:val="Heading4"/>
        <w:numPr>
          <w:ilvl w:val="0"/>
        </w:numPr>
        <w:ind w:left="0" w:hanging="0"/>
        <w:rPr>
          <w:b/>
          <w:shd w:fill="FFFFFF" w:val="clear"/>
        </w:rPr>
      </w:pPr>
      <w:bookmarkStart w:id="37" w:name="__RefHeading___Toc12797_1771583711"/>
      <w:bookmarkEnd w:id="37"/>
      <w:r>
        <w:rPr>
          <w:b/>
          <w:shd w:fill="FFFFFF" w:val="clear"/>
        </w:rPr>
        <w:t xml:space="preserve">3. </w:t>
      </w:r>
      <w:r>
        <w:rPr>
          <w:rFonts w:eastAsia="Times New Roman"/>
          <w:b/>
          <w:shd w:fill="FFFFFF" w:val="clear"/>
          <w:lang w:eastAsia="ru-RU"/>
        </w:rPr>
        <w:t xml:space="preserve">Требования </w:t>
      </w:r>
      <w:r>
        <w:rPr>
          <w:b/>
          <w:shd w:fill="FFFFFF" w:val="clear"/>
        </w:rPr>
        <w:t>к документации по ценообразованию на этапе закупки</w:t>
      </w:r>
    </w:p>
    <w:p>
      <w:pPr>
        <w:pStyle w:val="Normal"/>
        <w:spacing w:before="0" w:after="120"/>
        <w:contextualSpacing/>
        <w:jc w:val="both"/>
        <w:rPr>
          <w:shd w:fill="FFFFFF" w:val="clear"/>
        </w:rPr>
      </w:pPr>
      <w:r>
        <w:rPr>
          <w:sz w:val="24"/>
          <w:szCs w:val="24"/>
          <w:shd w:fill="FFFFFF" w:val="clear"/>
          <w:lang w:eastAsia="x-none"/>
        </w:rPr>
        <w:t xml:space="preserve">3.1. В обоснование стоимости своей заявки Участник предоставляет Коммерческое предложение по форме </w:t>
      </w:r>
      <w:bookmarkStart w:id="38" w:name="_Hlk88325985"/>
      <w:r>
        <w:rPr>
          <w:sz w:val="24"/>
          <w:szCs w:val="24"/>
          <w:shd w:fill="FFFFFF" w:val="clear"/>
          <w:lang w:eastAsia="x-none"/>
        </w:rPr>
        <w:t>(с учетом прилагаемой к ней инструкции по заполнению)</w:t>
      </w:r>
      <w:bookmarkEnd w:id="38"/>
      <w:r>
        <w:rPr>
          <w:sz w:val="24"/>
          <w:szCs w:val="24"/>
          <w:shd w:fill="FFFFFF" w:val="clear"/>
          <w:lang w:eastAsia="x-none"/>
        </w:rPr>
        <w:t>, приведенной в Документации о закупке.</w:t>
      </w:r>
    </w:p>
    <w:p>
      <w:pPr>
        <w:pStyle w:val="Normal"/>
        <w:spacing w:before="0" w:after="120"/>
        <w:contextualSpacing/>
        <w:jc w:val="both"/>
        <w:rPr>
          <w:shd w:fill="FFFFFF" w:val="clear"/>
        </w:rPr>
      </w:pPr>
      <w:r>
        <w:rPr>
          <w:sz w:val="24"/>
          <w:szCs w:val="24"/>
          <w:shd w:fill="FFFFFF" w:val="clear"/>
          <w:lang w:eastAsia="x-none"/>
        </w:rPr>
        <w:t xml:space="preserve">3.2. </w:t>
      </w:r>
      <w:bookmarkStart w:id="39" w:name="_Hlk88327292"/>
      <w:r>
        <w:rPr>
          <w:sz w:val="24"/>
          <w:szCs w:val="24"/>
          <w:shd w:fill="FFFFFF" w:val="clear"/>
          <w:lang w:eastAsia="x-none"/>
        </w:rPr>
        <w:t>Дополнительные документы по ценообразованию</w:t>
      </w:r>
      <w:bookmarkEnd w:id="39"/>
      <w:r>
        <w:rPr>
          <w:sz w:val="24"/>
          <w:szCs w:val="24"/>
          <w:shd w:fill="FFFFFF" w:val="clear"/>
          <w:lang w:eastAsia="x-none"/>
        </w:rPr>
        <w:t xml:space="preserve"> в состав заявки не включаются.</w:t>
      </w:r>
    </w:p>
    <w:p>
      <w:pPr>
        <w:pStyle w:val="Normal"/>
        <w:rPr/>
      </w:pPr>
      <w:r>
        <w:rPr/>
      </w:r>
    </w:p>
    <w:sectPr>
      <w:headerReference w:type="default" r:id="rId4"/>
      <w:headerReference w:type="first" r:id="rId5"/>
      <w:type w:val="nextPage"/>
      <w:pgSz w:orient="landscape" w:w="16838" w:h="11906"/>
      <w:pgMar w:left="1134" w:right="992" w:gutter="0" w:header="680" w:top="851" w:footer="0" w:bottom="1134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imesNewRomanPSM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1"/>
    <w:qFormat/>
    <w:pPr>
      <w:numPr>
        <w:ilvl w:val="0"/>
        <w:numId w:val="0"/>
      </w:numPr>
      <w:ind w:left="284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pPr>
      <w:keepNext w:val="true"/>
      <w:numPr>
        <w:ilvl w:val="2"/>
        <w:numId w:val="3"/>
      </w:numPr>
      <w:spacing w:before="120" w:after="60"/>
      <w:ind w:left="0" w:hanging="1191"/>
      <w:outlineLvl w:val="2"/>
    </w:pPr>
    <w:rPr>
      <w:rFonts w:eastAsia="Calibri"/>
      <w:sz w:val="24"/>
      <w:szCs w:val="24"/>
      <w:lang w:eastAsia="x-none"/>
    </w:rPr>
  </w:style>
  <w:style w:type="paragraph" w:styleId="Heading4">
    <w:name w:val="Heading 4"/>
    <w:basedOn w:val="Heading3"/>
    <w:next w:val="Normal"/>
    <w:link w:val="4"/>
    <w:qFormat/>
    <w:pPr>
      <w:numPr>
        <w:ilvl w:val="0"/>
        <w:numId w:val="0"/>
      </w:numPr>
      <w:ind w:left="284" w:hanging="1191"/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1" w:customStyle="1">
    <w:name w:val="Гиперссылка1"/>
    <w:qFormat/>
    <w:rPr>
      <w:color w:val="0000FF"/>
      <w:u w:val="single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6" w:customStyle="1">
    <w:name w:val="Заголовок 6 Знак"/>
    <w:qFormat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qFormat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qFormat/>
    <w:rPr>
      <w:rFonts w:ascii="Cambria" w:hAnsi="Cambria"/>
      <w:color w:val="4F81BD"/>
      <w:lang w:val="x-none" w:eastAsia="x-none"/>
    </w:rPr>
  </w:style>
  <w:style w:type="character" w:styleId="11" w:customStyle="1">
    <w:name w:val="Заголовок 1 Знак"/>
    <w:qFormat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Pr>
      <w:rFonts w:eastAsia="Calibri"/>
      <w:sz w:val="24"/>
      <w:szCs w:val="24"/>
      <w:lang w:eastAsia="x-none"/>
    </w:rPr>
  </w:style>
  <w:style w:type="character" w:styleId="4" w:customStyle="1">
    <w:name w:val="Заголовок 4 Знак"/>
    <w:qFormat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qFormat/>
    <w:rPr>
      <w:b/>
      <w:bCs/>
      <w:i/>
      <w:iCs/>
      <w:sz w:val="26"/>
      <w:szCs w:val="26"/>
    </w:rPr>
  </w:style>
  <w:style w:type="character" w:styleId="9" w:customStyle="1">
    <w:name w:val="Заголовок 9 Знак"/>
    <w:qFormat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7"/>
    <w:qFormat/>
    <w:rPr>
      <w:sz w:val="28"/>
    </w:rPr>
  </w:style>
  <w:style w:type="character" w:styleId="Style2" w:customStyle="1">
    <w:name w:val="Подзаголовок Знак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1" w:customStyle="1">
    <w:name w:val="Цитата 2 Знак"/>
    <w:link w:val="Quote"/>
    <w:qFormat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qFormat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qFormat/>
    <w:rPr>
      <w:rFonts w:eastAsia="Calibri"/>
      <w:sz w:val="24"/>
      <w:szCs w:val="24"/>
    </w:rPr>
  </w:style>
  <w:style w:type="character" w:styleId="12" w:customStyle="1">
    <w:name w:val="Подпункт Знак1"/>
    <w:link w:val="Style23"/>
    <w:qFormat/>
    <w:rPr>
      <w:sz w:val="28"/>
    </w:rPr>
  </w:style>
  <w:style w:type="character" w:styleId="Style5" w:customStyle="1">
    <w:name w:val="Текст сноски Знак"/>
    <w:qFormat/>
    <w:rPr/>
  </w:style>
  <w:style w:type="character" w:styleId="Style6" w:customStyle="1">
    <w:name w:val="Основной текст Знак"/>
    <w:qFormat/>
    <w:rPr>
      <w:sz w:val="28"/>
      <w:szCs w:val="28"/>
    </w:rPr>
  </w:style>
  <w:style w:type="character" w:styleId="Blk" w:customStyle="1">
    <w:name w:val="blk"/>
    <w:qFormat/>
    <w:rPr/>
  </w:style>
  <w:style w:type="character" w:styleId="Style7" w:customStyle="1">
    <w:name w:val="Абзац списка Знак"/>
    <w:link w:val="ListParagraph"/>
    <w:qFormat/>
    <w:rPr>
      <w:rFonts w:eastAsia="Calibri"/>
      <w:sz w:val="24"/>
      <w:szCs w:val="24"/>
    </w:rPr>
  </w:style>
  <w:style w:type="character" w:styleId="Style8" w:customStyle="1">
    <w:name w:val="комментарий"/>
    <w:qFormat/>
    <w:rPr>
      <w:b/>
      <w:i/>
      <w:shd w:fill="FFFF99" w:val="clear"/>
    </w:rPr>
  </w:style>
  <w:style w:type="character" w:styleId="Style9" w:customStyle="1">
    <w:name w:val="Подподпункт Знак"/>
    <w:link w:val="Style31"/>
    <w:qFormat/>
    <w:rPr>
      <w:sz w:val="26"/>
      <w:szCs w:val="26"/>
    </w:rPr>
  </w:style>
  <w:style w:type="character" w:styleId="31" w:customStyle="1">
    <w:name w:val="УРОВЕНЬ_Абзац_тип3 Знак"/>
    <w:link w:val="36"/>
    <w:qFormat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qFormat/>
    <w:rPr>
      <w:sz w:val="24"/>
      <w:szCs w:val="24"/>
    </w:rPr>
  </w:style>
  <w:style w:type="character" w:styleId="Style11" w:customStyle="1">
    <w:name w:val="Текст примечания Знак"/>
    <w:link w:val="Annotationtext"/>
    <w:qFormat/>
    <w:rPr/>
  </w:style>
  <w:style w:type="character" w:styleId="Style12" w:customStyle="1">
    <w:name w:val="Текст концевой сноски Знак"/>
    <w:basedOn w:val="DefaultParagraphFont"/>
    <w:qFormat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Pr>
      <w:vertAlign w:val="superscript"/>
    </w:rPr>
  </w:style>
  <w:style w:type="character" w:styleId="22" w:customStyle="1">
    <w:name w:val="Пункт2 Знак"/>
    <w:link w:val="24"/>
    <w:qFormat/>
    <w:rPr>
      <w:b/>
      <w:sz w:val="28"/>
    </w:rPr>
  </w:style>
  <w:style w:type="character" w:styleId="13" w:customStyle="1">
    <w:name w:val="УРОВЕНЬ_1. Знак"/>
    <w:link w:val="111"/>
    <w:qFormat/>
    <w:rPr>
      <w:rFonts w:eastAsia="Calibri"/>
      <w:caps/>
      <w:sz w:val="28"/>
      <w:szCs w:val="28"/>
      <w:lang w:eastAsia="en-US"/>
    </w:rPr>
  </w:style>
  <w:style w:type="character" w:styleId="14" w:customStyle="1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Pr>
      <w:sz w:val="16"/>
      <w:szCs w:val="16"/>
    </w:rPr>
  </w:style>
  <w:style w:type="character" w:styleId="Fontstyle01" w:customStyle="1">
    <w:name w:val="fontstyle01"/>
    <w:qFormat/>
    <w:rPr>
      <w:rFonts w:ascii="TimesNewRomanPSMT" w:hAnsi="TimesNewRomanPSMT"/>
      <w:b w:val="false"/>
      <w:bCs w:val="false"/>
      <w:i w:val="false"/>
      <w:iCs w:val="false"/>
      <w:color w:val="000000"/>
      <w:sz w:val="24"/>
      <w:szCs w:val="24"/>
    </w:rPr>
  </w:style>
  <w:style w:type="character" w:styleId="Style14" w:customStyle="1">
    <w:name w:val="Основной текст_"/>
    <w:link w:val="112"/>
    <w:qFormat/>
    <w:rPr>
      <w:sz w:val="28"/>
      <w:shd w:fill="FFFFFF" w:val="clear"/>
    </w:rPr>
  </w:style>
  <w:style w:type="character" w:styleId="Style15" w:customStyle="1">
    <w:name w:val="Символ нумерации"/>
    <w:qFormat/>
    <w:rPr/>
  </w:style>
  <w:style w:type="character" w:styleId="Ecattext" w:customStyle="1">
    <w:name w:val="ecattext"/>
    <w:qFormat/>
    <w:rPr/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character" w:styleId="Style16" w:customStyle="1">
    <w:name w:val="Ссылка указателя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15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15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" w:customStyle="1">
    <w:name w:val="index heading11111"/>
    <w:basedOn w:val="Title"/>
    <w:qFormat/>
    <w:pPr/>
    <w:rPr/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" w:customStyle="1">
    <w:name w:val="index heading111111"/>
    <w:basedOn w:val="Title"/>
    <w:qFormat/>
    <w:pPr/>
    <w:rPr/>
  </w:style>
  <w:style w:type="paragraph" w:styleId="Caption1111111" w:customStyle="1">
    <w:name w:val="caption1111111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Indexheading1111111" w:customStyle="1">
    <w:name w:val="index heading1111111"/>
    <w:basedOn w:val="Title"/>
    <w:qFormat/>
    <w:pPr/>
    <w:rPr/>
  </w:style>
  <w:style w:type="paragraph" w:styleId="Style19" w:customStyle="1">
    <w:name w:val="Название раздела инструкции"/>
    <w:basedOn w:val="Normal"/>
    <w:autoRedefine/>
    <w:qFormat/>
    <w:pPr>
      <w:jc w:val="center"/>
    </w:pPr>
    <w:rPr>
      <w:b/>
    </w:rPr>
  </w:style>
  <w:style w:type="paragraph" w:styleId="Style20" w:customStyle="1">
    <w:name w:val="Раздел положения"/>
    <w:basedOn w:val="Normal"/>
    <w:autoRedefine/>
    <w:qFormat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autoRedefine/>
    <w:qFormat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pPr/>
    <w:rPr>
      <w:sz w:val="20"/>
      <w:szCs w:val="20"/>
    </w:rPr>
  </w:style>
  <w:style w:type="paragraph" w:styleId="16" w:customStyle="1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7" w:customStyle="1">
    <w:name w:val="Название1"/>
    <w:basedOn w:val="Normal"/>
    <w:link w:val="Style1"/>
    <w:qFormat/>
    <w:pPr>
      <w:jc w:val="center"/>
    </w:pPr>
    <w:rPr>
      <w:szCs w:val="20"/>
      <w:lang w:val="x-none" w:eastAsia="x-none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pPr>
      <w:ind w:left="360" w:hanging="0"/>
    </w:pPr>
    <w:rPr>
      <w:sz w:val="24"/>
      <w:szCs w:val="24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 w:customStyle="1">
    <w:name w:val="Подпункт"/>
    <w:basedOn w:val="Normal"/>
    <w:link w:val="12"/>
    <w:qFormat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pPr>
      <w:ind w:left="280" w:hanging="0"/>
    </w:pPr>
    <w:rPr>
      <w:rFonts w:cs="Calibri"/>
      <w:sz w:val="20"/>
      <w:szCs w:val="20"/>
    </w:rPr>
  </w:style>
  <w:style w:type="paragraph" w:styleId="Style24" w:customStyle="1">
    <w:name w:val="Раздел регламента"/>
    <w:basedOn w:val="Normal"/>
    <w:qFormat/>
    <w:pPr/>
    <w:rPr/>
  </w:style>
  <w:style w:type="paragraph" w:styleId="Style25" w:customStyle="1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next w:val="Normal"/>
    <w:autoRedefine/>
    <w:pPr>
      <w:spacing w:before="240" w:after="0"/>
    </w:pPr>
    <w:rPr>
      <w:rFonts w:cs="Calibri"/>
      <w:b/>
      <w:bCs/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18" w:customStyle="1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pPr>
      <w:ind w:left="1960" w:hanging="0"/>
    </w:pPr>
    <w:rPr>
      <w:rFonts w:ascii="Calibri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pPr>
      <w:ind w:left="840" w:hanging="0"/>
    </w:pPr>
    <w:rPr>
      <w:rFonts w:ascii="Calibri" w:hAnsi="Calibri" w:cs="Calibri"/>
      <w:sz w:val="20"/>
      <w:szCs w:val="20"/>
    </w:rPr>
  </w:style>
  <w:style w:type="paragraph" w:styleId="TOC4">
    <w:name w:val="TOC 4"/>
    <w:basedOn w:val="Normal"/>
    <w:next w:val="Normal"/>
    <w:autoRedefine/>
    <w:pPr>
      <w:ind w:left="560" w:hanging="0"/>
    </w:pPr>
    <w:rPr>
      <w:rFonts w:cs="Calibri"/>
      <w:sz w:val="20"/>
      <w:szCs w:val="20"/>
    </w:rPr>
  </w:style>
  <w:style w:type="paragraph" w:styleId="25" w:customStyle="1">
    <w:name w:val="Раздел положения 2"/>
    <w:basedOn w:val="Normal"/>
    <w:qFormat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qFormat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qFormat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qFormat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qFormat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qFormat/>
    <w:pPr/>
    <w:rPr>
      <w:rFonts w:eastAsia="Calibri"/>
      <w:sz w:val="24"/>
      <w:szCs w:val="24"/>
      <w:lang w:val="x-none" w:eastAsia="x-none"/>
    </w:rPr>
  </w:style>
  <w:style w:type="paragraph" w:styleId="Style27" w:customStyle="1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9" w:customStyle="1">
    <w:name w:val="Абзац списка1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 w:customStyle="1">
    <w:name w:val="Подподпункт"/>
    <w:basedOn w:val="Style23"/>
    <w:link w:val="Style9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2" w:customStyle="1">
    <w:name w:val="УРОВЕНЬ_(а)"/>
    <w:basedOn w:val="ListParagraph"/>
    <w:qFormat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10" w:customStyle="1">
    <w:name w:val="Стиль Заголовок 1 + по ширине"/>
    <w:basedOn w:val="Heading1"/>
    <w:qFormat/>
    <w:pPr>
      <w:keepLines/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eastAsia="ru-RU"/>
    </w:rPr>
  </w:style>
  <w:style w:type="paragraph" w:styleId="EndnoteText">
    <w:name w:val="Endnote Text"/>
    <w:basedOn w:val="Normal"/>
    <w:link w:val="Style12"/>
    <w:pPr/>
    <w:rPr>
      <w:sz w:val="20"/>
      <w:szCs w:val="20"/>
    </w:rPr>
  </w:style>
  <w:style w:type="paragraph" w:styleId="28" w:customStyle="1">
    <w:name w:val="Заголовок 2 КВВ"/>
    <w:basedOn w:val="Normal"/>
    <w:qFormat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 w:customStyle="1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111" w:customStyle="1">
    <w:name w:val="УРОВЕНЬ_1."/>
    <w:basedOn w:val="ListParagraph"/>
    <w:link w:val="13"/>
    <w:qFormat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pPr>
      <w:ind w:left="1120" w:hanging="0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pPr>
      <w:ind w:left="1400" w:hanging="0"/>
    </w:pPr>
    <w:rPr>
      <w:rFonts w:ascii="Calibri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pPr>
      <w:ind w:left="1680" w:hanging="0"/>
    </w:pPr>
    <w:rPr>
      <w:rFonts w:ascii="Calibri" w:hAnsi="Calibri" w:cs="Calibri"/>
      <w:sz w:val="20"/>
      <w:szCs w:val="20"/>
    </w:rPr>
  </w:style>
  <w:style w:type="paragraph" w:styleId="37" w:customStyle="1">
    <w:name w:val="Абзац списка3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112" w:customStyle="1">
    <w:name w:val="Основной текст1"/>
    <w:basedOn w:val="Normal"/>
    <w:link w:val="Style14"/>
    <w:qFormat/>
    <w:pPr>
      <w:widowControl w:val="false"/>
      <w:shd w:val="clear" w:color="auto" w:fill="FFFFFF"/>
      <w:spacing w:lineRule="exact" w:line="302"/>
    </w:pPr>
    <w:rPr>
      <w:szCs w:val="20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3" w:customStyle="1">
    <w:name w:val="Стиль1"/>
    <w:qFormat/>
  </w:style>
  <w:style w:type="numbering" w:styleId="29" w:customStyle="1">
    <w:name w:val="Стиль2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1388</TotalTime>
  <Application>AlterOffice/3.4.0.9$Linux_X86_64 LibreOffice_project/b8daf9e823b1a5463a2f48435ddc2e8696e7d4fc</Application>
  <AppVersion>15.0000</AppVersion>
  <Pages>6</Pages>
  <Words>814</Words>
  <Characters>5283</Characters>
  <CharactersWithSpaces>5880</CharactersWithSpaces>
  <Paragraphs>216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2025-06-05T06:49:00Z</dcterms:created>
  <dc:creator>Быстров Олег Геннадьевич</dc:creator>
  <dc:description/>
  <dc:language>ru-RU</dc:language>
  <cp:lastModifiedBy/>
  <cp:lastPrinted>2026-05-28T14:34:18Z</cp:lastPrinted>
  <dcterms:modified xsi:type="dcterms:W3CDTF">2026-08-24T14:00:02Z</dcterms:modified>
  <cp:revision>95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