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highlight w:val="white"/>
        </w:rPr>
      </w:pPr>
      <w:r>
        <w:rPr>
          <w:bCs/>
          <w:shd w:fill="FFFFFF" w:val="clear"/>
        </w:rPr>
        <w:t>«УТВЕРЖДАЮ»</w:t>
      </w:r>
    </w:p>
    <w:p>
      <w:pPr>
        <w:pStyle w:val="Normal"/>
        <w:keepNext w:val="true"/>
        <w:keepLines/>
        <w:jc w:val="right"/>
        <w:rPr>
          <w:highlight w:val="white"/>
        </w:rPr>
      </w:pPr>
      <w:r>
        <w:rPr>
          <w:bCs/>
          <w:shd w:fill="FFFFFF" w:val="clear"/>
        </w:rPr>
        <w:t xml:space="preserve"> </w:t>
      </w:r>
      <w:r>
        <w:rPr>
          <w:bCs/>
          <w:shd w:fill="FFFFFF" w:val="clear"/>
        </w:rPr>
        <w:t xml:space="preserve">Первый заместитель директора -                                                                                                              </w:t>
      </w:r>
    </w:p>
    <w:p>
      <w:pPr>
        <w:pStyle w:val="Normal"/>
        <w:keepNext w:val="true"/>
        <w:keepLines/>
        <w:jc w:val="right"/>
        <w:rPr>
          <w:highlight w:val="white"/>
        </w:rPr>
      </w:pPr>
      <w:r>
        <w:rPr>
          <w:bCs/>
          <w:shd w:fill="FFFFFF" w:val="clear"/>
        </w:rPr>
        <w:t>- Главный инженер</w:t>
      </w:r>
    </w:p>
    <w:p>
      <w:pPr>
        <w:pStyle w:val="Normal"/>
        <w:keepNext w:val="true"/>
        <w:keepLines/>
        <w:jc w:val="right"/>
        <w:rPr>
          <w:highlight w:val="white"/>
        </w:rPr>
      </w:pPr>
      <w:r>
        <w:rPr>
          <w:bCs/>
          <w:shd w:fill="FFFFFF" w:val="clear"/>
        </w:rPr>
        <w:t>Филиала ПАО «РусГидро»</w:t>
      </w:r>
    </w:p>
    <w:p>
      <w:pPr>
        <w:pStyle w:val="Normal"/>
        <w:keepNext w:val="true"/>
        <w:keepLines/>
        <w:jc w:val="right"/>
        <w:rPr>
          <w:highlight w:val="white"/>
        </w:rPr>
      </w:pPr>
      <w:r>
        <w:rPr>
          <w:bCs/>
          <w:shd w:fill="FFFFFF" w:val="clear"/>
        </w:rPr>
        <w:t xml:space="preserve">   — </w:t>
      </w:r>
      <w:r>
        <w:rPr>
          <w:bCs/>
          <w:shd w:fill="FFFFFF" w:val="clear"/>
        </w:rPr>
        <w:t>«Жигулевская ГЭС»</w:t>
      </w:r>
    </w:p>
    <w:p>
      <w:pPr>
        <w:pStyle w:val="Normal"/>
        <w:keepNext w:val="true"/>
        <w:keepLines/>
        <w:jc w:val="right"/>
        <w:rPr>
          <w:highlight w:val="white"/>
        </w:rPr>
      </w:pPr>
      <w:r>
        <w:rPr>
          <w:bCs/>
          <w:shd w:fill="FFFFFF" w:val="clear"/>
        </w:rPr>
        <w:t xml:space="preserve">                                                                                  </w:t>
      </w:r>
      <w:r>
        <w:rPr>
          <w:bCs/>
          <w:shd w:fill="FFFFFF" w:val="clear"/>
        </w:rPr>
        <w:t xml:space="preserve">___________ А.И. Богданов </w:t>
      </w:r>
    </w:p>
    <w:p>
      <w:pPr>
        <w:pStyle w:val="Normal"/>
        <w:keepNext w:val="true"/>
        <w:keepLines/>
        <w:jc w:val="right"/>
        <w:rPr>
          <w:highlight w:val="white"/>
        </w:rPr>
      </w:pPr>
      <w:r>
        <w:rPr>
          <w:bCs/>
          <w:shd w:fill="FFFFFF" w:val="clear"/>
        </w:rPr>
        <w:t xml:space="preserve">           </w:t>
      </w:r>
      <w:r>
        <w:rPr>
          <w:bCs/>
          <w:shd w:fill="FFFFFF" w:val="clear"/>
        </w:rPr>
        <w:t xml:space="preserve">«      »  _________  2026 </w:t>
      </w:r>
    </w:p>
    <w:p>
      <w:pPr>
        <w:pStyle w:val="Normal"/>
        <w:keepNext w:val="true"/>
        <w:keepLines/>
        <w:jc w:val="right"/>
        <w:rPr>
          <w:sz w:val="26"/>
          <w:szCs w:val="26"/>
          <w:shd w:fill="FFFFFF" w:val="clear"/>
        </w:rPr>
      </w:pPr>
      <w:r>
        <w:rPr>
          <w:sz w:val="26"/>
          <w:szCs w:val="26"/>
          <w:shd w:fill="FFFFFF" w:val="clear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универсальных пожарных стволов.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ОКПД2 28.29.22.120 Поставка  универсальных пожарных стволов </w:t>
      </w:r>
    </w:p>
    <w:p>
      <w:pPr>
        <w:pStyle w:val="Normal"/>
        <w:jc w:val="center"/>
        <w:rPr/>
      </w:pPr>
      <w:r>
        <w:rPr>
          <w:rFonts w:eastAsia="Calibri"/>
          <w:sz w:val="26"/>
          <w:szCs w:val="26"/>
        </w:rPr>
        <w:t>для объектов Филиала ПАО «РусГидро» –«Жигулевская ГЭС»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  <w:rFonts w:eastAsia="Calibri"/>
            </w:rPr>
            <w:fldChar w:fldCharType="separate"/>
          </w:r>
          <w:hyperlink w:anchor="_Toc163817111">
            <w:r>
              <w:rPr>
                <w:webHidden/>
                <w:rStyle w:val="Style14"/>
                <w:rFonts w:eastAsia="Calibri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63817112">
            <w:r>
              <w:rPr>
                <w:webHidden/>
                <w:rStyle w:val="Style14"/>
                <w:rFonts w:eastAsia="Calibri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_Toc163817112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63817113">
            <w:r>
              <w:rPr>
                <w:webHidden/>
                <w:rStyle w:val="Style14"/>
                <w:rFonts w:eastAsia="Calibri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_Toc163817113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63817114">
            <w:r>
              <w:rPr>
                <w:webHidden/>
                <w:rStyle w:val="Style14"/>
                <w:rFonts w:eastAsia="Calibri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_Toc163817114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63817115">
            <w:r>
              <w:rPr>
                <w:webHidden/>
                <w:rStyle w:val="Style14"/>
                <w:rFonts w:eastAsia="Calibri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_Toc163817115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63817116">
            <w:r>
              <w:rPr>
                <w:webHidden/>
                <w:rStyle w:val="Style14"/>
                <w:rFonts w:eastAsia="Calibri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_Toc163817116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63817117">
            <w:r>
              <w:rPr>
                <w:webHidden/>
                <w:rStyle w:val="Style14"/>
                <w:rFonts w:eastAsia="Calibri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_Toc163817117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63817118">
            <w:r>
              <w:rPr>
                <w:webHidden/>
                <w:rStyle w:val="Style14"/>
                <w:rFonts w:eastAsia="Calibri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_Toc163817118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63817119">
            <w:r>
              <w:rPr>
                <w:webHidden/>
                <w:rStyle w:val="Style14"/>
                <w:rFonts w:eastAsia="Calibri"/>
                <w:vanish w:val="false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_Toc163817119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63817120">
            <w:r>
              <w:rPr>
                <w:webHidden/>
                <w:rStyle w:val="Style14"/>
                <w:rFonts w:eastAsia="Calibri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_Toc163817120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63817121">
            <w:r>
              <w:rPr>
                <w:webHidden/>
                <w:rStyle w:val="Style14"/>
                <w:rFonts w:eastAsia="Calibri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_Toc163817121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327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63817122">
            <w:r>
              <w:rPr>
                <w:webHidden/>
                <w:rStyle w:val="Style14"/>
                <w:rFonts w:eastAsia="Calibri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_Toc163817122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63817123">
            <w:r>
              <w:rPr>
                <w:webHidden/>
                <w:rStyle w:val="Style14"/>
                <w:rFonts w:eastAsia="Calibri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327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color w:val="auto"/>
              <w:sz w:val="22"/>
              <w:szCs w:val="22"/>
            </w:rPr>
          </w:pPr>
          <w:hyperlink w:anchor="_Toc163817124">
            <w:r>
              <w:rPr>
                <w:webHidden/>
                <w:rStyle w:val="Style14"/>
                <w:rFonts w:eastAsia="Calibri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color w:val="auto"/>
                <w:sz w:val="22"/>
                <w:szCs w:val="22"/>
              </w:rPr>
              <w:tab/>
            </w:r>
            <w:r>
              <w:rPr>
                <w:rStyle w:val="Style14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_Toc163817124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Heading2"/>
        <w:numPr>
          <w:ilvl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  <w:r>
        <w:br w:type="page"/>
      </w: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caps/>
          <w:lang w:val="ru-RU"/>
        </w:rPr>
      </w:pPr>
      <w:bookmarkStart w:id="0" w:name="_Toc163817111"/>
      <w:bookmarkStart w:id="1" w:name="_Toc51339692"/>
      <w:bookmarkEnd w:id="1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2"/>
        </w:numPr>
        <w:rPr/>
      </w:pPr>
      <w:bookmarkStart w:id="2" w:name="_Toc163817112"/>
      <w:bookmarkStart w:id="3" w:name="_Toc46743505"/>
      <w:bookmarkEnd w:id="3"/>
      <w:r>
        <w:rPr/>
        <w:t>Обозначения и сокращения</w:t>
      </w:r>
      <w:bookmarkEnd w:id="2"/>
    </w:p>
    <w:p>
      <w:pPr>
        <w:pStyle w:val="Normal"/>
        <w:rPr>
          <w:rStyle w:val="Style8"/>
          <w:bCs/>
          <w:sz w:val="24"/>
          <w:szCs w:val="24"/>
        </w:rPr>
      </w:pPr>
      <w:r>
        <w:rPr>
          <w:b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696"/>
        <w:gridCol w:w="8086"/>
      </w:tblGrid>
      <w:tr>
        <w:trPr>
          <w:cantSplit w:val="true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>
                <w:bCs/>
                <w:i/>
                <w:i/>
                <w:iCs/>
                <w:sz w:val="24"/>
                <w:szCs w:val="24"/>
                <w:lang w:val="en-US"/>
              </w:rPr>
            </w:pPr>
            <w:r>
              <w:rPr>
                <w:rStyle w:val="Style8"/>
                <w:i w:val="false"/>
                <w:sz w:val="24"/>
                <w:szCs w:val="24"/>
                <w:shd w:fill="FFFFFF" w:val="clear"/>
              </w:rPr>
              <w:t>ТР ЕАЭС 043/2017</w:t>
            </w:r>
          </w:p>
        </w:tc>
        <w:tc>
          <w:tcPr>
            <w:tcW w:w="8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Технический регламент Евразийского экономического союза </w:t>
            </w:r>
            <w:r>
              <w:rPr>
                <w:bCs/>
                <w:shd w:fill="FFFFFF" w:val="clear"/>
              </w:rPr>
              <w:t>«</w:t>
            </w:r>
            <w:r>
              <w:rPr>
                <w:bCs/>
                <w:iCs/>
                <w:sz w:val="24"/>
                <w:szCs w:val="24"/>
              </w:rPr>
              <w:t>О требованиях к средствам обеспечения пожарной безопасности и пожаротушения</w:t>
            </w:r>
            <w:r>
              <w:rPr>
                <w:bCs/>
                <w:shd w:fill="FFFFFF" w:val="clear"/>
              </w:rPr>
              <w:t>»</w:t>
            </w:r>
            <w:r>
              <w:rPr/>
              <w:t xml:space="preserve"> (</w:t>
            </w:r>
            <w:r>
              <w:rPr>
                <w:bCs/>
                <w:iCs/>
                <w:sz w:val="24"/>
                <w:szCs w:val="24"/>
              </w:rPr>
              <w:t>принят Решением Совета Евразийской экономической комиссии от 23.06.2017 № 40)</w:t>
            </w:r>
          </w:p>
        </w:tc>
      </w:tr>
      <w:tr>
        <w:trPr>
          <w:cantSplit w:val="true"/>
        </w:trPr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rPr>
                <w:rStyle w:val="Style8"/>
                <w:i w:val="false"/>
                <w:i w:val="false"/>
                <w:sz w:val="24"/>
                <w:szCs w:val="24"/>
                <w:shd w:fill="FFFFFF" w:val="clear"/>
              </w:rPr>
            </w:pPr>
            <w:r>
              <w:rPr>
                <w:rStyle w:val="Style8"/>
                <w:i w:val="false"/>
                <w:sz w:val="24"/>
                <w:szCs w:val="24"/>
                <w:shd w:fill="FFFFFF" w:val="clear"/>
              </w:rPr>
              <w:t xml:space="preserve">ГОСТ </w:t>
            </w:r>
          </w:p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rPr>
                <w:rStyle w:val="Style8"/>
                <w:i w:val="false"/>
                <w:i w:val="false"/>
                <w:sz w:val="24"/>
                <w:szCs w:val="24"/>
                <w:shd w:fill="FFFFFF" w:val="clear"/>
              </w:rPr>
            </w:pPr>
            <w:r>
              <w:rPr>
                <w:rStyle w:val="Style8"/>
                <w:i w:val="false"/>
                <w:sz w:val="24"/>
                <w:szCs w:val="24"/>
                <w:shd w:fill="FFFFFF" w:val="clear"/>
              </w:rPr>
              <w:t>9923-2021</w:t>
            </w:r>
          </w:p>
        </w:tc>
        <w:tc>
          <w:tcPr>
            <w:tcW w:w="8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pacing w:before="120" w:after="12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fill="FFFFFF" w:val="clear"/>
              </w:rPr>
              <w:t>Межгосударственный стандарт. «Техника пожарная. Стволы пожарные ручные. Общие технические требования. Методы испытаний» (введен в действие Приказом Росстандарта от 28.04.2022 N 236-ст)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2"/>
        </w:numPr>
        <w:rPr/>
      </w:pPr>
      <w:bookmarkStart w:id="4" w:name="_Toc163817113"/>
      <w:bookmarkStart w:id="5" w:name="_Toc46743506"/>
      <w:bookmarkEnd w:id="5"/>
      <w:r>
        <w:rPr/>
        <w:t>Наименование закупаемой продукции</w:t>
      </w:r>
      <w:bookmarkEnd w:id="4"/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120"/>
        <w:rPr/>
      </w:pPr>
      <w:r>
        <w:rPr>
          <w:rFonts w:eastAsia="Calibri"/>
          <w:sz w:val="24"/>
          <w:szCs w:val="24"/>
          <w:lang w:eastAsia="x-none"/>
        </w:rPr>
        <w:tab/>
        <w:t>ОКПД2 28.29.22.120 Поставка универсальных пожарных стволов для объектов Филиала ПАО «РусГидро» –«Жигулевская ГЭС».</w:t>
      </w:r>
      <w:r>
        <w:rPr>
          <w:rFonts w:eastAsia="Calibri"/>
          <w:lang w:eastAsia="x-none"/>
        </w:rPr>
        <w:br/>
      </w:r>
    </w:p>
    <w:p>
      <w:pPr>
        <w:pStyle w:val="Heading4"/>
        <w:numPr>
          <w:ilvl w:val="1"/>
          <w:numId w:val="2"/>
        </w:numPr>
        <w:spacing w:before="240" w:after="60"/>
        <w:ind w:left="431" w:hanging="431"/>
        <w:rPr/>
      </w:pPr>
      <w:bookmarkStart w:id="6" w:name="_Toc163817114"/>
      <w:bookmarkStart w:id="7" w:name="_Toc46743507"/>
      <w:r>
        <w:rPr/>
        <w:t xml:space="preserve">Цель </w:t>
      </w:r>
      <w:bookmarkEnd w:id="7"/>
      <w:r>
        <w:rPr>
          <w:lang w:val="ru-RU"/>
        </w:rPr>
        <w:t>использования закупаемой продукции</w:t>
      </w:r>
      <w:bookmarkEnd w:id="6"/>
    </w:p>
    <w:p>
      <w:pPr>
        <w:pStyle w:val="Normal"/>
        <w:widowControl w:val="false"/>
        <w:spacing w:before="120" w:after="240"/>
        <w:ind w:firstLine="3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Пожарные стволы - устройства, устанавливаемые на конце напорной линии для формирования и направления огнетушащих струй при тушении пожаров на объектах Филиала ПАО «РусГидро» –«Жигулевская ГЭС». </w:t>
      </w:r>
    </w:p>
    <w:p>
      <w:pPr>
        <w:pStyle w:val="Heading4"/>
        <w:numPr>
          <w:ilvl w:val="1"/>
          <w:numId w:val="2"/>
        </w:numPr>
        <w:rPr/>
      </w:pPr>
      <w:bookmarkStart w:id="8" w:name="_Toc163817115"/>
      <w:bookmarkStart w:id="9" w:name="_Toc46743508"/>
      <w:r>
        <w:rPr/>
        <w:t>Существующее положение</w:t>
      </w:r>
      <w:bookmarkEnd w:id="8"/>
      <w:bookmarkEnd w:id="9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>Жигулёвская ГЭС расположена по адресу: Российская Федерация, 445350, Самарская область, город Жигулевск, Московское шоссе, дом 2. На объектах защиты применяются ручные пожарные стволы, формирующие только сплошную струю воды. Поставка универсальных пожарных стволов осуществляется в целях обеспечения возможности тушения распыленными струями воды действующих электроустановок напряжением до 0,4 кВ, с которых невозможно снять напряжение.</w:t>
      </w:r>
    </w:p>
    <w:p>
      <w:pPr>
        <w:pStyle w:val="ListParagraph"/>
        <w:widowControl w:val="false"/>
        <w:numPr>
          <w:ilvl w:val="1"/>
          <w:numId w:val="2"/>
        </w:numPr>
        <w:tabs>
          <w:tab w:val="clear" w:pos="327"/>
          <w:tab w:val="left" w:pos="426" w:leader="none"/>
        </w:tabs>
        <w:spacing w:before="120" w:after="240"/>
        <w:contextualSpacing/>
        <w:jc w:val="both"/>
        <w:rPr>
          <w:b/>
        </w:rPr>
      </w:pPr>
      <w:r>
        <w:rPr>
          <w:b/>
        </w:rPr>
        <w:t>Иные требования и сведения общего характера</w:t>
      </w:r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ab/>
        <w:t>Требования к участникам закупки: отсутствие в реестре недобросовестных поставщиков ФАС.</w:t>
      </w: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iCs/>
          <w:caps/>
          <w:lang w:val="ru-RU"/>
        </w:rPr>
      </w:pPr>
      <w:bookmarkStart w:id="10" w:name="_Toc163817116"/>
      <w:bookmarkStart w:id="11" w:name="_Toc51339693"/>
      <w:bookmarkEnd w:id="11"/>
      <w:r>
        <w:rPr>
          <w:iCs/>
        </w:rPr>
        <w:t>Требования к продукции</w:t>
      </w:r>
      <w:bookmarkEnd w:id="10"/>
    </w:p>
    <w:p>
      <w:pPr>
        <w:pStyle w:val="Heading4"/>
        <w:numPr>
          <w:ilvl w:val="1"/>
          <w:numId w:val="2"/>
        </w:numPr>
        <w:rPr/>
      </w:pPr>
      <w:bookmarkStart w:id="12" w:name="_Toc163817117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2"/>
    </w:p>
    <w:p>
      <w:pPr>
        <w:pStyle w:val="Heading3"/>
        <w:numPr>
          <w:ilvl w:val="2"/>
          <w:numId w:val="2"/>
        </w:numPr>
        <w:rPr/>
      </w:pPr>
      <w:bookmarkStart w:id="13" w:name="_Toc163817118"/>
      <w:r>
        <w:rPr>
          <w:lang w:val="ru-RU"/>
        </w:rPr>
        <w:t>Перечень и объем закупаемой продукции</w:t>
      </w:r>
      <w:bookmarkEnd w:id="1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bookmarkStart w:id="14" w:name="_Toc163817119"/>
      <w:bookmarkStart w:id="15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5"/>
      <w:r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765" w:type="dxa"/>
        <w:jc w:val="left"/>
        <w:tblInd w:w="124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89"/>
        <w:gridCol w:w="6150"/>
        <w:gridCol w:w="1413"/>
        <w:gridCol w:w="1412"/>
      </w:tblGrid>
      <w:tr>
        <w:trPr>
          <w:tblHeader w:val="true"/>
        </w:trPr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blHeader w:val="true"/>
        </w:trPr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6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Универсальный пожарный ствол РСК-50А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bookmarkStart w:id="16" w:name="_GoBack"/>
            <w:bookmarkEnd w:id="16"/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</w:tbl>
    <w:p>
      <w:pPr>
        <w:pStyle w:val="Heading3"/>
        <w:numPr>
          <w:ilvl w:val="2"/>
          <w:numId w:val="2"/>
        </w:numPr>
        <w:rPr>
          <w:lang w:val="ru-RU"/>
        </w:rPr>
      </w:pPr>
      <w:bookmarkStart w:id="17" w:name="_Toc163817120"/>
      <w:bookmarkStart w:id="18" w:name="_Toc51339696"/>
      <w:r>
        <w:rPr>
          <w:lang w:val="ru-RU"/>
        </w:rPr>
        <w:t xml:space="preserve">Требования </w:t>
      </w:r>
      <w:bookmarkEnd w:id="18"/>
      <w:r>
        <w:rPr>
          <w:lang w:val="ru-RU"/>
        </w:rPr>
        <w:t>к срокам поставки продукции и оказания сопутствующих услуг</w:t>
      </w:r>
      <w:bookmarkEnd w:id="1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bookmarkStart w:id="19" w:name="_Toc163817121"/>
      <w:bookmarkStart w:id="20" w:name="_Toc51339697"/>
      <w:bookmarkStart w:id="21" w:name="_Toc50125127"/>
      <w:bookmarkStart w:id="22" w:name="_Toc501251261"/>
      <w:bookmarkEnd w:id="2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3" w:name="_Hlk50465284"/>
      <w:r>
        <w:rPr>
          <w:sz w:val="24"/>
          <w:szCs w:val="24"/>
        </w:rPr>
        <w:t xml:space="preserve">Требования по срокам </w:t>
      </w:r>
      <w:bookmarkEnd w:id="20"/>
      <w:bookmarkEnd w:id="21"/>
      <w:bookmarkEnd w:id="23"/>
      <w:r>
        <w:rPr>
          <w:sz w:val="24"/>
          <w:szCs w:val="24"/>
          <w:lang w:val="ru-RU"/>
        </w:rPr>
        <w:t>поставки продукции</w:t>
      </w:r>
      <w:bookmarkEnd w:id="19"/>
      <w:r>
        <w:rPr>
          <w:sz w:val="24"/>
          <w:szCs w:val="24"/>
          <w:lang w:val="ru-RU"/>
        </w:rPr>
        <w:t xml:space="preserve"> </w:t>
      </w:r>
    </w:p>
    <w:tbl>
      <w:tblPr>
        <w:tblW w:w="9776" w:type="dxa"/>
        <w:jc w:val="left"/>
        <w:tblInd w:w="-25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83"/>
        <w:gridCol w:w="3806"/>
        <w:gridCol w:w="2555"/>
        <w:gridCol w:w="2631"/>
      </w:tblGrid>
      <w:tr>
        <w:trPr>
          <w:tblHeader w:val="true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blHeader w:val="true"/>
        </w:trPr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/>
            </w:pPr>
            <w:r>
              <w:rPr/>
            </w:r>
          </w:p>
        </w:tc>
        <w:tc>
          <w:tcPr>
            <w:tcW w:w="38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Продукция согласно перечня табл. 1.1. настоящих технических требований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подписания договора </w:t>
            </w:r>
          </w:p>
        </w:tc>
        <w:tc>
          <w:tcPr>
            <w:tcW w:w="26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45 рабочих  дней с даты подписания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2"/>
        </w:numPr>
        <w:rPr/>
      </w:pPr>
      <w:bookmarkStart w:id="24" w:name="_Toc51339698"/>
      <w:bookmarkStart w:id="25" w:name="_Toc163817122"/>
      <w:bookmarkStart w:id="26" w:name="_Toc46743511"/>
      <w:r>
        <w:rPr/>
        <w:t xml:space="preserve">Требования к </w:t>
      </w:r>
      <w:bookmarkEnd w:id="26"/>
      <w:r>
        <w:rPr>
          <w:lang w:val="ru-RU"/>
        </w:rPr>
        <w:t>качеству продукции</w:t>
      </w:r>
      <w:bookmarkEnd w:id="2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7" w:name="_Toc16381712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4"/>
      <w:bookmarkEnd w:id="27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8"/>
        </w:rPr>
      </w:pPr>
      <w:r>
        <w:rPr/>
      </w:r>
    </w:p>
    <w:p>
      <w:pPr>
        <w:pStyle w:val="Normal"/>
        <w:jc w:val="both"/>
        <w:rPr>
          <w:b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№1-2 Таблицы 1.1): </w:t>
      </w:r>
      <w:r>
        <w:rPr>
          <w:rFonts w:eastAsia="Calibri"/>
          <w:b/>
          <w:bCs/>
          <w:iCs/>
          <w:sz w:val="24"/>
          <w:szCs w:val="24"/>
          <w:lang w:eastAsia="x-none"/>
        </w:rPr>
        <w:t>«</w:t>
      </w:r>
      <w:r>
        <w:rPr>
          <w:rFonts w:eastAsia="Calibri"/>
          <w:b/>
          <w:bCs/>
          <w:iCs/>
          <w:sz w:val="26"/>
          <w:szCs w:val="26"/>
          <w:lang w:eastAsia="x-none"/>
        </w:rPr>
        <w:t>Поставка  универсальных пожарных стволов для объектов Филиала ПАО «РусГидро» –«Жигулевская ГЭС</w:t>
      </w:r>
      <w:r>
        <w:rPr>
          <w:rFonts w:eastAsia="Calibri"/>
          <w:b/>
          <w:bCs/>
          <w:iCs/>
          <w:sz w:val="24"/>
          <w:szCs w:val="24"/>
          <w:lang w:eastAsia="x-none"/>
        </w:rPr>
        <w:t>»</w:t>
      </w:r>
    </w:p>
    <w:tbl>
      <w:tblPr>
        <w:tblStyle w:val="affff7"/>
        <w:tblW w:w="15309" w:type="dxa"/>
        <w:jc w:val="left"/>
        <w:tblInd w:w="-30" w:type="dxa"/>
        <w:tblLayout w:type="fixed"/>
        <w:tblCellMar>
          <w:top w:w="0" w:type="dxa"/>
          <w:left w:w="83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30"/>
        <w:gridCol w:w="1582"/>
        <w:gridCol w:w="29"/>
        <w:gridCol w:w="24"/>
        <w:gridCol w:w="8"/>
        <w:gridCol w:w="12"/>
        <w:gridCol w:w="2961"/>
        <w:gridCol w:w="2927"/>
        <w:gridCol w:w="3201"/>
        <w:gridCol w:w="3334"/>
      </w:tblGrid>
      <w:tr>
        <w:trPr/>
        <w:tc>
          <w:tcPr>
            <w:tcW w:w="123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655" w:type="dxa"/>
            <w:gridSpan w:val="5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961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6128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33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2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655" w:type="dxa"/>
            <w:gridSpan w:val="5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61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2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33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65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20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333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16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655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функциональным характеристикам</w:t>
            </w:r>
          </w:p>
        </w:tc>
        <w:tc>
          <w:tcPr>
            <w:tcW w:w="2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Конструкция ствола должна обеспечивать: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равномерное распределение жидкости по конусу факела распыленной струи;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прочность и герметичность корпуса ствола и его соединений (при наличии) при гидравлическом давлении, в 1,5 раза превышающем рабочее. При этом не допускается появление следов воды в виде капель на наружных поверхностях деталей и в местах соединений;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герметичность перекрывного устройства стволов при рабочем давлении. При этом утечка раствора через перекрывные устройства не должна превышать 2 см3/мин;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усилие на органах управления запорно-регулирующей арматурой при рабочем давлении не более 60 Н;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фиксацию каждого положения (закрыто, подача воды в рабочем диапазоне, промывка ствола) органа управления перекрывным устройством при переключении режимов работы ствола;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бесступенчатое изменение вида струи от сплошной до распыленной;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изменение расхода огнетушащих веществ (для стволов пожарных универсального типа) без прекращения их подачи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 к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онструктивное исполнение и точность изготовления стволов одного типоразмера должны обеспечивать техническую совместимость его сборочных единиц и деталей.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орпус ствола, органы управления перекрывным или переключающим устройством должны иметь термоизолирующее (защитное) покрытие;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к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репление отдельных деталей, сборочных единиц должно исключать самопроизвольное ослабление и отвинчивание при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оединительные головки стволов должны обеспечивать смыкаемость с рукавными головками одного условного прохода;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оединительные штуцеры стволов высокого давления должны обеспечивать смыкаемость с рукавными штуцерами. 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16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4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1066" w:leader="none"/>
              </w:tabs>
              <w:suppressAutoHyphens w:val="true"/>
              <w:spacing w:lineRule="auto" w:line="276" w:before="0" w:after="200"/>
              <w:contextualSpacing/>
              <w:jc w:val="both"/>
              <w:rPr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к информационной безопасности результата оказания услуг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7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1066" w:leader="none"/>
              </w:tabs>
              <w:suppressAutoHyphens w:val="true"/>
              <w:spacing w:lineRule="auto" w:line="276" w:before="0" w:after="200"/>
              <w:contextualSpacing/>
              <w:jc w:val="both"/>
              <w:rPr>
                <w:color w:val="auto"/>
                <w:sz w:val="24"/>
                <w:szCs w:val="24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Требования информационной безопасности должны обеспечиваться на всех стадиях жизненного цикла Систем с учетом всех сторон, вовлеченных в процессы жизненного цикла.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16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1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Требования к материалам</w:t>
            </w:r>
          </w:p>
        </w:tc>
        <w:tc>
          <w:tcPr>
            <w:tcW w:w="300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атериалы деталей стволов и защитные покрытия должны быть устойчивы к пенообразователям и ОВ, а также обеспечивать работоспособность изделий при работе на воде и водных растворах ОВ.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1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en-US" w:eastAsia="ru-RU" w:bidi="ar-SA"/>
              </w:rPr>
              <w:t>Требования к документации</w:t>
            </w:r>
          </w:p>
        </w:tc>
        <w:tc>
          <w:tcPr>
            <w:tcW w:w="3005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Э</w:t>
            </w: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ксплуатационные документы по ГОСТ Р 2.601-2019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16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58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 xml:space="preserve">Требования к диапазону температур </w:t>
            </w:r>
          </w:p>
        </w:tc>
        <w:tc>
          <w:tcPr>
            <w:tcW w:w="3034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предъявляются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16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5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Погрузка, доставка, разгрузка и перемещение Товара</w:t>
            </w:r>
          </w:p>
        </w:tc>
        <w:tc>
          <w:tcPr>
            <w:tcW w:w="2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Погрузка, доставка, разгрузка и перемещение Товара (в том числе по территории Покупателя) осуществляется Поставщиком, по адресу: Российская Федерация, 445350, Самарская область, город Жигулевск, Московское шоссе, дом 2. Транспорт, на котором осуществляется доставка, не должен содержать попутного груза.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5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Требования к маркировке</w:t>
            </w:r>
          </w:p>
        </w:tc>
        <w:tc>
          <w:tcPr>
            <w:tcW w:w="2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 каждый ствол должна быть нанесена маркировка, содержащая следующие данные: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или товарный знак изготовителя;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наименование страны-изготовителя;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идентификационный номер изделия по системе нумерации изготовителя;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обозначение ствола;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рабочее давление, МПа;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надписи (или условные обозначения), указывающие направление поворота перекрывного (переключающего) устройства в положения "Сплошная струя", "Распыленная струя", а также в положение "Закрыто" 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год изготовления.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етод нанесения маркировки должен обеспечивать ее сохранность в течение срока службы ствола, установленного изготовителем.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ранспортная маркировка - по ГОСТ 14192.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5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32" w:leader="none"/>
                <w:tab w:val="left" w:pos="459" w:leader="none"/>
              </w:tabs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погрузки, доставки, разгрузки и перемещения Товара</w:t>
            </w:r>
          </w:p>
        </w:tc>
        <w:tc>
          <w:tcPr>
            <w:tcW w:w="296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32" w:leader="none"/>
                <w:tab w:val="left" w:pos="459" w:leader="none"/>
              </w:tabs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Стоимость погрузки, доставки, разгрузки и перемещения Товара должна быть включена в стоимость Товара.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16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23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327"/>
                <w:tab w:val="left" w:pos="450" w:leader="none"/>
              </w:tabs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 xml:space="preserve">6.1. </w:t>
            </w:r>
          </w:p>
        </w:tc>
        <w:tc>
          <w:tcPr>
            <w:tcW w:w="1635" w:type="dxa"/>
            <w:gridSpan w:val="3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81" w:type="dxa"/>
            <w:gridSpan w:val="3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20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3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16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5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гарантии</w:t>
            </w:r>
          </w:p>
        </w:tc>
        <w:tc>
          <w:tcPr>
            <w:tcW w:w="296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Гарантийный срок должен составлять не менее 12 месяцев с даты поставки продукции.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327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Style28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16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Техническая часть заявки</w:t>
            </w:r>
          </w:p>
        </w:tc>
        <w:tc>
          <w:tcPr>
            <w:tcW w:w="29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firstLine="284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технической части заявка участника должна содержать информацию о полном наименовании продукции или их эквиваленте с указанием параметров поставляемой продукции, в том числе: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5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8.1.1.</w:t>
            </w:r>
          </w:p>
        </w:tc>
        <w:tc>
          <w:tcPr>
            <w:tcW w:w="165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Техническое описание продукции, код товара согласно каталогу производителя;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5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8.1.2.</w:t>
            </w:r>
          </w:p>
        </w:tc>
        <w:tc>
          <w:tcPr>
            <w:tcW w:w="1655" w:type="dxa"/>
            <w:gridSpan w:val="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6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firstLine="284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изготовителя продукции: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firstLine="284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Заполненные таблицы технических характеристик, в соответствии с техническими требованиями Заказчика.</w:t>
            </w:r>
          </w:p>
        </w:tc>
        <w:tc>
          <w:tcPr>
            <w:tcW w:w="2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5" w:type="dxa"/>
            <w:gridSpan w:val="5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firstLine="284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 этапе поставки должны быть представлены</w:t>
            </w:r>
          </w:p>
        </w:tc>
        <w:tc>
          <w:tcPr>
            <w:tcW w:w="2961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сертификаты соответствия ТР ЕАЭС 043/2017 ;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/>
              <w:jc w:val="both"/>
              <w:rPr/>
            </w:pPr>
            <w:r>
              <w:rPr/>
              <w:t>- эксплуатационные документы по ГОСТ Р 2.601-2019</w:t>
            </w:r>
          </w:p>
        </w:tc>
        <w:tc>
          <w:tcPr>
            <w:tcW w:w="292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3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8.3.</w:t>
            </w:r>
          </w:p>
        </w:tc>
        <w:tc>
          <w:tcPr>
            <w:tcW w:w="165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Спецификация поставляемой продукции</w:t>
            </w:r>
          </w:p>
        </w:tc>
        <w:tc>
          <w:tcPr>
            <w:tcW w:w="29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firstLine="284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Спецификация поставляемой продукции должна быть представлена в двух вариантах: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firstLine="426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на бумажном носителе; </w:t>
            </w:r>
          </w:p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firstLine="426"/>
              <w:jc w:val="both"/>
              <w:rPr>
                <w:sz w:val="24"/>
                <w:szCs w:val="24"/>
                <w:highlight w:val="green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- на электронном носителе (в формате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Word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, Excel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P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df), полностью соответствующем бумажному варианту.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4616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2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655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Требования по сертификации</w:t>
            </w:r>
          </w:p>
        </w:tc>
        <w:tc>
          <w:tcPr>
            <w:tcW w:w="29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на продукцию сертификатов соответствия ТР ЕАЭС 043/2017</w:t>
            </w:r>
          </w:p>
        </w:tc>
        <w:tc>
          <w:tcPr>
            <w:tcW w:w="292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0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3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2"/>
        </w:numPr>
        <w:ind w:left="357" w:hanging="357"/>
        <w:jc w:val="center"/>
        <w:rPr>
          <w:sz w:val="24"/>
          <w:szCs w:val="24"/>
          <w:lang w:val="ru-RU"/>
        </w:rPr>
      </w:pPr>
      <w:bookmarkStart w:id="28" w:name="_Toc163817124"/>
      <w:bookmarkStart w:id="29" w:name="_Toc53393312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9"/>
      <w:r>
        <w:rPr>
          <w:sz w:val="24"/>
          <w:szCs w:val="24"/>
          <w:lang w:val="ru-RU"/>
        </w:rPr>
        <w:t xml:space="preserve"> на этапе закупки</w:t>
      </w:r>
      <w:bookmarkEnd w:id="28"/>
    </w:p>
    <w:p>
      <w:pPr>
        <w:pStyle w:val="Normal"/>
        <w:widowControl w:val="false"/>
        <w:tabs>
          <w:tab w:val="clear" w:pos="327"/>
          <w:tab w:val="left" w:pos="426" w:leader="none"/>
        </w:tabs>
        <w:spacing w:before="60" w:after="0"/>
        <w:jc w:val="both"/>
        <w:rPr>
          <w:rStyle w:val="Style8"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numPr>
          <w:ilvl w:val="1"/>
          <w:numId w:val="6"/>
        </w:numPr>
        <w:spacing w:before="0" w:after="120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numPr>
          <w:ilvl w:val="1"/>
          <w:numId w:val="6"/>
        </w:numPr>
        <w:spacing w:before="0" w:after="120"/>
        <w:jc w:val="both"/>
        <w:rPr>
          <w:sz w:val="24"/>
          <w:szCs w:val="24"/>
        </w:rPr>
      </w:pPr>
      <w:r>
        <w:rPr>
          <w:bCs/>
          <w:iCs/>
          <w:sz w:val="24"/>
          <w:szCs w:val="24"/>
          <w:lang w:eastAsia="x-none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>
      <w:pPr>
        <w:pStyle w:val="Normal"/>
        <w:spacing w:before="0" w:after="120"/>
        <w:ind w:left="114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20"/>
        <w:ind w:left="1140" w:hanging="0"/>
        <w:jc w:val="center"/>
        <w:rPr>
          <w:b/>
          <w:bCs/>
        </w:rPr>
      </w:pPr>
      <w:r>
        <w:rPr>
          <w:b/>
          <w:bCs/>
        </w:rPr>
      </w:r>
    </w:p>
    <w:tbl>
      <w:tblPr>
        <w:tblW w:w="9842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890"/>
        <w:gridCol w:w="4951"/>
      </w:tblGrid>
      <w:tr>
        <w:trPr>
          <w:trHeight w:val="1797" w:hRule="atLeast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главного инженера по технической части 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___________ / М.В. Блинов/ 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«____»___________  20___ г.        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службы безопасности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/ А.Н. Пуртов/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>«____»___________  20___ г.</w:t>
            </w:r>
          </w:p>
        </w:tc>
      </w:tr>
      <w:tr>
        <w:trPr>
          <w:trHeight w:val="1797" w:hRule="atLeast"/>
        </w:trPr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СОТиПК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  <w:p>
            <w:pPr>
              <w:pStyle w:val="Normal"/>
              <w:widowControl w:val="false"/>
              <w:spacing w:lineRule="auto" w:line="276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___________ / С.Л. Михайлов/ 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 xml:space="preserve">«____»___________  20___ г.            </w:t>
            </w:r>
          </w:p>
        </w:tc>
        <w:tc>
          <w:tcPr>
            <w:tcW w:w="4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ЮГ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/ Д.В. Давыдов/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/>
              <w:t xml:space="preserve"> </w:t>
            </w:r>
            <w:r>
              <w:rPr/>
              <w:t>«____»___________  20___ г.</w:t>
            </w:r>
          </w:p>
        </w:tc>
      </w:tr>
      <w:tr>
        <w:trPr>
          <w:trHeight w:val="1797" w:hRule="atLeast"/>
        </w:trPr>
        <w:tc>
          <w:tcPr>
            <w:tcW w:w="489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ОЗ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/ А.В. Ефремов/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«____»___________  20___ г.                        </w:t>
            </w:r>
          </w:p>
        </w:tc>
        <w:tc>
          <w:tcPr>
            <w:tcW w:w="4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ОМТО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/ Д.А. Ганин/</w:t>
            </w:r>
          </w:p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«____»___________  20___ г.</w:t>
            </w:r>
          </w:p>
        </w:tc>
      </w:tr>
    </w:tbl>
    <w:p>
      <w:pPr>
        <w:pStyle w:val="Normal"/>
        <w:spacing w:before="0" w:after="120"/>
        <w:ind w:left="114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20"/>
        <w:ind w:left="1140" w:hanging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pacing w:before="0" w:after="120"/>
        <w:ind w:left="1140" w:hanging="0"/>
        <w:jc w:val="center"/>
        <w:rPr>
          <w:b/>
          <w:bCs/>
        </w:rPr>
      </w:pPr>
      <w:r>
        <w:rPr>
          <w:b/>
          <w:bCs/>
          <w:iCs/>
          <w:sz w:val="24"/>
          <w:szCs w:val="24"/>
          <w:lang w:eastAsia="x-none"/>
        </w:rPr>
        <w:t>4. Приложения</w:t>
      </w:r>
    </w:p>
    <w:p>
      <w:pPr>
        <w:pStyle w:val="Normal"/>
        <w:spacing w:before="0" w:after="120"/>
        <w:ind w:left="1140" w:hanging="0"/>
        <w:rPr/>
      </w:pPr>
      <w:r>
        <w:rPr>
          <w:iCs/>
          <w:sz w:val="24"/>
          <w:szCs w:val="24"/>
          <w:lang w:eastAsia="x-none"/>
        </w:rPr>
        <w:t>1. Спецификация универсальные пожарные стволы для объектов Филиала ПАО «РусГидро» –«Жигулевская ГЭС»</w:t>
      </w:r>
    </w:p>
    <w:p>
      <w:pPr>
        <w:pStyle w:val="Normal"/>
        <w:spacing w:before="0" w:after="120"/>
        <w:jc w:val="both"/>
        <w:rPr>
          <w:rFonts w:eastAsia="Calibri"/>
          <w:i/>
          <w:i/>
          <w:iCs/>
          <w:sz w:val="24"/>
          <w:szCs w:val="24"/>
          <w:lang w:val="x-none" w:eastAsia="x-none"/>
        </w:rPr>
      </w:pPr>
      <w:r>
        <w:rPr>
          <w:rFonts w:eastAsia="Calibri"/>
          <w:i/>
          <w:iCs/>
          <w:sz w:val="24"/>
          <w:szCs w:val="24"/>
          <w:lang w:val="x-none" w:eastAsia="x-none"/>
        </w:rPr>
      </w:r>
    </w:p>
    <w:p>
      <w:pPr>
        <w:pStyle w:val="Normal"/>
        <w:spacing w:before="0" w:after="120"/>
        <w:jc w:val="both"/>
        <w:rPr>
          <w:rFonts w:eastAsia="Calibri"/>
          <w:i/>
          <w:i/>
          <w:iCs/>
          <w:sz w:val="24"/>
          <w:szCs w:val="24"/>
          <w:lang w:val="x-none" w:eastAsia="x-none"/>
        </w:rPr>
      </w:pPr>
      <w:r>
        <w:rPr>
          <w:rFonts w:eastAsia="Calibri"/>
          <w:i/>
          <w:iCs/>
          <w:sz w:val="24"/>
          <w:szCs w:val="24"/>
          <w:lang w:val="x-none" w:eastAsia="x-none"/>
        </w:rPr>
      </w:r>
    </w:p>
    <w:p>
      <w:pPr>
        <w:pStyle w:val="Normal"/>
        <w:spacing w:before="0" w:after="120"/>
        <w:jc w:val="both"/>
        <w:rPr>
          <w:rFonts w:eastAsia="Calibri"/>
          <w:i/>
          <w:i/>
          <w:iCs/>
          <w:sz w:val="24"/>
          <w:szCs w:val="24"/>
          <w:lang w:val="x-none" w:eastAsia="x-none"/>
        </w:rPr>
      </w:pPr>
      <w:r>
        <w:rPr>
          <w:rFonts w:eastAsia="Calibri"/>
          <w:i/>
          <w:iCs/>
          <w:sz w:val="24"/>
          <w:szCs w:val="24"/>
          <w:lang w:val="x-none" w:eastAsia="x-none"/>
        </w:rPr>
      </w:r>
    </w:p>
    <w:p>
      <w:pPr>
        <w:pStyle w:val="Normal"/>
        <w:spacing w:before="0" w:after="120"/>
        <w:jc w:val="both"/>
        <w:rPr>
          <w:rFonts w:eastAsia="Calibri"/>
          <w:i/>
          <w:i/>
          <w:iCs/>
          <w:sz w:val="24"/>
          <w:szCs w:val="24"/>
          <w:lang w:val="x-none" w:eastAsia="x-none"/>
        </w:rPr>
      </w:pPr>
      <w:r>
        <w:rPr>
          <w:rFonts w:eastAsia="Calibri"/>
          <w:i/>
          <w:iCs/>
          <w:sz w:val="24"/>
          <w:szCs w:val="24"/>
          <w:lang w:val="x-none" w:eastAsia="x-none"/>
        </w:rPr>
      </w:r>
    </w:p>
    <w:p>
      <w:pPr>
        <w:pStyle w:val="Normal"/>
        <w:spacing w:before="0" w:after="120"/>
        <w:jc w:val="both"/>
        <w:rPr>
          <w:rFonts w:eastAsia="Calibri"/>
          <w:i/>
          <w:i/>
          <w:iCs/>
          <w:sz w:val="24"/>
          <w:szCs w:val="24"/>
          <w:lang w:val="x-none" w:eastAsia="x-none"/>
        </w:rPr>
      </w:pPr>
      <w:r>
        <w:rPr>
          <w:rFonts w:eastAsia="Calibri"/>
          <w:i/>
          <w:iCs/>
          <w:sz w:val="24"/>
          <w:szCs w:val="24"/>
          <w:lang w:val="x-none" w:eastAsia="x-none"/>
        </w:rPr>
      </w:r>
    </w:p>
    <w:p>
      <w:pPr>
        <w:pStyle w:val="Normal"/>
        <w:spacing w:before="0" w:after="120"/>
        <w:jc w:val="both"/>
        <w:rPr>
          <w:rFonts w:eastAsia="Calibri"/>
          <w:i/>
          <w:i/>
          <w:iCs/>
          <w:sz w:val="24"/>
          <w:szCs w:val="24"/>
          <w:lang w:val="x-none" w:eastAsia="x-none"/>
        </w:rPr>
      </w:pPr>
      <w:r>
        <w:rPr>
          <w:rFonts w:eastAsia="Calibri"/>
          <w:i/>
          <w:iCs/>
          <w:sz w:val="24"/>
          <w:szCs w:val="24"/>
          <w:lang w:val="x-none" w:eastAsia="x-none"/>
        </w:rPr>
      </w:r>
    </w:p>
    <w:p>
      <w:pPr>
        <w:pStyle w:val="Normal"/>
        <w:spacing w:before="0" w:after="120"/>
        <w:jc w:val="both"/>
        <w:rPr>
          <w:rFonts w:eastAsia="Calibri"/>
          <w:i/>
          <w:i/>
          <w:iCs/>
          <w:sz w:val="24"/>
          <w:szCs w:val="24"/>
          <w:lang w:val="x-none" w:eastAsia="x-none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992" w:gutter="0" w:header="680" w:top="851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effect w:val="none"/>
        <w:szCs w:val="24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9" w:hanging="432"/>
      </w:pPr>
      <w:rPr>
        <w:sz w:val="24"/>
        <w:b w:val="false"/>
        <w:szCs w:val="24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327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link w:val="1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rsid w:val="00ea61a8"/>
    <w:pPr>
      <w:numPr>
        <w:ilvl w:val="0"/>
        <w:numId w:val="0"/>
      </w:numPr>
      <w:outlineLvl w:val="1"/>
    </w:pPr>
    <w:rPr/>
  </w:style>
  <w:style w:type="paragraph" w:styleId="Heading3">
    <w:name w:val="Heading 3"/>
    <w:basedOn w:val="Normal"/>
    <w:link w:val="31"/>
    <w:autoRedefine/>
    <w:qFormat/>
    <w:rsid w:val="00035e96"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basedOn w:val="DefaultParagraphFont"/>
    <w:uiPriority w:val="99"/>
    <w:unhideWhenUsed/>
    <w:rsid w:val="007450ef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Заголовок 1 Знак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i/>
      <w:shd w:fill="FFFF99" w:val="clear"/>
    </w:rPr>
  </w:style>
  <w:style w:type="character" w:styleId="Style9" w:customStyle="1">
    <w:name w:val="Подподпункт Знак"/>
    <w:qFormat/>
    <w:locked/>
    <w:rsid w:val="0025139e"/>
    <w:rPr>
      <w:sz w:val="26"/>
      <w:szCs w:val="26"/>
    </w:rPr>
  </w:style>
  <w:style w:type="character" w:styleId="31" w:customStyle="1">
    <w:name w:val="Заголовок 3 Знак1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главление 3 Знак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ы концевой сноск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11" w:customStyle="1">
    <w:name w:val="index heading111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FootnoteText">
    <w:name w:val="Footnote Text"/>
    <w:basedOn w:val="Normal"/>
    <w:pPr/>
    <w:rPr/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A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Заголовок 2 Знак1"/>
    <w:basedOn w:val="Normal"/>
    <w:qFormat/>
    <w:rsid w:val="00d561d9"/>
    <w:pPr>
      <w:pBdr>
        <w:bottom w:val="thickThinSmallGap" w:sz="24" w:space="1" w:color="00000A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A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rsid w:val="0076353a"/>
    <w:pPr>
      <w:tabs>
        <w:tab w:val="clear" w:pos="327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327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qFormat/>
    <w:rsid w:val="0076353a"/>
    <w:pPr>
      <w:tabs>
        <w:tab w:val="clear" w:pos="327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3" w:customStyle="1">
    <w:name w:val="Пункт2"/>
    <w:basedOn w:val="Normal"/>
    <w:qFormat/>
    <w:rsid w:val="0076353a"/>
    <w:pPr>
      <w:keepNext w:val="true"/>
      <w:tabs>
        <w:tab w:val="clear" w:pos="327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link w:val="32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4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uiPriority w:val="39"/>
    <w:qFormat/>
    <w:rsid w:val="00d22f6d"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Основной текст с отступом 3 Знак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5" w:customStyle="1">
    <w:name w:val="Нумерованный список ур2"/>
    <w:basedOn w:val="Normal"/>
    <w:link w:val="22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327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6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327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Text">
    <w:name w:val="Endnote Text"/>
    <w:basedOn w:val="Normal"/>
    <w:qFormat/>
    <w:rsid w:val="003879d4"/>
    <w:pPr/>
    <w:rPr>
      <w:sz w:val="20"/>
      <w:szCs w:val="20"/>
    </w:rPr>
  </w:style>
  <w:style w:type="paragraph" w:styleId="27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таблицы"/>
    <w:basedOn w:val="Normal"/>
    <w:qFormat/>
    <w:pPr/>
    <w:rPr/>
  </w:style>
  <w:style w:type="paragraph" w:styleId="Style35" w:customStyle="1">
    <w:name w:val="Заголовок таблицы"/>
    <w:basedOn w:val="Style34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8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75ED8-B8E7-43A2-A5C0-3D0D5133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Application>AlterOffice/3.4.0.9$Linux_X86_64 LibreOffice_project/b8daf9e823b1a5463a2f48435ddc2e8696e7d4fc</Application>
  <AppVersion>15.0000</AppVersion>
  <Pages>13</Pages>
  <Words>1310</Words>
  <Characters>8957</Characters>
  <CharactersWithSpaces>10325</CharactersWithSpaces>
  <Paragraphs>233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2024-04-08T09:02:00Z</dcterms:created>
  <dc:creator>Быстров Олег Геннадьевич</dc:creator>
  <dc:description/>
  <dc:language>ru-RU</dc:language>
  <cp:lastModifiedBy>chuykovaa@corp.gidroogk.com</cp:lastModifiedBy>
  <cp:lastPrinted>2024-04-08T07:04:00Z</cp:lastPrinted>
  <dcterms:modified xsi:type="dcterms:W3CDTF">2026-08-19T14:10:50Z</dcterms:modified>
  <cp:revision>40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