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4820" w:leader="none"/>
        </w:tabs>
        <w:spacing w:before="0" w:after="0"/>
        <w:ind w:start="5387"/>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BodyText"/>
        <w:tabs>
          <w:tab w:val="clear" w:pos="709"/>
          <w:tab w:val="left" w:pos="4820" w:leader="none"/>
        </w:tabs>
        <w:spacing w:lineRule="auto" w:line="276" w:before="0" w:after="0"/>
        <w:ind w:start="5387"/>
        <w:jc w:val="end"/>
        <w:rPr/>
      </w:pPr>
      <w:r>
        <w:rPr/>
      </w:r>
    </w:p>
    <w:p>
      <w:pPr>
        <w:pStyle w:val="Normal"/>
        <w:spacing w:lineRule="auto" w:line="240" w:before="0" w:after="0"/>
        <w:ind w:end="284"/>
        <w:jc w:val="center"/>
        <w:rPr>
          <w:rFonts w:ascii="Times New Roman" w:hAnsi="Times New Roman" w:cs="Times New Roman"/>
          <w:b/>
          <w:sz w:val="24"/>
          <w:szCs w:val="24"/>
        </w:rPr>
      </w:pPr>
      <w:r>
        <w:rPr>
          <w:rFonts w:cs="Times New Roman" w:ascii="Times New Roman" w:hAnsi="Times New Roman"/>
          <w:b/>
          <w:sz w:val="24"/>
          <w:szCs w:val="24"/>
        </w:rPr>
        <w:t>ТЕХНИЧЕСКОЕ ЗАДАНИЕ</w:t>
      </w:r>
    </w:p>
    <w:p>
      <w:pPr>
        <w:pStyle w:val="Normal"/>
        <w:spacing w:lineRule="auto" w:line="240" w:before="0" w:after="0"/>
        <w:ind w:end="284"/>
        <w:jc w:val="center"/>
        <w:rPr>
          <w:rFonts w:ascii="Times New Roman" w:hAnsi="Times New Roman" w:eastAsia="Times New Roman" w:cs="Times New Roman"/>
          <w:sz w:val="24"/>
          <w:szCs w:val="24"/>
          <w:lang w:eastAsia="ru-RU"/>
        </w:rPr>
      </w:pPr>
      <w:bookmarkStart w:id="0" w:name="_Hlk210309719"/>
      <w:bookmarkStart w:id="1" w:name="_Hlk209697799"/>
      <w:r>
        <w:rPr>
          <w:rFonts w:eastAsia="Times New Roman" w:cs="Times New Roman" w:ascii="Times New Roman" w:hAnsi="Times New Roman"/>
          <w:sz w:val="24"/>
          <w:szCs w:val="24"/>
          <w:lang w:eastAsia="ru-RU"/>
        </w:rPr>
        <w:t xml:space="preserve">на </w:t>
      </w:r>
      <w:r>
        <w:rPr>
          <w:rFonts w:eastAsia="Times New Roman" w:cs="Times New Roman" w:ascii="Times New Roman" w:hAnsi="Times New Roman"/>
          <w:sz w:val="24"/>
          <w:szCs w:val="24"/>
          <w:lang w:eastAsia="ru-RU"/>
        </w:rPr>
        <w:t>в</w:t>
      </w:r>
      <w:r>
        <w:rPr>
          <w:rFonts w:eastAsia="Times New Roman" w:cs="Times New Roman" w:ascii="Times New Roman" w:hAnsi="Times New Roman"/>
          <w:sz w:val="24"/>
          <w:szCs w:val="24"/>
          <w:lang w:eastAsia="ru-RU"/>
        </w:rPr>
        <w:t xml:space="preserve">ыполнение комплекса работ по изготовлению, поставке, монтажу и ПНР </w:t>
      </w:r>
      <w:r>
        <w:rPr>
          <w:rFonts w:eastAsia="Times New Roman" w:cs="Times New Roman" w:ascii="Times New Roman" w:hAnsi="Times New Roman"/>
          <w:sz w:val="24"/>
          <w:szCs w:val="24"/>
          <w:lang w:eastAsia="ru-RU"/>
        </w:rPr>
        <w:t xml:space="preserve">четырёх </w:t>
      </w:r>
      <w:r>
        <w:rPr>
          <w:rFonts w:eastAsia="Times New Roman" w:cs="Times New Roman" w:ascii="Times New Roman" w:hAnsi="Times New Roman"/>
          <w:sz w:val="24"/>
          <w:szCs w:val="24"/>
          <w:lang w:eastAsia="ru-RU"/>
        </w:rPr>
        <w:t>блочно-модульных котельных</w:t>
      </w:r>
    </w:p>
    <w:p>
      <w:pPr>
        <w:pStyle w:val="Normal"/>
        <w:spacing w:lineRule="auto" w:line="240" w:before="0" w:after="0"/>
        <w:ind w:end="284"/>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на объект: </w:t>
      </w:r>
    </w:p>
    <w:p>
      <w:pPr>
        <w:pStyle w:val="Normal"/>
        <w:spacing w:lineRule="auto" w:line="240" w:before="0" w:after="0"/>
        <w:ind w:start="-567" w:end="-1"/>
        <w:jc w:val="center"/>
        <w:rPr>
          <w:rFonts w:ascii="Times New Roman" w:hAnsi="Times New Roman" w:cs="Times New Roman"/>
          <w:sz w:val="24"/>
          <w:szCs w:val="24"/>
          <w:lang w:eastAsia="ar-SA"/>
        </w:rPr>
      </w:pPr>
      <w:r>
        <w:rPr>
          <w:rFonts w:cs="Times New Roman" w:ascii="Times New Roman" w:hAnsi="Times New Roman"/>
          <w:sz w:val="24"/>
          <w:szCs w:val="24"/>
          <w:lang w:eastAsia="ar-SA"/>
        </w:rPr>
        <w:t xml:space="preserve">«Создание объектов инфраструктуры особой экономической зоны промышленно – производственного типа «Пермь». Этап 2. Внутренние инженерные сети и иные технологические присоединения к внешним инженерным сетям. </w:t>
      </w:r>
    </w:p>
    <w:p>
      <w:pPr>
        <w:pStyle w:val="Normal"/>
        <w:spacing w:lineRule="auto" w:line="240" w:before="0" w:after="0"/>
        <w:ind w:start="-567" w:end="-1"/>
        <w:jc w:val="center"/>
        <w:rPr>
          <w:rStyle w:val="FontStyle20"/>
          <w:lang w:val="en-US" w:eastAsia="ar-SA"/>
        </w:rPr>
      </w:pPr>
      <w:r>
        <w:rPr>
          <w:rFonts w:cs="Times New Roman" w:ascii="Times New Roman" w:hAnsi="Times New Roman"/>
          <w:sz w:val="24"/>
          <w:szCs w:val="24"/>
          <w:lang w:eastAsia="ar-SA"/>
        </w:rPr>
        <w:t>Транспортная инфраструктура»</w:t>
      </w:r>
      <w:r>
        <w:rPr>
          <w:rStyle w:val="FontStyle20"/>
          <w:lang w:eastAsia="ar-SA"/>
        </w:rPr>
        <w:t>.</w:t>
      </w:r>
      <w:bookmarkEnd w:id="0"/>
      <w:bookmarkEnd w:id="1"/>
    </w:p>
    <w:p>
      <w:pPr>
        <w:pStyle w:val="Normal"/>
        <w:spacing w:lineRule="auto" w:line="240" w:before="0" w:after="0"/>
        <w:ind w:end="284"/>
        <w:jc w:val="center"/>
        <w:rPr>
          <w:rFonts w:ascii="Times New Roman" w:hAnsi="Times New Roman" w:cs="Times New Roman"/>
          <w:sz w:val="24"/>
          <w:szCs w:val="24"/>
        </w:rPr>
      </w:pPr>
      <w:r>
        <w:rPr>
          <w:rFonts w:cs="Times New Roman" w:ascii="Times New Roman" w:hAnsi="Times New Roman"/>
          <w:sz w:val="24"/>
          <w:szCs w:val="24"/>
        </w:rPr>
      </w:r>
    </w:p>
    <w:tbl>
      <w:tblPr>
        <w:tblW w:w="10206" w:type="dxa"/>
        <w:jc w:val="end"/>
        <w:tblInd w:w="0" w:type="dxa"/>
        <w:tblLayout w:type="fixed"/>
        <w:tblCellMar>
          <w:top w:w="0" w:type="dxa"/>
          <w:start w:w="5" w:type="dxa"/>
          <w:bottom w:w="0" w:type="dxa"/>
          <w:end w:w="0" w:type="dxa"/>
        </w:tblCellMar>
        <w:tblLook w:val="0000" w:noHBand="0" w:noVBand="0" w:firstColumn="0" w:lastRow="0" w:lastColumn="0" w:firstRow="0"/>
      </w:tblPr>
      <w:tblGrid>
        <w:gridCol w:w="562"/>
        <w:gridCol w:w="2268"/>
        <w:gridCol w:w="7376"/>
      </w:tblGrid>
      <w:tr>
        <w:trPr/>
        <w:tc>
          <w:tcPr>
            <w:tcW w:w="562" w:type="dxa"/>
            <w:tcBorders>
              <w:top w:val="single" w:sz="4" w:space="0" w:color="000000"/>
              <w:start w:val="single" w:sz="4" w:space="0" w:color="000000"/>
              <w:bottom w:val="single" w:sz="4" w:space="0" w:color="000000"/>
            </w:tcBorders>
            <w:vAlign w:val="center"/>
          </w:tcPr>
          <w:p>
            <w:pPr>
              <w:pStyle w:val="Normal"/>
              <w:snapToGrid w:val="false"/>
              <w:spacing w:lineRule="auto" w:line="240" w:before="0" w:after="0"/>
              <w:ind w:end="31"/>
              <w:jc w:val="center"/>
              <w:rPr>
                <w:rFonts w:ascii="Times New Roman" w:hAnsi="Times New Roman" w:cs="Times New Roman"/>
                <w:b/>
                <w:bCs/>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п/п</w:t>
            </w:r>
          </w:p>
        </w:tc>
        <w:tc>
          <w:tcPr>
            <w:tcW w:w="2268" w:type="dxa"/>
            <w:tcBorders>
              <w:top w:val="single" w:sz="4" w:space="0" w:color="000000"/>
              <w:start w:val="single" w:sz="4" w:space="0" w:color="000000"/>
              <w:bottom w:val="single" w:sz="4" w:space="0" w:color="000000"/>
            </w:tcBorders>
            <w:vAlign w:val="center"/>
          </w:tcPr>
          <w:p>
            <w:pPr>
              <w:pStyle w:val="Normal"/>
              <w:snapToGrid w:val="false"/>
              <w:spacing w:before="0" w:after="0"/>
              <w:ind w:start="282" w:end="284"/>
              <w:jc w:val="center"/>
              <w:rPr>
                <w:rFonts w:ascii="Times New Roman" w:hAnsi="Times New Roman" w:cs="Times New Roman"/>
                <w:b/>
                <w:bCs/>
                <w:sz w:val="24"/>
                <w:szCs w:val="24"/>
              </w:rPr>
            </w:pPr>
            <w:r>
              <w:rPr>
                <w:rFonts w:cs="Times New Roman" w:ascii="Times New Roman" w:hAnsi="Times New Roman"/>
                <w:b/>
                <w:bCs/>
                <w:sz w:val="24"/>
                <w:szCs w:val="24"/>
              </w:rPr>
              <w:t>Перечень основных данных и требований</w:t>
            </w:r>
          </w:p>
        </w:tc>
        <w:tc>
          <w:tcPr>
            <w:tcW w:w="73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ind w:firstLine="137" w:end="284"/>
              <w:jc w:val="center"/>
              <w:rPr>
                <w:rFonts w:ascii="Times New Roman" w:hAnsi="Times New Roman" w:cs="Times New Roman"/>
                <w:b/>
                <w:bCs/>
                <w:sz w:val="24"/>
                <w:szCs w:val="24"/>
              </w:rPr>
            </w:pPr>
            <w:r>
              <w:rPr>
                <w:rFonts w:cs="Times New Roman" w:ascii="Times New Roman" w:hAnsi="Times New Roman"/>
                <w:b/>
                <w:bCs/>
                <w:sz w:val="24"/>
                <w:szCs w:val="24"/>
              </w:rPr>
              <w:t>Содержание основных данных и требований</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jc w:val="both"/>
              <w:rPr>
                <w:rFonts w:ascii="Times New Roman" w:hAnsi="Times New Roman" w:cs="Times New Roman"/>
                <w:sz w:val="24"/>
                <w:szCs w:val="24"/>
              </w:rPr>
            </w:pPr>
            <w:r>
              <w:rPr>
                <w:rFonts w:cs="Times New Roman" w:ascii="Times New Roman" w:hAnsi="Times New Roman"/>
                <w:sz w:val="24"/>
                <w:szCs w:val="24"/>
              </w:rPr>
              <w:t>Основной Заказчик</w:t>
            </w:r>
          </w:p>
        </w:tc>
        <w:tc>
          <w:tcPr>
            <w:tcW w:w="7376"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0"/>
              <w:ind w:firstLine="137" w:start="84" w:end="140"/>
              <w:jc w:val="both"/>
              <w:rPr>
                <w:rFonts w:ascii="Times New Roman" w:hAnsi="Times New Roman" w:cs="Times New Roman"/>
                <w:color w:val="FF0000"/>
                <w:sz w:val="24"/>
                <w:szCs w:val="24"/>
              </w:rPr>
            </w:pPr>
            <w:r>
              <w:rPr>
                <w:rFonts w:cs="Times New Roman" w:ascii="Times New Roman" w:hAnsi="Times New Roman"/>
                <w:sz w:val="24"/>
                <w:szCs w:val="24"/>
              </w:rPr>
              <w:t>Акционерное общество «Управляющая компания «ОЭЗ Пермь».</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jc w:val="both"/>
              <w:rPr>
                <w:rFonts w:ascii="Times New Roman" w:hAnsi="Times New Roman" w:cs="Times New Roman"/>
                <w:sz w:val="24"/>
                <w:szCs w:val="24"/>
              </w:rPr>
            </w:pPr>
            <w:r>
              <w:rPr>
                <w:rFonts w:cs="Times New Roman" w:ascii="Times New Roman" w:hAnsi="Times New Roman"/>
                <w:sz w:val="24"/>
                <w:szCs w:val="24"/>
              </w:rPr>
              <w:t>Генподрядчик</w:t>
            </w:r>
          </w:p>
        </w:tc>
        <w:tc>
          <w:tcPr>
            <w:tcW w:w="7376"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0"/>
              <w:ind w:firstLine="137" w:start="84" w:end="140"/>
              <w:jc w:val="both"/>
              <w:rPr>
                <w:rFonts w:ascii="Times New Roman" w:hAnsi="Times New Roman" w:cs="Times New Roman"/>
                <w:sz w:val="24"/>
                <w:szCs w:val="24"/>
              </w:rPr>
            </w:pPr>
            <w:r>
              <w:rPr>
                <w:rFonts w:cs="Times New Roman" w:ascii="Times New Roman" w:hAnsi="Times New Roman"/>
                <w:sz w:val="24"/>
                <w:szCs w:val="24"/>
              </w:rPr>
              <w:t>ООО «РТС»</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jc w:val="both"/>
              <w:rPr>
                <w:rFonts w:ascii="Times New Roman" w:hAnsi="Times New Roman" w:cs="Times New Roman"/>
                <w:sz w:val="24"/>
                <w:szCs w:val="24"/>
              </w:rPr>
            </w:pPr>
            <w:r>
              <w:rPr>
                <w:rFonts w:cs="Times New Roman" w:ascii="Times New Roman" w:hAnsi="Times New Roman"/>
                <w:sz w:val="24"/>
                <w:szCs w:val="24"/>
              </w:rPr>
              <w:t>Подрядчик</w:t>
            </w:r>
          </w:p>
        </w:tc>
        <w:tc>
          <w:tcPr>
            <w:tcW w:w="7376"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0"/>
              <w:ind w:firstLine="137" w:start="84" w:end="140"/>
              <w:jc w:val="both"/>
              <w:rPr>
                <w:rFonts w:ascii="Times New Roman" w:hAnsi="Times New Roman" w:cs="Times New Roman"/>
                <w:sz w:val="24"/>
                <w:szCs w:val="24"/>
              </w:rPr>
            </w:pPr>
            <w:r>
              <w:rPr>
                <w:rFonts w:cs="Times New Roman" w:ascii="Times New Roman" w:hAnsi="Times New Roman"/>
                <w:sz w:val="24"/>
                <w:szCs w:val="24"/>
              </w:rPr>
              <w:t>ПАО «Ростелеком»</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jc w:val="both"/>
              <w:rPr>
                <w:rFonts w:ascii="Times New Roman" w:hAnsi="Times New Roman" w:cs="Times New Roman"/>
                <w:sz w:val="24"/>
                <w:szCs w:val="24"/>
              </w:rPr>
            </w:pPr>
            <w:r>
              <w:rPr>
                <w:rFonts w:cs="Times New Roman" w:ascii="Times New Roman" w:hAnsi="Times New Roman"/>
                <w:sz w:val="24"/>
                <w:szCs w:val="24"/>
              </w:rPr>
              <w:t>Субподрядчик</w:t>
            </w:r>
          </w:p>
        </w:tc>
        <w:tc>
          <w:tcPr>
            <w:tcW w:w="7376"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0"/>
              <w:ind w:firstLine="137" w:start="84" w:end="140"/>
              <w:jc w:val="both"/>
              <w:rPr>
                <w:rFonts w:ascii="Times New Roman" w:hAnsi="Times New Roman" w:cs="Times New Roman"/>
                <w:sz w:val="24"/>
                <w:szCs w:val="24"/>
              </w:rPr>
            </w:pPr>
            <w:r>
              <w:rPr>
                <w:rFonts w:cs="Times New Roman" w:ascii="Times New Roman" w:hAnsi="Times New Roman"/>
                <w:sz w:val="24"/>
                <w:szCs w:val="24"/>
              </w:rPr>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jc w:val="both"/>
              <w:rPr>
                <w:rFonts w:ascii="Times New Roman" w:hAnsi="Times New Roman" w:cs="Times New Roman"/>
                <w:sz w:val="24"/>
                <w:szCs w:val="24"/>
              </w:rPr>
            </w:pPr>
            <w:r>
              <w:rPr>
                <w:rFonts w:cs="Times New Roman" w:ascii="Times New Roman" w:hAnsi="Times New Roman"/>
                <w:sz w:val="24"/>
                <w:szCs w:val="24"/>
              </w:rPr>
              <w:t>Наименование объекта</w:t>
            </w:r>
          </w:p>
        </w:tc>
        <w:tc>
          <w:tcPr>
            <w:tcW w:w="7376"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0"/>
              <w:ind w:firstLine="137" w:start="84" w:end="140"/>
              <w:jc w:val="both"/>
              <w:rPr>
                <w:rFonts w:ascii="Times New Roman" w:hAnsi="Times New Roman" w:cs="Times New Roman"/>
                <w:sz w:val="24"/>
                <w:szCs w:val="24"/>
              </w:rPr>
            </w:pPr>
            <w:bookmarkStart w:id="2" w:name="_Hlk202774446"/>
            <w:r>
              <w:rPr>
                <w:rFonts w:cs="Times New Roman" w:ascii="Times New Roman" w:hAnsi="Times New Roman"/>
                <w:sz w:val="24"/>
                <w:szCs w:val="24"/>
              </w:rPr>
              <w:t>«Создание объектов инфраструктуры особой экономической зоны промышленно – производственного типа «Пермь». Этап 2. Внутренние инженерные сети и иные технологические присоединения к внешним инженерным сетям. Транспортная инфраструктура»</w:t>
            </w:r>
            <w:bookmarkEnd w:id="2"/>
            <w:r>
              <w:rPr>
                <w:rFonts w:cs="Times New Roman" w:ascii="Times New Roman" w:hAnsi="Times New Roman"/>
                <w:sz w:val="24"/>
                <w:szCs w:val="24"/>
              </w:rPr>
              <w:t xml:space="preserve"> (далее – Объект).</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jc w:val="both"/>
              <w:rPr>
                <w:rFonts w:ascii="Times New Roman" w:hAnsi="Times New Roman" w:cs="Times New Roman"/>
                <w:sz w:val="24"/>
                <w:szCs w:val="24"/>
              </w:rPr>
            </w:pPr>
            <w:r>
              <w:rPr>
                <w:rFonts w:cs="Times New Roman" w:ascii="Times New Roman" w:hAnsi="Times New Roman"/>
                <w:sz w:val="24"/>
                <w:szCs w:val="24"/>
              </w:rPr>
              <w:t>Место расположения объекта</w:t>
            </w:r>
          </w:p>
        </w:tc>
        <w:tc>
          <w:tcPr>
            <w:tcW w:w="7376"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0"/>
              <w:ind w:firstLine="137" w:start="84" w:end="140"/>
              <w:jc w:val="both"/>
              <w:rPr>
                <w:rFonts w:ascii="Times New Roman" w:hAnsi="Times New Roman" w:cs="Times New Roman"/>
                <w:sz w:val="24"/>
                <w:szCs w:val="24"/>
              </w:rPr>
            </w:pPr>
            <w:r>
              <w:rPr>
                <w:rFonts w:cs="Times New Roman" w:ascii="Times New Roman" w:hAnsi="Times New Roman"/>
                <w:sz w:val="24"/>
                <w:szCs w:val="24"/>
              </w:rPr>
              <w:t>Российская Федерация, Пермский край, Пермский муниципальный округ, с.п. Гамовское, кадастровый номер 59:32:3960006:7404 и участков, образованных из него, и прилегающая к земельному участку территория (в т.ч. муниципальные земли и территория АО «Сибур-Химпром»).</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jc w:val="both"/>
              <w:rPr>
                <w:rFonts w:ascii="Times New Roman" w:hAnsi="Times New Roman" w:cs="Times New Roman"/>
                <w:sz w:val="24"/>
                <w:szCs w:val="24"/>
              </w:rPr>
            </w:pPr>
            <w:r>
              <w:rPr>
                <w:rFonts w:cs="Times New Roman" w:ascii="Times New Roman" w:hAnsi="Times New Roman"/>
                <w:sz w:val="24"/>
                <w:szCs w:val="24"/>
              </w:rPr>
              <w:t>Основание для выполнения работ</w:t>
            </w:r>
          </w:p>
        </w:tc>
        <w:tc>
          <w:tcPr>
            <w:tcW w:w="7376" w:type="dxa"/>
            <w:tcBorders>
              <w:top w:val="single" w:sz="4" w:space="0" w:color="000000"/>
              <w:start w:val="single" w:sz="4" w:space="0" w:color="000000"/>
              <w:bottom w:val="single" w:sz="4" w:space="0" w:color="000000"/>
              <w:end w:val="single" w:sz="4" w:space="0" w:color="000000"/>
            </w:tcBorders>
          </w:tcPr>
          <w:p>
            <w:pPr>
              <w:pStyle w:val="ListParagraph"/>
              <w:spacing w:before="0" w:after="0"/>
              <w:ind w:start="140" w:end="140"/>
              <w:contextualSpacing/>
              <w:jc w:val="both"/>
              <w:rPr>
                <w:rFonts w:ascii="Times New Roman" w:hAnsi="Times New Roman" w:cs="Times New Roman"/>
                <w:sz w:val="24"/>
                <w:szCs w:val="24"/>
              </w:rPr>
            </w:pPr>
            <w:r>
              <w:rPr>
                <w:rFonts w:cs="Times New Roman" w:ascii="Times New Roman" w:hAnsi="Times New Roman"/>
                <w:sz w:val="24"/>
                <w:szCs w:val="24"/>
              </w:rPr>
              <w:t>Обязательным правовым основанием для выполнения работ является Договор, , в котором указываются виды работ, объемы, сроки выполнения, требования к качеству, а также нормативные правовые акты, регламентирующие выполнение работ.</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bCs/>
                <w:iCs/>
                <w:sz w:val="24"/>
                <w:szCs w:val="24"/>
              </w:rPr>
            </w:pPr>
            <w:r>
              <w:rPr>
                <w:rFonts w:eastAsia="Times New Roman" w:cs="Verdana" w:ascii="Times New Roman" w:hAnsi="Times New Roman"/>
                <w:bCs/>
                <w:iCs/>
                <w:color w:val="000000"/>
                <w:sz w:val="24"/>
                <w:szCs w:val="24"/>
                <w:lang w:val="en-US" w:eastAsia="zh-CN"/>
              </w:rPr>
              <w:t>Основание для выполнения работ:</w:t>
            </w:r>
          </w:p>
        </w:tc>
        <w:tc>
          <w:tcPr>
            <w:tcW w:w="7376"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0"/>
              <w:ind w:end="140"/>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Доходный договор </w:t>
            </w:r>
            <w:r>
              <w:rPr>
                <w:rFonts w:cs="Times New Roman" w:ascii="Times New Roman" w:hAnsi="Times New Roman"/>
                <w:bCs/>
                <w:iCs/>
                <w:color w:val="000000"/>
                <w:sz w:val="24"/>
                <w:szCs w:val="24"/>
              </w:rPr>
              <w:t>___________</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bCs/>
                <w:iCs/>
                <w:sz w:val="24"/>
                <w:szCs w:val="24"/>
              </w:rPr>
            </w:pPr>
            <w:r>
              <w:rPr>
                <w:rFonts w:eastAsia="Times New Roman" w:cs="Verdana" w:ascii="Times New Roman" w:hAnsi="Times New Roman"/>
                <w:bCs/>
                <w:iCs/>
                <w:color w:val="000000"/>
                <w:sz w:val="24"/>
                <w:szCs w:val="24"/>
                <w:lang w:val="en-US" w:eastAsia="zh-CN"/>
              </w:rPr>
              <w:t>Цель работ:</w:t>
            </w:r>
          </w:p>
        </w:tc>
        <w:tc>
          <w:tcPr>
            <w:tcW w:w="7376"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0"/>
              <w:ind w:end="140"/>
              <w:jc w:val="both"/>
              <w:rPr>
                <w:rFonts w:ascii="Times New Roman" w:hAnsi="Times New Roman" w:eastAsia="Times New Roman" w:cs="Times New Roman"/>
                <w:sz w:val="24"/>
                <w:szCs w:val="24"/>
                <w:lang w:eastAsia="ru-RU"/>
              </w:rPr>
            </w:pPr>
            <w:r>
              <w:rPr>
                <w:rFonts w:cs="Times New Roman" w:ascii="Times New Roman" w:hAnsi="Times New Roman"/>
                <w:color w:val="000000"/>
                <w:sz w:val="24"/>
                <w:szCs w:val="24"/>
              </w:rPr>
              <w:t xml:space="preserve">Внесение изменений, доработка рабочей документации на БМК, с согласованием Заказчиком, Генподрядчиком и авторским надзором, в случае необходимости разработка\доработка проектной документации с перепрохождением государственной экспертизы, </w:t>
            </w:r>
            <w:r>
              <w:rPr>
                <w:rFonts w:cs="Times New Roman" w:ascii="Times New Roman" w:hAnsi="Times New Roman"/>
                <w:sz w:val="24"/>
                <w:szCs w:val="24"/>
              </w:rPr>
              <w:t xml:space="preserve">выполнение комплекса работ по комплектации, изготовлению, поставке, монтажу на готовые фундаменты и пуско-наладочным работам четырех </w:t>
            </w:r>
            <w:r>
              <w:rPr>
                <w:rFonts w:cs="Times New Roman" w:ascii="Times New Roman" w:hAnsi="Times New Roman"/>
                <w:color w:val="000000"/>
                <w:sz w:val="24"/>
                <w:szCs w:val="24"/>
              </w:rPr>
              <w:t xml:space="preserve">блочно-модульных котельных </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cs="Times New Roman" w:ascii="Times New Roman" w:hAnsi="Times New Roman"/>
                <w:sz w:val="24"/>
                <w:szCs w:val="24"/>
              </w:rPr>
              <w:t>Сроки выполнения работ</w:t>
            </w:r>
          </w:p>
        </w:tc>
        <w:tc>
          <w:tcPr>
            <w:tcW w:w="7376"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0"/>
              <w:ind w:end="1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Сроки выполнения работ устанавливаются в соответствии с Договором. </w:t>
            </w:r>
          </w:p>
          <w:p>
            <w:pPr>
              <w:pStyle w:val="Normal"/>
              <w:snapToGrid w:val="false"/>
              <w:spacing w:before="0" w:after="0"/>
              <w:ind w:end="140"/>
              <w:jc w:val="both"/>
              <w:rPr>
                <w:rFonts w:ascii="Times New Roman" w:hAnsi="Times New Roman" w:cs="Times New Roman"/>
                <w:color w:val="FF0000"/>
                <w:sz w:val="24"/>
                <w:szCs w:val="24"/>
              </w:rPr>
            </w:pPr>
            <w:r>
              <w:rPr>
                <w:rFonts w:eastAsia="Times New Roman" w:cs="Times New Roman" w:ascii="Times New Roman" w:hAnsi="Times New Roman"/>
                <w:sz w:val="24"/>
                <w:szCs w:val="24"/>
                <w:lang w:eastAsia="ru-RU"/>
              </w:rPr>
              <w:t>Работы выполняются в соответствии с графиком выполнения работ (Приложение №  к Договору).</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start="-2" w:end="141"/>
              <w:jc w:val="both"/>
              <w:rPr>
                <w:rFonts w:ascii="Times New Roman" w:hAnsi="Times New Roman" w:cs="Times New Roman"/>
                <w:sz w:val="24"/>
                <w:szCs w:val="24"/>
              </w:rPr>
            </w:pPr>
            <w:r>
              <w:rPr>
                <w:rFonts w:cs="Times New Roman" w:ascii="Times New Roman" w:hAnsi="Times New Roman"/>
                <w:sz w:val="24"/>
                <w:szCs w:val="24"/>
              </w:rPr>
              <w:t>Источник финансирования</w:t>
            </w:r>
          </w:p>
        </w:tc>
        <w:tc>
          <w:tcPr>
            <w:tcW w:w="7376"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0"/>
              <w:ind w:start="84" w:end="140"/>
              <w:jc w:val="both"/>
              <w:rPr>
                <w:rFonts w:ascii="Times New Roman" w:hAnsi="Times New Roman" w:cs="Times New Roman"/>
                <w:color w:val="FF0000"/>
                <w:sz w:val="24"/>
                <w:szCs w:val="24"/>
              </w:rPr>
            </w:pPr>
            <w:r>
              <w:rPr>
                <w:rFonts w:eastAsia="Times New Roman" w:cs="Times New Roman" w:ascii="Times New Roman" w:hAnsi="Times New Roman"/>
                <w:sz w:val="24"/>
                <w:szCs w:val="24"/>
                <w:lang w:eastAsia="ru-RU"/>
              </w:rPr>
              <w:t>Финансирование строительства объекта осуществляется за счет средств бюджетных инвестиций из бюджета Пермского края на взнос в уставный капитал АО «Управляющая компания «ОЭЗ Пермь» в целях строительства объектов инженерной и транспортной инфраструктуры особой экономической зоны.</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jc w:val="both"/>
              <w:rPr>
                <w:rFonts w:ascii="Times New Roman" w:hAnsi="Times New Roman" w:cs="Times New Roman"/>
                <w:sz w:val="24"/>
                <w:szCs w:val="24"/>
              </w:rPr>
            </w:pPr>
            <w:r>
              <w:rPr>
                <w:rFonts w:cs="Times New Roman" w:ascii="Times New Roman" w:hAnsi="Times New Roman"/>
                <w:sz w:val="24"/>
                <w:szCs w:val="24"/>
              </w:rPr>
              <w:t>Вид работ</w:t>
            </w:r>
          </w:p>
        </w:tc>
        <w:tc>
          <w:tcPr>
            <w:tcW w:w="7376"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0"/>
              <w:ind w:start="84" w:end="14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Изготовление, поставка, монтаж на готовые фундаменты БМК и дымовых труб к ним, пуско-наладочные работы.</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jc w:val="both"/>
              <w:rPr>
                <w:rFonts w:ascii="Times New Roman" w:hAnsi="Times New Roman" w:cs="Times New Roman"/>
                <w:sz w:val="24"/>
                <w:szCs w:val="24"/>
              </w:rPr>
            </w:pPr>
            <w:r>
              <w:rPr>
                <w:rFonts w:cs="Times New Roman" w:ascii="Times New Roman" w:hAnsi="Times New Roman"/>
                <w:sz w:val="24"/>
                <w:szCs w:val="24"/>
              </w:rPr>
              <w:t>Техническая документация, предоставляемая Подрядчиком</w:t>
            </w:r>
          </w:p>
        </w:tc>
        <w:tc>
          <w:tcPr>
            <w:tcW w:w="7376"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548" w:leader="none"/>
              </w:tabs>
              <w:snapToGrid w:val="false"/>
              <w:spacing w:before="0" w:after="0"/>
              <w:ind w:firstLine="137" w:start="84" w:end="1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Результаты инженерных изысканий, проектная и рабочая документация по Объекту, в том числе: </w:t>
            </w:r>
          </w:p>
          <w:p>
            <w:pPr>
              <w:pStyle w:val="Normal"/>
              <w:tabs>
                <w:tab w:val="clear" w:pos="709"/>
                <w:tab w:val="left" w:pos="548" w:leader="none"/>
              </w:tabs>
              <w:snapToGrid w:val="false"/>
              <w:spacing w:before="0" w:after="0"/>
              <w:ind w:firstLine="137" w:start="84" w:end="1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технические отчеты по инженерным изысканиям </w:t>
            </w:r>
            <w:r>
              <w:rPr>
                <w:rFonts w:cs="Times New Roman" w:ascii="Times New Roman" w:hAnsi="Times New Roman"/>
                <w:sz w:val="24"/>
                <w:szCs w:val="24"/>
              </w:rPr>
              <w:t>(шифр 5-1139-2)</w:t>
            </w:r>
            <w:r>
              <w:rPr>
                <w:rFonts w:eastAsia="Times New Roman" w:cs="Times New Roman" w:ascii="Times New Roman" w:hAnsi="Times New Roman"/>
                <w:sz w:val="24"/>
                <w:szCs w:val="24"/>
                <w:lang w:eastAsia="ru-RU"/>
              </w:rPr>
              <w:t xml:space="preserve"> (Приложение № 1 к настоящему заданию);</w:t>
            </w:r>
          </w:p>
          <w:p>
            <w:pPr>
              <w:pStyle w:val="Normal"/>
              <w:tabs>
                <w:tab w:val="clear" w:pos="709"/>
                <w:tab w:val="left" w:pos="548" w:leader="none"/>
              </w:tabs>
              <w:snapToGrid w:val="false"/>
              <w:spacing w:before="0" w:after="0"/>
              <w:ind w:firstLine="137" w:start="84" w:end="1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проектная документация </w:t>
            </w:r>
            <w:r>
              <w:rPr>
                <w:rFonts w:cs="Times New Roman" w:ascii="Times New Roman" w:hAnsi="Times New Roman"/>
                <w:sz w:val="24"/>
                <w:szCs w:val="24"/>
              </w:rPr>
              <w:t>(шифр 5-1139-2)</w:t>
            </w:r>
            <w:r>
              <w:rPr>
                <w:rFonts w:eastAsia="Times New Roman" w:cs="Times New Roman" w:ascii="Times New Roman" w:hAnsi="Times New Roman"/>
                <w:sz w:val="24"/>
                <w:szCs w:val="24"/>
                <w:lang w:eastAsia="ru-RU"/>
              </w:rPr>
              <w:t xml:space="preserve"> (Приложение № 2 к настоящему заданию);</w:t>
            </w:r>
          </w:p>
          <w:p>
            <w:pPr>
              <w:pStyle w:val="Normal"/>
              <w:tabs>
                <w:tab w:val="clear" w:pos="709"/>
                <w:tab w:val="left" w:pos="548" w:leader="none"/>
              </w:tabs>
              <w:snapToGrid w:val="false"/>
              <w:spacing w:before="0" w:after="0"/>
              <w:ind w:firstLine="137" w:start="84" w:end="1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рабочая документация </w:t>
            </w:r>
            <w:r>
              <w:rPr>
                <w:rFonts w:cs="Times New Roman" w:ascii="Times New Roman" w:hAnsi="Times New Roman"/>
                <w:sz w:val="24"/>
                <w:szCs w:val="24"/>
              </w:rPr>
              <w:t>(шифр 5-1139-Р/2)</w:t>
            </w:r>
            <w:r>
              <w:rPr>
                <w:rFonts w:eastAsia="Times New Roman" w:cs="Times New Roman" w:ascii="Times New Roman" w:hAnsi="Times New Roman"/>
                <w:sz w:val="24"/>
                <w:szCs w:val="24"/>
                <w:lang w:eastAsia="ru-RU"/>
              </w:rPr>
              <w:t xml:space="preserve"> (Приложение № 3 к настоящему заданию);</w:t>
            </w:r>
          </w:p>
          <w:p>
            <w:pPr>
              <w:pStyle w:val="Normal"/>
              <w:snapToGrid w:val="false"/>
              <w:spacing w:before="0" w:after="0"/>
              <w:ind w:firstLine="137" w:start="84" w:end="140"/>
              <w:jc w:val="both"/>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Документация предоставляется Подрядчиком Субподрядчику в </w:t>
            </w:r>
            <w:r>
              <w:rPr>
                <w:rFonts w:eastAsia="Times New Roman" w:cs="Times New Roman" w:ascii="Times New Roman" w:hAnsi="Times New Roman"/>
                <w:color w:val="auto"/>
                <w:kern w:val="0"/>
                <w:sz w:val="24"/>
                <w:szCs w:val="24"/>
                <w:lang w:val="ru-RU" w:eastAsia="ru-RU" w:bidi="ar-SA"/>
              </w:rPr>
              <w:t xml:space="preserve">бумажном виде </w:t>
            </w:r>
            <w:r>
              <w:rPr>
                <w:rFonts w:eastAsia="Times New Roman" w:cs="Times New Roman" w:ascii="Times New Roman" w:hAnsi="Times New Roman"/>
                <w:sz w:val="24"/>
                <w:szCs w:val="24"/>
                <w:lang w:eastAsia="ru-RU"/>
              </w:rPr>
              <w:t>и при наличии в редактируемом формате</w:t>
            </w:r>
            <w:r>
              <w:rPr>
                <w:rFonts w:cs="Times New Roman" w:ascii="Times New Roman" w:hAnsi="Times New Roman"/>
                <w:sz w:val="24"/>
                <w:szCs w:val="24"/>
              </w:rPr>
              <w:t>.</w:t>
            </w:r>
            <w:r>
              <w:rPr>
                <w:rFonts w:cs="Times New Roman" w:ascii="Times New Roman" w:hAnsi="Times New Roman"/>
                <w:sz w:val="24"/>
                <w:szCs w:val="24"/>
                <w:lang w:val="en-US"/>
              </w:rPr>
              <w:t>pdf</w:t>
            </w:r>
            <w:r>
              <w:rPr>
                <w:rFonts w:cs="Times New Roman" w:ascii="Times New Roman" w:hAnsi="Times New Roman"/>
                <w:sz w:val="24"/>
                <w:szCs w:val="24"/>
              </w:rPr>
              <w:t xml:space="preserve"> –и в  форматах .dwg и .mif исполнительные схемы в масштабе 1:500, текстовые и табличные материалы в форматах .</w:t>
            </w:r>
            <w:r>
              <w:rPr>
                <w:rFonts w:cs="Times New Roman" w:ascii="Times New Roman" w:hAnsi="Times New Roman"/>
                <w:sz w:val="24"/>
                <w:szCs w:val="24"/>
                <w:lang w:val="en-US"/>
              </w:rPr>
              <w:t>xlsx</w:t>
            </w:r>
            <w:r>
              <w:rPr>
                <w:rFonts w:cs="Times New Roman" w:ascii="Times New Roman" w:hAnsi="Times New Roman"/>
                <w:sz w:val="24"/>
                <w:szCs w:val="24"/>
              </w:rPr>
              <w:t xml:space="preserve"> и .</w:t>
            </w:r>
            <w:r>
              <w:rPr>
                <w:rFonts w:cs="Times New Roman" w:ascii="Times New Roman" w:hAnsi="Times New Roman"/>
                <w:sz w:val="24"/>
                <w:szCs w:val="24"/>
                <w:lang w:val="en-US"/>
              </w:rPr>
              <w:t>word</w:t>
            </w:r>
            <w:r>
              <w:rPr>
                <w:rFonts w:eastAsia="Times New Roman" w:cs="Times New Roman" w:ascii="Times New Roman" w:hAnsi="Times New Roman"/>
                <w:sz w:val="24"/>
                <w:szCs w:val="24"/>
                <w:lang w:eastAsia="ru-RU"/>
              </w:rPr>
              <w:t xml:space="preserve"> после заключения Договора в течении 5 рабочих дней.</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cs="Times New Roman" w:ascii="Times New Roman" w:hAnsi="Times New Roman"/>
                <w:sz w:val="24"/>
                <w:szCs w:val="24"/>
              </w:rPr>
              <w:t>Перечень и объем выполняемых работ</w:t>
            </w:r>
          </w:p>
        </w:tc>
        <w:tc>
          <w:tcPr>
            <w:tcW w:w="7376"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548" w:leader="none"/>
              </w:tabs>
              <w:snapToGrid w:val="false"/>
              <w:spacing w:before="0" w:after="0"/>
              <w:ind w:firstLine="137" w:start="84" w:end="140"/>
              <w:jc w:val="both"/>
              <w:rPr>
                <w:rFonts w:ascii="Times New Roman" w:hAnsi="Times New Roman" w:cs="Times New Roman"/>
                <w:sz w:val="24"/>
                <w:szCs w:val="24"/>
              </w:rPr>
            </w:pPr>
            <w:r>
              <w:rPr>
                <w:rFonts w:cs="Times New Roman" w:ascii="Times New Roman" w:hAnsi="Times New Roman"/>
                <w:sz w:val="24"/>
                <w:szCs w:val="24"/>
              </w:rPr>
              <w:t xml:space="preserve">Выполнение изготовления, поставки, монтажа на готовые фундаменты четырех БМК и дымовых труб к ним, а также получение временного допуска тепловой энергоустановки (под ПНР), проведение мероприятий по консервации БМК, </w:t>
            </w:r>
            <w:bookmarkStart w:id="3" w:name="_Hlk166676375"/>
            <w:r>
              <w:rPr>
                <w:rFonts w:cs="Times New Roman" w:ascii="Times New Roman" w:hAnsi="Times New Roman"/>
                <w:sz w:val="24"/>
                <w:szCs w:val="24"/>
              </w:rPr>
              <w:t xml:space="preserve"> в соответствии с доработанной рабочей\проектной документации на основе  рабочей документацией:</w:t>
            </w:r>
          </w:p>
          <w:tbl>
            <w:tblPr>
              <w:tblpPr w:vertAnchor="text" w:horzAnchor="text" w:leftFromText="180" w:rightFromText="180" w:tblpX="230" w:tblpY="1"/>
              <w:tblOverlap w:val="never"/>
              <w:tblW w:w="6799" w:type="dxa"/>
              <w:jc w:val="start"/>
              <w:tblInd w:w="-5" w:type="dxa"/>
              <w:tblLayout w:type="fixed"/>
              <w:tblCellMar>
                <w:top w:w="28" w:type="dxa"/>
                <w:start w:w="108" w:type="dxa"/>
                <w:bottom w:w="28" w:type="dxa"/>
                <w:end w:w="108" w:type="dxa"/>
              </w:tblCellMar>
              <w:tblLook w:val="0000" w:noHBand="0" w:noVBand="0" w:firstColumn="0" w:lastRow="0" w:lastColumn="0" w:firstRow="0"/>
            </w:tblPr>
            <w:tblGrid>
              <w:gridCol w:w="1979"/>
              <w:gridCol w:w="4820"/>
            </w:tblGrid>
            <w:tr>
              <w:trPr>
                <w:trHeight w:val="297" w:hRule="atLeast"/>
              </w:trPr>
              <w:tc>
                <w:tcPr>
                  <w:tcW w:w="1979" w:type="dxa"/>
                  <w:tcBorders>
                    <w:top w:val="single" w:sz="4" w:space="0" w:color="000000"/>
                    <w:start w:val="single" w:sz="4" w:space="0" w:color="000000"/>
                    <w:bottom w:val="single" w:sz="4" w:space="0" w:color="000000"/>
                    <w:end w:val="single" w:sz="4" w:space="0" w:color="000000"/>
                  </w:tcBorders>
                </w:tcPr>
                <w:p>
                  <w:pPr>
                    <w:pStyle w:val="Style26"/>
                    <w:spacing w:beforeAutospacing="1" w:after="0"/>
                    <w:ind w:hanging="8" w:start="8"/>
                    <w:rPr>
                      <w:bCs/>
                      <w:szCs w:val="32"/>
                    </w:rPr>
                  </w:pPr>
                  <w:r>
                    <w:rPr/>
                    <w:t>5-1139-Р/2-ТМ1</w:t>
                  </w:r>
                </w:p>
              </w:tc>
              <w:tc>
                <w:tcPr>
                  <w:tcW w:w="4820" w:type="dxa"/>
                  <w:tcBorders>
                    <w:top w:val="single" w:sz="4" w:space="0" w:color="000000"/>
                    <w:start w:val="single" w:sz="4" w:space="0" w:color="000000"/>
                    <w:bottom w:val="single" w:sz="4" w:space="0" w:color="000000"/>
                    <w:end w:val="single" w:sz="4" w:space="0" w:color="000000"/>
                  </w:tcBorders>
                </w:tcPr>
                <w:p>
                  <w:pPr>
                    <w:pStyle w:val="Style26"/>
                    <w:spacing w:before="60" w:after="0"/>
                    <w:ind w:hanging="8" w:start="8"/>
                    <w:contextualSpacing/>
                    <w:jc w:val="start"/>
                    <w:rPr>
                      <w:bCs/>
                    </w:rPr>
                  </w:pPr>
                  <w:r>
                    <w:rPr/>
                    <w:t>Блочно-модульная газовая котельная 0,3 МВт</w:t>
                  </w:r>
                </w:p>
              </w:tc>
            </w:tr>
            <w:tr>
              <w:trPr>
                <w:trHeight w:val="297" w:hRule="atLeast"/>
              </w:trPr>
              <w:tc>
                <w:tcPr>
                  <w:tcW w:w="1979" w:type="dxa"/>
                  <w:tcBorders>
                    <w:top w:val="single" w:sz="4" w:space="0" w:color="000000"/>
                    <w:start w:val="single" w:sz="4" w:space="0" w:color="000000"/>
                    <w:bottom w:val="single" w:sz="4" w:space="0" w:color="000000"/>
                    <w:end w:val="single" w:sz="4" w:space="0" w:color="000000"/>
                  </w:tcBorders>
                </w:tcPr>
                <w:p>
                  <w:pPr>
                    <w:pStyle w:val="Style26"/>
                    <w:spacing w:beforeAutospacing="1" w:after="0"/>
                    <w:ind w:hanging="8" w:start="8"/>
                    <w:rPr>
                      <w:bCs/>
                      <w:szCs w:val="32"/>
                    </w:rPr>
                  </w:pPr>
                  <w:r>
                    <w:rPr/>
                    <w:t>5-1139-Р/2-ТМ2</w:t>
                  </w:r>
                </w:p>
              </w:tc>
              <w:tc>
                <w:tcPr>
                  <w:tcW w:w="4820" w:type="dxa"/>
                  <w:tcBorders>
                    <w:top w:val="single" w:sz="4" w:space="0" w:color="000000"/>
                    <w:start w:val="single" w:sz="4" w:space="0" w:color="000000"/>
                    <w:bottom w:val="single" w:sz="4" w:space="0" w:color="000000"/>
                    <w:end w:val="single" w:sz="4" w:space="0" w:color="000000"/>
                  </w:tcBorders>
                </w:tcPr>
                <w:p>
                  <w:pPr>
                    <w:pStyle w:val="Style26"/>
                    <w:spacing w:before="60" w:after="0"/>
                    <w:ind w:hanging="8" w:start="8"/>
                    <w:contextualSpacing/>
                    <w:jc w:val="start"/>
                    <w:rPr>
                      <w:bCs/>
                    </w:rPr>
                  </w:pPr>
                  <w:r>
                    <w:rPr/>
                    <w:t>Блочно-модульная газовая котельная 0,5 МВт</w:t>
                  </w:r>
                </w:p>
              </w:tc>
            </w:tr>
            <w:tr>
              <w:trPr>
                <w:trHeight w:val="297" w:hRule="atLeast"/>
              </w:trPr>
              <w:tc>
                <w:tcPr>
                  <w:tcW w:w="1979" w:type="dxa"/>
                  <w:tcBorders>
                    <w:top w:val="single" w:sz="4" w:space="0" w:color="000000"/>
                    <w:start w:val="single" w:sz="4" w:space="0" w:color="000000"/>
                    <w:bottom w:val="single" w:sz="4" w:space="0" w:color="000000"/>
                    <w:end w:val="single" w:sz="4" w:space="0" w:color="000000"/>
                  </w:tcBorders>
                </w:tcPr>
                <w:p>
                  <w:pPr>
                    <w:pStyle w:val="Style26"/>
                    <w:spacing w:beforeAutospacing="1" w:after="0"/>
                    <w:ind w:hanging="8" w:start="8"/>
                    <w:rPr>
                      <w:bCs/>
                      <w:szCs w:val="32"/>
                    </w:rPr>
                  </w:pPr>
                  <w:r>
                    <w:rPr/>
                    <w:t>5-1139-Р/2-ТМ3</w:t>
                  </w:r>
                </w:p>
              </w:tc>
              <w:tc>
                <w:tcPr>
                  <w:tcW w:w="4820" w:type="dxa"/>
                  <w:tcBorders>
                    <w:top w:val="single" w:sz="4" w:space="0" w:color="000000"/>
                    <w:start w:val="single" w:sz="4" w:space="0" w:color="000000"/>
                    <w:bottom w:val="single" w:sz="4" w:space="0" w:color="000000"/>
                    <w:end w:val="single" w:sz="4" w:space="0" w:color="000000"/>
                  </w:tcBorders>
                </w:tcPr>
                <w:p>
                  <w:pPr>
                    <w:pStyle w:val="Style26"/>
                    <w:spacing w:before="60" w:after="0"/>
                    <w:ind w:hanging="8" w:start="8"/>
                    <w:contextualSpacing/>
                    <w:jc w:val="start"/>
                    <w:rPr>
                      <w:bCs/>
                    </w:rPr>
                  </w:pPr>
                  <w:r>
                    <w:rPr/>
                    <w:t>Блочно-модульная газовая котельная 1,0 МВт</w:t>
                  </w:r>
                </w:p>
              </w:tc>
            </w:tr>
            <w:tr>
              <w:trPr>
                <w:trHeight w:val="297" w:hRule="atLeast"/>
              </w:trPr>
              <w:tc>
                <w:tcPr>
                  <w:tcW w:w="1979" w:type="dxa"/>
                  <w:tcBorders>
                    <w:top w:val="single" w:sz="4" w:space="0" w:color="000000"/>
                    <w:start w:val="single" w:sz="4" w:space="0" w:color="000000"/>
                    <w:bottom w:val="single" w:sz="4" w:space="0" w:color="000000"/>
                    <w:end w:val="single" w:sz="4" w:space="0" w:color="000000"/>
                  </w:tcBorders>
                </w:tcPr>
                <w:p>
                  <w:pPr>
                    <w:pStyle w:val="Style26"/>
                    <w:spacing w:beforeAutospacing="1" w:after="0"/>
                    <w:ind w:hanging="8" w:start="8"/>
                    <w:rPr>
                      <w:bCs/>
                      <w:szCs w:val="32"/>
                    </w:rPr>
                  </w:pPr>
                  <w:r>
                    <w:rPr/>
                    <w:t>5-1139-Р/2-ТМ4</w:t>
                  </w:r>
                </w:p>
              </w:tc>
              <w:tc>
                <w:tcPr>
                  <w:tcW w:w="4820" w:type="dxa"/>
                  <w:tcBorders>
                    <w:top w:val="single" w:sz="4" w:space="0" w:color="000000"/>
                    <w:start w:val="single" w:sz="4" w:space="0" w:color="000000"/>
                    <w:bottom w:val="single" w:sz="4" w:space="0" w:color="000000"/>
                    <w:end w:val="single" w:sz="4" w:space="0" w:color="000000"/>
                  </w:tcBorders>
                </w:tcPr>
                <w:p>
                  <w:pPr>
                    <w:pStyle w:val="Style26"/>
                    <w:spacing w:before="60" w:after="0"/>
                    <w:ind w:hanging="8" w:start="8"/>
                    <w:contextualSpacing/>
                    <w:jc w:val="start"/>
                    <w:rPr>
                      <w:bCs/>
                    </w:rPr>
                  </w:pPr>
                  <w:r>
                    <w:rPr/>
                    <w:t>Блочно-модульная газовая котельная 15,0 МВт</w:t>
                  </w:r>
                </w:p>
              </w:tc>
            </w:tr>
          </w:tbl>
          <w:p>
            <w:pPr>
              <w:pStyle w:val="Normal"/>
              <w:tabs>
                <w:tab w:val="clear" w:pos="709"/>
                <w:tab w:val="left" w:pos="548" w:leader="none"/>
              </w:tabs>
              <w:snapToGrid w:val="false"/>
              <w:spacing w:before="0" w:after="0"/>
              <w:ind w:start="84" w:end="140"/>
              <w:jc w:val="both"/>
              <w:rPr>
                <w:rFonts w:ascii="Times New Roman" w:hAnsi="Times New Roman" w:cs="Times New Roman"/>
                <w:sz w:val="24"/>
                <w:szCs w:val="24"/>
              </w:rPr>
            </w:pPr>
            <w:r/>
            <w:r>
              <w:rPr>
                <w:rFonts w:cs="Times New Roman" w:ascii="Times New Roman" w:hAnsi="Times New Roman"/>
                <w:sz w:val="24"/>
                <w:szCs w:val="24"/>
              </w:rPr>
              <w:t xml:space="preserve"> </w:t>
            </w:r>
            <w:r>
              <w:rPr>
                <w:rFonts w:cs="Times New Roman" w:ascii="Times New Roman" w:hAnsi="Times New Roman"/>
                <w:sz w:val="24"/>
                <w:szCs w:val="24"/>
              </w:rPr>
              <w:t>разработанной на основании проектной документации</w:t>
            </w:r>
            <w:bookmarkEnd w:id="3"/>
            <w:r>
              <w:rPr>
                <w:rFonts w:eastAsia="Times New Roman" w:cs="Times New Roman" w:ascii="Times New Roman" w:hAnsi="Times New Roman"/>
                <w:sz w:val="24"/>
                <w:szCs w:val="24"/>
                <w:lang w:eastAsia="ru-RU"/>
              </w:rPr>
              <w:t xml:space="preserve"> (шифр 5-1139-2)</w:t>
            </w:r>
            <w:r>
              <w:rPr>
                <w:rFonts w:cs="Times New Roman" w:ascii="Times New Roman" w:hAnsi="Times New Roman"/>
                <w:sz w:val="24"/>
                <w:szCs w:val="24"/>
              </w:rPr>
              <w:t xml:space="preserve">, а также работ и мероприятий в </w:t>
            </w:r>
            <w:r>
              <w:rPr>
                <w:rFonts w:eastAsia="Times New Roman" w:cs="Times New Roman" w:ascii="Times New Roman" w:hAnsi="Times New Roman"/>
                <w:sz w:val="24"/>
                <w:szCs w:val="24"/>
                <w:lang w:eastAsia="ru-RU"/>
              </w:rPr>
              <w:t>целях выполняемых работ</w:t>
            </w:r>
            <w:r>
              <w:rPr>
                <w:rFonts w:cs="Times New Roman" w:ascii="Times New Roman" w:hAnsi="Times New Roman"/>
                <w:sz w:val="24"/>
                <w:szCs w:val="24"/>
              </w:rPr>
              <w:t xml:space="preserve">, </w:t>
            </w:r>
            <w:r>
              <w:rPr>
                <w:rFonts w:eastAsia="Times New Roman" w:cs="Times New Roman" w:ascii="Times New Roman" w:hAnsi="Times New Roman"/>
                <w:sz w:val="24"/>
                <w:szCs w:val="24"/>
                <w:lang w:eastAsia="ru-RU"/>
              </w:rPr>
              <w:t>предусмотренные законодательством РФ,</w:t>
            </w:r>
            <w:r>
              <w:rPr>
                <w:rFonts w:cs="Times New Roman" w:ascii="Times New Roman" w:hAnsi="Times New Roman"/>
                <w:sz w:val="24"/>
                <w:szCs w:val="24"/>
              </w:rPr>
              <w:t xml:space="preserve"> необходимые для полного исполнения Договора, включая:</w:t>
            </w:r>
          </w:p>
          <w:p>
            <w:pPr>
              <w:pStyle w:val="Normal"/>
              <w:widowControl w:val="false"/>
              <w:spacing w:before="0" w:after="0"/>
              <w:rPr>
                <w:rFonts w:cs="Verdana"/>
              </w:rPr>
            </w:pPr>
            <w:r>
              <w:rPr>
                <w:rFonts w:eastAsia="Times New Roman" w:cs="Verdana" w:ascii="Times New Roman" w:hAnsi="Times New Roman"/>
                <w:sz w:val="24"/>
                <w:szCs w:val="24"/>
                <w:lang w:eastAsia="zh-CN"/>
              </w:rPr>
              <w:t>- разработка\доработка рабочей документации стадии «Рабочая документация», с согласования с Заказчиком, Геподрядчиком и авторским надзором , либо доработка\разработка проектной документации разделов подлежащих изменению, далее «проектная документация», при необходимости прохождение государственной экспертизы разделов подлежащих изменениям, в объеме и качестве достаточном для строительства Объекта, ввода его в эксплуатацию и последующей эксплуатации Объекта и в соответствии с требованиями настоящего Задания.</w:t>
            </w:r>
          </w:p>
          <w:p>
            <w:pPr>
              <w:pStyle w:val="Normal"/>
              <w:widowControl w:val="false"/>
              <w:spacing w:before="0" w:after="0"/>
              <w:rPr>
                <w:rFonts w:ascii="Times New Roman" w:hAnsi="Times New Roman" w:eastAsia="Times New Roman" w:cs="Verdana"/>
                <w:sz w:val="24"/>
                <w:szCs w:val="24"/>
                <w:lang w:eastAsia="zh-CN"/>
              </w:rPr>
            </w:pPr>
            <w:r>
              <w:rPr>
                <w:rFonts w:eastAsia="Times New Roman" w:cs="Verdana" w:ascii="Times New Roman" w:hAnsi="Times New Roman"/>
                <w:sz w:val="24"/>
                <w:szCs w:val="24"/>
                <w:lang w:eastAsia="zh-CN"/>
              </w:rPr>
              <w:t>- комплектация, изготовление, доставка, монтаж на готовые фундаменты четырех модульных котельных в комплекте с дымовыми трубами к ним;</w:t>
            </w:r>
            <w:bookmarkStart w:id="4" w:name="_GoBack"/>
          </w:p>
          <w:p>
            <w:pPr>
              <w:pStyle w:val="Normal"/>
              <w:widowControl w:val="false"/>
              <w:spacing w:before="0" w:after="0"/>
              <w:rPr>
                <w:rFonts w:ascii="Times New Roman" w:hAnsi="Times New Roman" w:eastAsia="Times New Roman" w:cs="Verdana"/>
                <w:sz w:val="24"/>
                <w:szCs w:val="24"/>
                <w:lang w:eastAsia="zh-CN"/>
              </w:rPr>
            </w:pPr>
            <w:r>
              <w:rPr>
                <w:rFonts w:eastAsia="Times New Roman" w:cs="Verdana" w:ascii="Times New Roman" w:hAnsi="Times New Roman"/>
                <w:sz w:val="24"/>
                <w:szCs w:val="24"/>
                <w:lang w:eastAsia="zh-CN"/>
              </w:rPr>
              <w:t>-  сдача органам РТН РФ, получение временного допуска в эксплуатацию тепловой энергоустановки (под ПНР)</w:t>
            </w:r>
          </w:p>
          <w:p>
            <w:pPr>
              <w:pStyle w:val="Normal"/>
              <w:widowControl w:val="false"/>
              <w:spacing w:before="0" w:after="0"/>
              <w:rPr>
                <w:rFonts w:ascii="Times New Roman" w:hAnsi="Times New Roman" w:eastAsia="Times New Roman" w:cs="Verdana"/>
                <w:sz w:val="24"/>
                <w:szCs w:val="24"/>
                <w:lang w:eastAsia="zh-CN"/>
              </w:rPr>
            </w:pPr>
            <w:r>
              <w:rPr>
                <w:rFonts w:eastAsia="Times New Roman" w:cs="Verdana" w:ascii="Times New Roman" w:hAnsi="Times New Roman"/>
                <w:sz w:val="24"/>
                <w:szCs w:val="24"/>
                <w:lang w:eastAsia="zh-CN"/>
              </w:rPr>
            </w:r>
          </w:p>
          <w:p>
            <w:pPr>
              <w:pStyle w:val="Normal"/>
              <w:widowControl w:val="false"/>
              <w:spacing w:before="0" w:after="0"/>
              <w:rPr>
                <w:rFonts w:ascii="Times New Roman" w:hAnsi="Times New Roman" w:eastAsia="Times New Roman" w:cs="Verdana"/>
                <w:sz w:val="24"/>
                <w:szCs w:val="24"/>
                <w:lang w:eastAsia="zh-CN"/>
              </w:rPr>
            </w:pPr>
            <w:r>
              <w:rPr>
                <w:rFonts w:eastAsia="Times New Roman" w:cs="Verdana" w:ascii="Times New Roman" w:hAnsi="Times New Roman"/>
                <w:sz w:val="24"/>
                <w:szCs w:val="24"/>
                <w:lang w:eastAsia="zh-CN"/>
              </w:rPr>
              <w:t>-  проведение мероприятий по консервации четырех БМК, подписание Сторонами акта о консервации БМК,</w:t>
            </w:r>
          </w:p>
          <w:p>
            <w:pPr>
              <w:pStyle w:val="Normal"/>
              <w:widowControl w:val="false"/>
              <w:spacing w:before="0" w:after="0"/>
              <w:rPr>
                <w:rFonts w:cs="Verdana"/>
              </w:rPr>
            </w:pPr>
            <w:r>
              <w:rPr>
                <w:rFonts w:cs="Verdana"/>
              </w:rPr>
            </w:r>
            <w:bookmarkEnd w:id="4"/>
          </w:p>
          <w:p>
            <w:pPr>
              <w:pStyle w:val="Normal"/>
              <w:tabs>
                <w:tab w:val="clear" w:pos="709"/>
                <w:tab w:val="left" w:pos="548" w:leader="none"/>
              </w:tabs>
              <w:snapToGrid w:val="false"/>
              <w:spacing w:before="0" w:after="0"/>
              <w:ind w:firstLine="137" w:end="140"/>
              <w:jc w:val="both"/>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r>
          </w:p>
          <w:p>
            <w:pPr>
              <w:pStyle w:val="Normal"/>
              <w:tabs>
                <w:tab w:val="clear" w:pos="709"/>
                <w:tab w:val="left" w:pos="548" w:leader="none"/>
              </w:tabs>
              <w:snapToGrid w:val="false"/>
              <w:spacing w:before="0" w:after="0"/>
              <w:ind w:firstLine="137" w:start="84" w:end="140"/>
              <w:jc w:val="both"/>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r>
          </w:p>
          <w:p>
            <w:pPr>
              <w:pStyle w:val="Normal"/>
              <w:tabs>
                <w:tab w:val="clear" w:pos="709"/>
                <w:tab w:val="left" w:pos="548" w:leader="none"/>
              </w:tabs>
              <w:snapToGrid w:val="false"/>
              <w:spacing w:before="0" w:after="0"/>
              <w:ind w:firstLine="137" w:start="84" w:end="1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color w:val="FF0000"/>
                <w:sz w:val="24"/>
                <w:szCs w:val="24"/>
              </w:rPr>
            </w:pPr>
            <w:r>
              <w:rPr>
                <w:rFonts w:cs="Times New Roman" w:ascii="Times New Roman" w:hAnsi="Times New Roman"/>
                <w:sz w:val="24"/>
                <w:szCs w:val="24"/>
              </w:rPr>
              <w:t>Материалы, используемые Субподрядчиком, требования к применяемым строительным материалам, требования к применяемому и поставляемому оборудованию</w:t>
            </w:r>
          </w:p>
        </w:tc>
        <w:tc>
          <w:tcPr>
            <w:tcW w:w="7376"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548" w:leader="none"/>
              </w:tabs>
              <w:snapToGrid w:val="false"/>
              <w:spacing w:before="0" w:after="0"/>
              <w:ind w:firstLine="137" w:start="85" w:end="142"/>
              <w:jc w:val="both"/>
              <w:rPr>
                <w:rFonts w:ascii="Times New Roman" w:hAnsi="Times New Roman" w:cs="Times New Roman"/>
                <w:sz w:val="24"/>
                <w:szCs w:val="24"/>
              </w:rPr>
            </w:pPr>
            <w:r>
              <w:rPr>
                <w:rFonts w:cs="Times New Roman" w:ascii="Times New Roman" w:hAnsi="Times New Roman"/>
                <w:sz w:val="24"/>
                <w:szCs w:val="24"/>
              </w:rPr>
              <w:t>Применяемые материалы и оборудование должны соответствовать утвержденной проектной и рабочей документации. Применяемые материалы, оборудование, изделия должны иметь сертификаты соответствия, паспорта качества, сертификаты пожарной безопасности и санитарно-эпидемиологическое заключение.</w:t>
            </w:r>
          </w:p>
          <w:p>
            <w:pPr>
              <w:pStyle w:val="Normal"/>
              <w:tabs>
                <w:tab w:val="clear" w:pos="709"/>
                <w:tab w:val="left" w:pos="548" w:leader="none"/>
              </w:tabs>
              <w:snapToGrid w:val="false"/>
              <w:spacing w:before="0" w:after="0"/>
              <w:ind w:firstLine="137" w:start="85" w:end="142"/>
              <w:jc w:val="both"/>
              <w:rPr>
                <w:rFonts w:ascii="Times New Roman" w:hAnsi="Times New Roman" w:cs="Times New Roman"/>
                <w:sz w:val="24"/>
                <w:szCs w:val="24"/>
              </w:rPr>
            </w:pPr>
            <w:r>
              <w:rPr>
                <w:rFonts w:cs="Times New Roman" w:ascii="Times New Roman" w:hAnsi="Times New Roman"/>
                <w:sz w:val="24"/>
                <w:szCs w:val="24"/>
              </w:rPr>
              <w:t>Поставляемое оборудование должно быть новым, соответствовать техническим характеристикам, стандартам, паспортным данным, испытано, пройти предпродажную подготовку. Оборудование поставляется в упаковке, обеспечивающей сохранность при транспортировке, погрузо-разгрузочных работах и хранении.</w:t>
            </w:r>
          </w:p>
          <w:p>
            <w:pPr>
              <w:pStyle w:val="Normal"/>
              <w:tabs>
                <w:tab w:val="clear" w:pos="709"/>
                <w:tab w:val="left" w:pos="548" w:leader="none"/>
              </w:tabs>
              <w:snapToGrid w:val="false"/>
              <w:spacing w:before="0" w:after="0"/>
              <w:ind w:firstLine="137" w:start="84" w:end="140"/>
              <w:jc w:val="both"/>
              <w:rPr>
                <w:rFonts w:ascii="Times New Roman" w:hAnsi="Times New Roman" w:cs="Times New Roman"/>
                <w:sz w:val="24"/>
                <w:szCs w:val="24"/>
              </w:rPr>
            </w:pPr>
            <w:r>
              <w:rPr>
                <w:rFonts w:cs="Times New Roman" w:ascii="Times New Roman" w:hAnsi="Times New Roman"/>
                <w:sz w:val="24"/>
                <w:szCs w:val="24"/>
              </w:rPr>
              <w:t>Субподрядчик несет ответственность за применение материалов и оборудования, несоответствующих утвержденной проектной и рабочей документации, государственным стандартам (ГОСТ), техническим условиям (ТУ), СанПиН, СП, СНиП, а также иным документам, регламентирующим требования к качеству строительных материалов и оборудования.</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jc w:val="both"/>
              <w:rPr>
                <w:rFonts w:ascii="Times New Roman" w:hAnsi="Times New Roman" w:cs="Times New Roman"/>
                <w:sz w:val="24"/>
                <w:szCs w:val="24"/>
              </w:rPr>
            </w:pPr>
            <w:r>
              <w:rPr>
                <w:rFonts w:cs="Times New Roman" w:ascii="Times New Roman" w:hAnsi="Times New Roman"/>
                <w:sz w:val="24"/>
                <w:szCs w:val="24"/>
              </w:rPr>
              <w:t>Еженедельный отчет о ходе выполнения работ</w:t>
            </w:r>
          </w:p>
        </w:tc>
        <w:tc>
          <w:tcPr>
            <w:tcW w:w="7376"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548" w:leader="none"/>
              </w:tabs>
              <w:snapToGrid w:val="false"/>
              <w:spacing w:before="0" w:after="0"/>
              <w:ind w:firstLine="137" w:start="84" w:end="1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 период проектирования, изготовления БМК на производственных площадях Субподрядчика ежемесячный отчет до 15 числам каждого месяца до 12:00 (время местное) Субподрядчик предоставляет информацию о ходе выполнения работ по Договору в </w:t>
            </w:r>
            <w:r>
              <w:rPr>
                <w:rFonts w:eastAsia="Times New Roman" w:cs="Times New Roman" w:ascii="Times New Roman" w:hAnsi="Times New Roman"/>
                <w:color w:val="auto"/>
                <w:kern w:val="0"/>
                <w:sz w:val="24"/>
                <w:szCs w:val="24"/>
                <w:lang w:val="ru-RU" w:eastAsia="ru-RU" w:bidi="ar-SA"/>
              </w:rPr>
              <w:t xml:space="preserve">форме Отчета </w:t>
            </w:r>
            <w:r>
              <w:rPr>
                <w:rFonts w:eastAsia="Times New Roman" w:cs="Times New Roman" w:ascii="Times New Roman" w:hAnsi="Times New Roman"/>
                <w:sz w:val="24"/>
                <w:szCs w:val="24"/>
                <w:lang w:eastAsia="ru-RU"/>
              </w:rPr>
              <w:t xml:space="preserve">(Приложение № 5 к настоящему заданию). </w:t>
            </w:r>
          </w:p>
          <w:p>
            <w:pPr>
              <w:pStyle w:val="Normal"/>
              <w:tabs>
                <w:tab w:val="clear" w:pos="709"/>
                <w:tab w:val="left" w:pos="548" w:leader="none"/>
              </w:tabs>
              <w:snapToGrid w:val="false"/>
              <w:spacing w:before="0" w:after="0"/>
              <w:ind w:firstLine="137" w:start="84" w:end="1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Отчет предоставляется в электронном виде в форматах: .</w:t>
            </w:r>
            <w:r>
              <w:rPr>
                <w:rFonts w:eastAsia="Times New Roman" w:cs="Times New Roman" w:ascii="Times New Roman" w:hAnsi="Times New Roman"/>
                <w:sz w:val="24"/>
                <w:szCs w:val="24"/>
                <w:lang w:val="en-US" w:eastAsia="ru-RU"/>
              </w:rPr>
              <w:t>xlsx</w:t>
            </w:r>
            <w:r>
              <w:rPr>
                <w:rFonts w:eastAsia="Times New Roman" w:cs="Times New Roman" w:ascii="Times New Roman" w:hAnsi="Times New Roman"/>
                <w:sz w:val="24"/>
                <w:szCs w:val="24"/>
                <w:lang w:eastAsia="ru-RU"/>
              </w:rPr>
              <w:t xml:space="preserve"> и .</w:t>
            </w:r>
            <w:r>
              <w:rPr>
                <w:rFonts w:eastAsia="Times New Roman" w:cs="Times New Roman" w:ascii="Times New Roman" w:hAnsi="Times New Roman"/>
                <w:sz w:val="24"/>
                <w:szCs w:val="24"/>
                <w:lang w:val="en-US" w:eastAsia="ru-RU"/>
              </w:rPr>
              <w:t>pdf</w:t>
            </w:r>
            <w:r>
              <w:rPr>
                <w:rFonts w:eastAsia="Times New Roman" w:cs="Times New Roman" w:ascii="Times New Roman" w:hAnsi="Times New Roman"/>
                <w:sz w:val="24"/>
                <w:szCs w:val="24"/>
                <w:lang w:eastAsia="ru-RU"/>
              </w:rPr>
              <w:t>.</w:t>
            </w:r>
          </w:p>
          <w:p>
            <w:pPr>
              <w:pStyle w:val="Normal"/>
              <w:tabs>
                <w:tab w:val="clear" w:pos="709"/>
                <w:tab w:val="left" w:pos="548" w:leader="none"/>
              </w:tabs>
              <w:snapToGrid w:val="false"/>
              <w:spacing w:before="0" w:after="0"/>
              <w:ind w:firstLine="137" w:start="84" w:end="1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Отчет в формате .</w:t>
            </w:r>
            <w:r>
              <w:rPr>
                <w:rFonts w:eastAsia="Times New Roman" w:cs="Times New Roman" w:ascii="Times New Roman" w:hAnsi="Times New Roman"/>
                <w:sz w:val="24"/>
                <w:szCs w:val="24"/>
                <w:lang w:val="en-US" w:eastAsia="ru-RU"/>
              </w:rPr>
              <w:t>pdf</w:t>
            </w:r>
            <w:r>
              <w:rPr>
                <w:rFonts w:eastAsia="Times New Roman" w:cs="Times New Roman" w:ascii="Times New Roman" w:hAnsi="Times New Roman"/>
                <w:sz w:val="24"/>
                <w:szCs w:val="24"/>
                <w:lang w:eastAsia="ru-RU"/>
              </w:rPr>
              <w:t xml:space="preserve"> должен содержать подписи и расшифровки подписей представителей, ответственных за производство работ, дату его составления.</w:t>
            </w:r>
          </w:p>
          <w:p>
            <w:pPr>
              <w:pStyle w:val="Normal"/>
              <w:tabs>
                <w:tab w:val="clear" w:pos="709"/>
                <w:tab w:val="left" w:pos="548" w:leader="none"/>
              </w:tabs>
              <w:snapToGrid w:val="false"/>
              <w:spacing w:before="0" w:after="0"/>
              <w:ind w:firstLine="137" w:start="84" w:end="1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Вся документация, передаваемая Подрядчиком Субподрядчику, является собственностью Заказчика и будет оставаться в его собственности после окончания оказания услуг по Договору. Субподрядчик не должен публиковать, использовать или уничтожать эту документацию без письменного согласования Подрядчика и Заказчика.</w:t>
            </w:r>
          </w:p>
        </w:tc>
      </w:tr>
      <w:tr>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tabs>
                <w:tab w:val="clear" w:pos="709"/>
                <w:tab w:val="left" w:pos="2417" w:leader="none"/>
              </w:tabs>
              <w:snapToGrid w:val="false"/>
              <w:spacing w:before="0" w:after="0"/>
              <w:ind w:end="141"/>
              <w:jc w:val="both"/>
              <w:rPr>
                <w:rFonts w:ascii="Times New Roman" w:hAnsi="Times New Roman" w:cs="Times New Roman"/>
                <w:sz w:val="24"/>
                <w:szCs w:val="24"/>
              </w:rPr>
            </w:pPr>
            <w:r>
              <w:rPr>
                <w:rFonts w:cs="Times New Roman" w:ascii="Times New Roman" w:hAnsi="Times New Roman"/>
                <w:sz w:val="24"/>
                <w:szCs w:val="24"/>
              </w:rPr>
              <w:t>Обязательные требования к выполнению работ и качеству работ</w:t>
            </w:r>
          </w:p>
        </w:tc>
        <w:tc>
          <w:tcPr>
            <w:tcW w:w="7376"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0"/>
              <w:ind w:firstLine="7" w:start="133" w:end="140"/>
              <w:jc w:val="both"/>
              <w:rPr>
                <w:rFonts w:ascii="Times New Roman" w:hAnsi="Times New Roman" w:eastAsia="Times New Roman" w:cs="Times New Roman"/>
                <w:i/>
                <w:iCs/>
                <w:sz w:val="24"/>
                <w:szCs w:val="24"/>
                <w:lang w:eastAsia="ru-RU"/>
              </w:rPr>
            </w:pPr>
            <w:r>
              <w:rPr>
                <w:rFonts w:eastAsia="Times New Roman" w:cs="Times New Roman" w:ascii="Times New Roman" w:hAnsi="Times New Roman"/>
                <w:sz w:val="24"/>
                <w:szCs w:val="24"/>
                <w:lang w:eastAsia="ru-RU"/>
              </w:rPr>
              <w:t>Субподрядчик выполняет работы в соответствии с графиком производства работ (Приложение № 2 к Договору)</w:t>
            </w:r>
            <w:r>
              <w:rPr>
                <w:rFonts w:eastAsia="Times New Roman" w:cs="Times New Roman" w:ascii="Times New Roman" w:hAnsi="Times New Roman"/>
                <w:i/>
                <w:iCs/>
                <w:sz w:val="24"/>
                <w:szCs w:val="24"/>
                <w:lang w:eastAsia="ru-RU"/>
              </w:rPr>
              <w:t>.</w:t>
            </w:r>
          </w:p>
          <w:p>
            <w:pPr>
              <w:pStyle w:val="Normal"/>
              <w:tabs>
                <w:tab w:val="clear" w:pos="709"/>
                <w:tab w:val="left" w:pos="548" w:leader="none"/>
              </w:tabs>
              <w:snapToGrid w:val="false"/>
              <w:spacing w:before="0" w:after="0"/>
              <w:ind w:end="142"/>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Субподрядчик в течение 5 (пяти) рабочих дней с момента получения проектной и рабочей документации, в соответствии с п. 10 настоящего Технического задания, обязан провести входной контроль всей переданной ему технической документации с составлением акта о проведении входного контроля (далее – Акт входного контроля ПСД) и предоставлением его Подрядчику.</w:t>
            </w:r>
          </w:p>
          <w:p>
            <w:pPr>
              <w:pStyle w:val="Normal"/>
              <w:tabs>
                <w:tab w:val="clear" w:pos="709"/>
                <w:tab w:val="left" w:pos="548" w:leader="none"/>
              </w:tabs>
              <w:snapToGrid w:val="false"/>
              <w:spacing w:before="0" w:after="0"/>
              <w:ind w:firstLine="137" w:start="85" w:end="142"/>
              <w:jc w:val="both"/>
              <w:rPr/>
            </w:pPr>
            <w:r>
              <w:rPr>
                <w:rFonts w:cs="Times New Roman" w:ascii="Times New Roman" w:hAnsi="Times New Roman"/>
                <w:sz w:val="24"/>
                <w:szCs w:val="24"/>
              </w:rPr>
              <w:t>Работы должны производиться в соответствии с утвержденной проектной и рабочей документацией, переданной в производство работ и нормативной документацией согласно Приложению № 5 к настоящему техническому заданию.</w:t>
            </w:r>
            <w:r>
              <w:rPr/>
              <w:t xml:space="preserve"> </w:t>
            </w:r>
          </w:p>
          <w:p>
            <w:pPr>
              <w:pStyle w:val="Normal"/>
              <w:tabs>
                <w:tab w:val="clear" w:pos="709"/>
                <w:tab w:val="left" w:pos="548" w:leader="none"/>
              </w:tabs>
              <w:snapToGrid w:val="false"/>
              <w:spacing w:before="0" w:after="0"/>
              <w:ind w:firstLine="137" w:start="85" w:end="142"/>
              <w:jc w:val="both"/>
              <w:rPr>
                <w:rFonts w:ascii="Times New Roman" w:hAnsi="Times New Roman" w:cs="Times New Roman"/>
                <w:sz w:val="24"/>
                <w:szCs w:val="24"/>
              </w:rPr>
            </w:pPr>
            <w:r>
              <w:rPr>
                <w:rFonts w:cs="Times New Roman" w:ascii="Times New Roman" w:hAnsi="Times New Roman"/>
                <w:sz w:val="24"/>
                <w:szCs w:val="24"/>
              </w:rPr>
              <w:t>Работы должны выполняться методами (способами), не приводящими к появлению новых и (или) развитию существующих опасных природных процессов и явлений и исключающими возникновение угрозы причинения вреда жизни или здоровью людей, имуществу физических или юридических лиц, государственному или муниципальному имуществу, окружающей среде, жизни и здоровью животных и растений.</w:t>
            </w:r>
          </w:p>
          <w:p>
            <w:pPr>
              <w:pStyle w:val="Normal"/>
              <w:tabs>
                <w:tab w:val="clear" w:pos="709"/>
                <w:tab w:val="left" w:pos="548" w:leader="none"/>
              </w:tabs>
              <w:snapToGrid w:val="false"/>
              <w:spacing w:before="0" w:after="0"/>
              <w:ind w:firstLine="137" w:start="85" w:end="142"/>
              <w:jc w:val="both"/>
              <w:rPr>
                <w:rFonts w:ascii="Times New Roman" w:hAnsi="Times New Roman" w:cs="Times New Roman"/>
                <w:sz w:val="24"/>
                <w:szCs w:val="24"/>
              </w:rPr>
            </w:pPr>
            <w:r>
              <w:rPr>
                <w:rFonts w:cs="Times New Roman" w:ascii="Times New Roman" w:hAnsi="Times New Roman"/>
                <w:sz w:val="24"/>
                <w:szCs w:val="24"/>
              </w:rPr>
              <w:t>При производстве работ необходимо обеспечить сохранность существующих инженерных коммуникаций, попадающих в зону земляных работ. Работы вести в соответствии с требованиями действующего законодательства, строительным нормам и правилам.</w:t>
            </w:r>
          </w:p>
          <w:p>
            <w:pPr>
              <w:pStyle w:val="Normal"/>
              <w:tabs>
                <w:tab w:val="clear" w:pos="709"/>
                <w:tab w:val="left" w:pos="994" w:leader="none"/>
              </w:tabs>
              <w:spacing w:before="0" w:after="0"/>
              <w:ind w:firstLine="137" w:start="85" w:end="145"/>
              <w:jc w:val="both"/>
              <w:rPr>
                <w:rFonts w:ascii="Times New Roman" w:hAnsi="Times New Roman" w:eastAsia="Times New Roman" w:cs="Times New Roman"/>
                <w:color w:val="FF0000"/>
                <w:sz w:val="24"/>
                <w:szCs w:val="24"/>
                <w:lang w:eastAsia="ru-RU"/>
              </w:rPr>
            </w:pPr>
            <w:r>
              <w:rPr>
                <w:rFonts w:eastAsia="Times New Roman" w:cs="Times New Roman" w:ascii="Times New Roman" w:hAnsi="Times New Roman"/>
                <w:sz w:val="24"/>
                <w:szCs w:val="24"/>
                <w:lang w:eastAsia="ru-RU"/>
              </w:rPr>
              <w:t>Качество работ должно удовлетворять требованиям действующего законодательства, строительным нормам и правилам и другой обязательной для исполнения нормативно-технической документации</w:t>
            </w:r>
          </w:p>
          <w:p>
            <w:pPr>
              <w:pStyle w:val="Normal"/>
              <w:tabs>
                <w:tab w:val="clear" w:pos="709"/>
                <w:tab w:val="left" w:pos="994" w:leader="none"/>
              </w:tabs>
              <w:spacing w:before="0" w:after="0"/>
              <w:ind w:firstLine="137" w:start="85"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 отмене и (или) изменении нормативных документов следует руководствоваться нормами, введенными взамен отмененных и (или) измененных.</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bCs/>
                <w:sz w:val="24"/>
                <w:szCs w:val="24"/>
              </w:rPr>
            </w:pPr>
            <w:r>
              <w:rPr>
                <w:rFonts w:eastAsia="Times New Roman" w:cs="Times New Roman" w:ascii="Times New Roman" w:hAnsi="Times New Roman"/>
                <w:bCs/>
                <w:sz w:val="24"/>
                <w:szCs w:val="24"/>
              </w:rPr>
              <w:t>Границы объема работ:</w:t>
            </w:r>
          </w:p>
        </w:tc>
        <w:tc>
          <w:tcPr>
            <w:tcW w:w="7376" w:type="dxa"/>
            <w:tcBorders>
              <w:start w:val="single" w:sz="4" w:space="0" w:color="000000"/>
              <w:bottom w:val="single" w:sz="4" w:space="0" w:color="000000"/>
              <w:end w:val="single" w:sz="4" w:space="0" w:color="000000"/>
            </w:tcBorders>
            <w:vAlign w:val="center"/>
          </w:tcPr>
          <w:p>
            <w:pPr>
              <w:pStyle w:val="Normal"/>
              <w:spacing w:before="0" w:after="0"/>
              <w:ind w:firstLine="137" w:start="140" w:end="145"/>
              <w:jc w:val="both"/>
              <w:rPr>
                <w:rFonts w:ascii="Times New Roman" w:hAnsi="Times New Roman" w:eastAsia="Times New Roman" w:cs="Times New Roman"/>
                <w:bCs/>
                <w:sz w:val="24"/>
                <w:szCs w:val="24"/>
                <w:lang w:eastAsia="ru-RU"/>
              </w:rPr>
            </w:pPr>
            <w:r>
              <w:rPr>
                <w:rFonts w:cs="Times New Roman" w:ascii="Times New Roman" w:hAnsi="Times New Roman"/>
                <w:bCs/>
                <w:color w:val="000000"/>
                <w:sz w:val="24"/>
                <w:szCs w:val="24"/>
              </w:rPr>
              <w:t xml:space="preserve">По зданию котельной: Ограждающие конструкции </w:t>
            </w:r>
            <w:r>
              <w:rPr>
                <w:rFonts w:eastAsia="Calibri" w:cs="Times New Roman" w:ascii="Times New Roman" w:hAnsi="Times New Roman"/>
                <w:bCs/>
                <w:color w:val="000000"/>
                <w:kern w:val="0"/>
                <w:sz w:val="24"/>
                <w:szCs w:val="24"/>
                <w:lang w:val="ru-RU" w:eastAsia="en-US" w:bidi="ar-SA"/>
              </w:rPr>
              <w:t>здания котельной</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9644" w:type="dxa"/>
            <w:gridSpan w:val="2"/>
            <w:tcBorders>
              <w:start w:val="single" w:sz="4" w:space="0" w:color="000000"/>
              <w:bottom w:val="single" w:sz="4" w:space="0" w:color="000000"/>
              <w:end w:val="single" w:sz="4" w:space="0" w:color="000000"/>
            </w:tcBorders>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ascii="Times New Roman" w:hAnsi="Times New Roman"/>
                <w:b/>
                <w:color w:val="000000"/>
                <w:sz w:val="24"/>
                <w:szCs w:val="24"/>
              </w:rPr>
              <w:t>Основные технические показатели объекта:</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color w:val="000000"/>
                <w:sz w:val="24"/>
                <w:szCs w:val="24"/>
              </w:rPr>
              <w:t>Вид топлива:</w:t>
            </w:r>
          </w:p>
        </w:tc>
        <w:tc>
          <w:tcPr>
            <w:tcW w:w="7376" w:type="dxa"/>
            <w:tcBorders>
              <w:start w:val="single" w:sz="4" w:space="0" w:color="000000"/>
              <w:bottom w:val="single" w:sz="4" w:space="0" w:color="000000"/>
              <w:end w:val="single" w:sz="4" w:space="0" w:color="000000"/>
            </w:tcBorders>
          </w:tcPr>
          <w:p>
            <w:pPr>
              <w:pStyle w:val="Normal"/>
              <w:spacing w:before="0" w:after="0"/>
              <w:ind w:end="145"/>
              <w:jc w:val="both"/>
              <w:rPr>
                <w:rFonts w:ascii="Times New Roman" w:hAnsi="Times New Roman" w:eastAsia="Times New Roman" w:cs="Times New Roman"/>
                <w:sz w:val="24"/>
                <w:szCs w:val="24"/>
                <w:lang w:eastAsia="ru-RU"/>
              </w:rPr>
            </w:pPr>
            <w:r>
              <w:rPr>
                <w:rFonts w:cs="Times New Roman" w:ascii="Times New Roman" w:hAnsi="Times New Roman"/>
                <w:color w:val="000000"/>
                <w:sz w:val="24"/>
                <w:szCs w:val="24"/>
              </w:rPr>
              <w:t>Природный газ</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color w:val="000000"/>
                <w:sz w:val="24"/>
                <w:szCs w:val="24"/>
              </w:rPr>
              <w:t>Назначение котельной:</w:t>
            </w:r>
          </w:p>
        </w:tc>
        <w:tc>
          <w:tcPr>
            <w:tcW w:w="7376" w:type="dxa"/>
            <w:tcBorders>
              <w:start w:val="single" w:sz="4" w:space="0" w:color="000000"/>
              <w:bottom w:val="single" w:sz="4" w:space="0" w:color="000000"/>
              <w:end w:val="single" w:sz="4" w:space="0" w:color="000000"/>
            </w:tcBorders>
            <w:vAlign w:val="center"/>
          </w:tcPr>
          <w:p>
            <w:pPr>
              <w:pStyle w:val="Normal"/>
              <w:spacing w:before="0" w:after="0"/>
              <w:ind w:end="145"/>
              <w:jc w:val="both"/>
              <w:rPr>
                <w:rFonts w:ascii="Times New Roman" w:hAnsi="Times New Roman" w:eastAsia="Times New Roman" w:cs="Times New Roman"/>
                <w:sz w:val="24"/>
                <w:szCs w:val="24"/>
                <w:lang w:eastAsia="ru-RU"/>
              </w:rPr>
            </w:pPr>
            <w:r>
              <w:rPr>
                <w:rFonts w:cs="Times New Roman" w:ascii="Times New Roman" w:hAnsi="Times New Roman"/>
                <w:color w:val="000000"/>
                <w:sz w:val="24"/>
                <w:szCs w:val="24"/>
              </w:rPr>
              <w:t>Выработка тепловой энергии для обеспечения нужд отопления и подогрева горячей воды на объектах потребителей.</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color w:val="000000"/>
                <w:sz w:val="24"/>
                <w:szCs w:val="24"/>
              </w:rPr>
              <w:t>Режим работы котельной и технологические параметры:</w:t>
            </w:r>
          </w:p>
        </w:tc>
        <w:tc>
          <w:tcPr>
            <w:tcW w:w="7376" w:type="dxa"/>
            <w:tcBorders>
              <w:start w:val="single" w:sz="4" w:space="0" w:color="000000"/>
              <w:bottom w:val="single" w:sz="4" w:space="0" w:color="000000"/>
              <w:end w:val="single" w:sz="4" w:space="0" w:color="000000"/>
            </w:tcBorders>
          </w:tcPr>
          <w:p>
            <w:pPr>
              <w:pStyle w:val="BodyText"/>
              <w:widowControl w:val="false"/>
              <w:spacing w:before="0" w:after="0"/>
              <w:rPr>
                <w:bCs/>
                <w:color w:val="000000"/>
              </w:rPr>
            </w:pPr>
            <w:r>
              <w:rPr>
                <w:bCs/>
                <w:color w:val="000000"/>
              </w:rPr>
              <w:t>Отопление – сезонное, продолжительность отопительного периода определяется нормативными документами.</w:t>
            </w:r>
          </w:p>
          <w:p>
            <w:pPr>
              <w:pStyle w:val="BodyText"/>
              <w:widowControl w:val="false"/>
              <w:spacing w:before="0" w:after="0"/>
              <w:rPr>
                <w:bCs/>
                <w:color w:val="000000"/>
              </w:rPr>
            </w:pPr>
            <w:r>
              <w:rPr>
                <w:bCs/>
                <w:color w:val="000000"/>
              </w:rPr>
              <w:t>Без ГВС.</w:t>
            </w:r>
          </w:p>
          <w:p>
            <w:pPr>
              <w:pStyle w:val="BodyText"/>
              <w:widowControl w:val="false"/>
              <w:spacing w:before="0" w:after="0"/>
              <w:rPr>
                <w:bCs/>
                <w:color w:val="000000"/>
              </w:rPr>
            </w:pPr>
            <w:r>
              <w:rPr>
                <w:bCs/>
                <w:color w:val="000000"/>
              </w:rPr>
              <w:t>Категория котельной по надежности отпуска: – II;</w:t>
            </w:r>
          </w:p>
          <w:p>
            <w:pPr>
              <w:pStyle w:val="BodyText"/>
              <w:widowControl w:val="false"/>
              <w:spacing w:before="0" w:after="0"/>
              <w:rPr>
                <w:bCs/>
                <w:color w:val="000000"/>
              </w:rPr>
            </w:pPr>
            <w:r>
              <w:rPr>
                <w:bCs/>
                <w:color w:val="000000"/>
              </w:rPr>
              <w:t>Категория потребителей по надежности теплоснабжения – II;</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color w:val="000000"/>
                <w:sz w:val="24"/>
                <w:szCs w:val="24"/>
              </w:rPr>
              <w:t>Система теплоснабжения:</w:t>
            </w:r>
          </w:p>
        </w:tc>
        <w:tc>
          <w:tcPr>
            <w:tcW w:w="7376" w:type="dxa"/>
            <w:tcBorders>
              <w:start w:val="single" w:sz="4" w:space="0" w:color="000000"/>
              <w:bottom w:val="single" w:sz="4" w:space="0" w:color="000000"/>
              <w:end w:val="single" w:sz="4" w:space="0" w:color="000000"/>
            </w:tcBorders>
            <w:vAlign w:val="center"/>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sz w:val="24"/>
                <w:szCs w:val="24"/>
              </w:rPr>
              <w:t>Двухконтурная, независимая, двухтрубная. Теплоноситель – сетевая вода.</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bCs/>
                <w:color w:val="000000"/>
                <w:sz w:val="24"/>
                <w:szCs w:val="24"/>
              </w:rPr>
              <w:t>Температурный график, °С:</w:t>
            </w:r>
          </w:p>
        </w:tc>
        <w:tc>
          <w:tcPr>
            <w:tcW w:w="7376" w:type="dxa"/>
            <w:tcBorders>
              <w:start w:val="single" w:sz="4" w:space="0" w:color="000000"/>
              <w:bottom w:val="single" w:sz="4" w:space="0" w:color="000000"/>
              <w:end w:val="single" w:sz="4" w:space="0" w:color="000000"/>
            </w:tcBorders>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sz w:val="24"/>
                <w:szCs w:val="24"/>
              </w:rPr>
              <w:t>95/70. График постоянный</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ascii="Times New Roman" w:hAnsi="Times New Roman"/>
                <w:bCs/>
                <w:color w:val="000000"/>
                <w:sz w:val="24"/>
                <w:szCs w:val="24"/>
              </w:rPr>
              <w:t xml:space="preserve">Тепловая нагрузка </w:t>
            </w:r>
            <w:r>
              <w:rPr>
                <w:rFonts w:eastAsia="Times New Roman" w:ascii="Times New Roman" w:hAnsi="Times New Roman"/>
                <w:bCs/>
                <w:sz w:val="24"/>
                <w:szCs w:val="24"/>
              </w:rPr>
              <w:t xml:space="preserve">котельных, </w:t>
            </w:r>
            <w:r>
              <w:rPr>
                <w:rFonts w:eastAsia="Times New Roman" w:ascii="Times New Roman" w:hAnsi="Times New Roman"/>
                <w:bCs/>
                <w:color w:val="000000"/>
                <w:sz w:val="24"/>
                <w:szCs w:val="24"/>
              </w:rPr>
              <w:t>МВт</w:t>
            </w:r>
            <w:r>
              <w:rPr>
                <w:rFonts w:eastAsia="Times New Roman" w:ascii="Times New Roman" w:hAnsi="Times New Roman"/>
                <w:bCs/>
                <w:sz w:val="24"/>
                <w:szCs w:val="24"/>
              </w:rPr>
              <w:t>:</w:t>
            </w:r>
          </w:p>
        </w:tc>
        <w:tc>
          <w:tcPr>
            <w:tcW w:w="7376" w:type="dxa"/>
            <w:tcBorders>
              <w:start w:val="single" w:sz="4" w:space="0" w:color="000000"/>
              <w:bottom w:val="single" w:sz="4" w:space="0" w:color="000000"/>
              <w:end w:val="single" w:sz="4" w:space="0" w:color="000000"/>
            </w:tcBorders>
            <w:vAlign w:val="center"/>
          </w:tcPr>
          <w:p>
            <w:pPr>
              <w:pStyle w:val="BodyText"/>
              <w:widowControl w:val="false"/>
              <w:tabs>
                <w:tab w:val="clear" w:pos="709"/>
                <w:tab w:val="left" w:pos="4080" w:leader="none"/>
                <w:tab w:val="left" w:pos="4780" w:leader="none"/>
              </w:tabs>
              <w:spacing w:before="0" w:after="0"/>
              <w:rPr/>
            </w:pPr>
            <w:r>
              <w:rPr/>
              <w:t>1.БМК 0,3 МВт (0,6 МВт)</w:t>
            </w:r>
          </w:p>
          <w:p>
            <w:pPr>
              <w:pStyle w:val="BodyText"/>
              <w:widowControl w:val="false"/>
              <w:tabs>
                <w:tab w:val="clear" w:pos="709"/>
                <w:tab w:val="left" w:pos="4080" w:leader="none"/>
                <w:tab w:val="left" w:pos="4780" w:leader="none"/>
              </w:tabs>
              <w:spacing w:before="0" w:after="0"/>
              <w:rPr/>
            </w:pPr>
            <w:r>
              <w:rPr/>
            </w:r>
          </w:p>
          <w:tbl>
            <w:tblPr>
              <w:tblW w:w="6766" w:type="dxa"/>
              <w:jc w:val="start"/>
              <w:tblInd w:w="105" w:type="dxa"/>
              <w:tblLayout w:type="fixed"/>
              <w:tblCellMar>
                <w:top w:w="0" w:type="dxa"/>
                <w:start w:w="108" w:type="dxa"/>
                <w:bottom w:w="0" w:type="dxa"/>
                <w:end w:w="108" w:type="dxa"/>
              </w:tblCellMar>
              <w:tblLook w:val="04a0" w:noHBand="0" w:noVBand="1" w:firstColumn="1" w:lastRow="0" w:lastColumn="0" w:firstRow="1"/>
            </w:tblPr>
            <w:tblGrid>
              <w:gridCol w:w="954"/>
              <w:gridCol w:w="2977"/>
              <w:gridCol w:w="1560"/>
              <w:gridCol w:w="1275"/>
            </w:tblGrid>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п/п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Показатель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Размерность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Расчетные зна</w:t>
                    <w:br/>
                    <w:t>чения</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Тепловая мощность котельной (установлен</w:t>
                    <w:br/>
                    <w:t xml:space="preserve">ная)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0.52 (0.6)</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Выработка тепла: теплоноситель вода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0.279 (0.324)</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В том числе:</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2.1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отопление и вентиляцию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0.258 (0.3)</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2.2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горячее водоснабжение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2.3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технологические нужды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2.4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собственные нужды котельной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0.008 (0.009)</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2.5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Потери в тепловых сетях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0.013 (0.015)</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Выработка тепла: теплоноситель пар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В том числе:</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3.1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отопление и вентиляцию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3.2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горячее водоснабжение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bl>
          <w:p>
            <w:pPr>
              <w:pStyle w:val="BodyText"/>
              <w:widowControl w:val="false"/>
              <w:tabs>
                <w:tab w:val="clear" w:pos="709"/>
                <w:tab w:val="left" w:pos="4080" w:leader="none"/>
                <w:tab w:val="left" w:pos="4780" w:leader="none"/>
              </w:tabs>
              <w:spacing w:before="0" w:after="0"/>
              <w:rPr/>
            </w:pPr>
            <w:r>
              <w:rPr/>
            </w:r>
          </w:p>
          <w:p>
            <w:pPr>
              <w:pStyle w:val="BodyText"/>
              <w:widowControl w:val="false"/>
              <w:tabs>
                <w:tab w:val="clear" w:pos="709"/>
                <w:tab w:val="left" w:pos="4080" w:leader="none"/>
                <w:tab w:val="left" w:pos="4780" w:leader="none"/>
              </w:tabs>
              <w:spacing w:before="0" w:after="0"/>
              <w:rPr/>
            </w:pPr>
            <w:r>
              <w:rPr/>
              <w:t>2.БМК 0,5 МВт (1,000МВт)</w:t>
            </w:r>
          </w:p>
          <w:tbl>
            <w:tblPr>
              <w:tblW w:w="6766" w:type="dxa"/>
              <w:jc w:val="start"/>
              <w:tblInd w:w="105" w:type="dxa"/>
              <w:tblLayout w:type="fixed"/>
              <w:tblCellMar>
                <w:top w:w="0" w:type="dxa"/>
                <w:start w:w="108" w:type="dxa"/>
                <w:bottom w:w="0" w:type="dxa"/>
                <w:end w:w="108" w:type="dxa"/>
              </w:tblCellMar>
              <w:tblLook w:val="04a0" w:noHBand="0" w:noVBand="1" w:firstColumn="1" w:lastRow="0" w:lastColumn="0" w:firstRow="1"/>
            </w:tblPr>
            <w:tblGrid>
              <w:gridCol w:w="954"/>
              <w:gridCol w:w="2977"/>
              <w:gridCol w:w="1560"/>
              <w:gridCol w:w="1275"/>
            </w:tblGrid>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п/п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Показатель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Размерность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Расчетные значе</w:t>
                    <w:br/>
                    <w:t>ния</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Тепловая мощность котельной (установ</w:t>
                    <w:br/>
                    <w:t xml:space="preserve">ленная)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0.86 (1)</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Выработка тепла: теплоноситель вода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0.464 (0.54)</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В том числе:</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2.1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отопление и вентиляцию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0.43 (0.5)</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2.2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горячее водоснабжение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2.3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технологические нужды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2.4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собственные нужды котельной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0.013 (0.015)</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2.5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Потери в тепловых сетях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0.021 (0.025)</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Выработка тепла: теплоноситель пар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В том числе:</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3.1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отопление и вентиляцию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3.2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горячее водоснабжение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3.3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технологические нужды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bl>
          <w:p>
            <w:pPr>
              <w:pStyle w:val="BodyText"/>
              <w:widowControl w:val="false"/>
              <w:tabs>
                <w:tab w:val="clear" w:pos="709"/>
                <w:tab w:val="left" w:pos="4080" w:leader="none"/>
                <w:tab w:val="left" w:pos="4780" w:leader="none"/>
              </w:tabs>
              <w:spacing w:before="0" w:after="0"/>
              <w:rPr/>
            </w:pPr>
            <w:r>
              <w:rPr/>
            </w:r>
          </w:p>
          <w:p>
            <w:pPr>
              <w:pStyle w:val="BodyText"/>
              <w:widowControl w:val="false"/>
              <w:tabs>
                <w:tab w:val="clear" w:pos="709"/>
                <w:tab w:val="left" w:pos="4080" w:leader="none"/>
                <w:tab w:val="left" w:pos="4780" w:leader="none"/>
              </w:tabs>
              <w:spacing w:before="0" w:after="0"/>
              <w:rPr/>
            </w:pPr>
            <w:r>
              <w:rPr/>
              <w:t>3. БМК 1,000 МВт (2,000 МВт).</w:t>
            </w:r>
          </w:p>
          <w:tbl>
            <w:tblPr>
              <w:tblW w:w="6766" w:type="dxa"/>
              <w:jc w:val="start"/>
              <w:tblInd w:w="105" w:type="dxa"/>
              <w:tblLayout w:type="fixed"/>
              <w:tblCellMar>
                <w:top w:w="0" w:type="dxa"/>
                <w:start w:w="108" w:type="dxa"/>
                <w:bottom w:w="0" w:type="dxa"/>
                <w:end w:w="108" w:type="dxa"/>
              </w:tblCellMar>
              <w:tblLook w:val="04a0" w:noHBand="0" w:noVBand="1" w:firstColumn="1" w:lastRow="0" w:lastColumn="0" w:firstRow="1"/>
            </w:tblPr>
            <w:tblGrid>
              <w:gridCol w:w="954"/>
              <w:gridCol w:w="2977"/>
              <w:gridCol w:w="1560"/>
              <w:gridCol w:w="1275"/>
            </w:tblGrid>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п/п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Показатель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Размерность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Расчетные</w:t>
                    <w:br/>
                    <w:t>значения</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1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Тепловая мощность котельной (установленная)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1.72 (2)</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Выработка тепла: теплоноситель вода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0.929</w:t>
                    <w:br/>
                    <w:t>(1.08)</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В том числе:</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2.1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отопление и вентиляцию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0.86 (1)</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2.2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горячее водоснабжение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2.3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технологические нужды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2.4</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собственные нужды котельной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(0.03) 0.026</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2.5</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Потери в тепловых сетях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(0.05) 0.043</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Выработка тепла: теплоноситель пар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В том числе:</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3.1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отопление и вентиляцию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3.2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горячее водоснабжение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3.3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технологические нужды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bl>
          <w:p>
            <w:pPr>
              <w:pStyle w:val="BodyText"/>
              <w:widowControl w:val="false"/>
              <w:tabs>
                <w:tab w:val="clear" w:pos="709"/>
                <w:tab w:val="left" w:pos="4080" w:leader="none"/>
                <w:tab w:val="left" w:pos="4780" w:leader="none"/>
              </w:tabs>
              <w:spacing w:before="0" w:after="0"/>
              <w:rPr/>
            </w:pPr>
            <w:r>
              <w:rPr/>
            </w:r>
          </w:p>
          <w:p>
            <w:pPr>
              <w:pStyle w:val="BodyText"/>
              <w:widowControl w:val="false"/>
              <w:tabs>
                <w:tab w:val="clear" w:pos="709"/>
                <w:tab w:val="left" w:pos="4080" w:leader="none"/>
                <w:tab w:val="left" w:pos="4780" w:leader="none"/>
              </w:tabs>
              <w:spacing w:before="0" w:after="0"/>
              <w:rPr/>
            </w:pPr>
            <w:r>
              <w:rPr/>
              <w:t>4. БМК 15 МВт (20 МВт)</w:t>
            </w:r>
          </w:p>
          <w:tbl>
            <w:tblPr>
              <w:tblW w:w="6766" w:type="dxa"/>
              <w:jc w:val="start"/>
              <w:tblInd w:w="105" w:type="dxa"/>
              <w:tblLayout w:type="fixed"/>
              <w:tblCellMar>
                <w:top w:w="0" w:type="dxa"/>
                <w:start w:w="108" w:type="dxa"/>
                <w:bottom w:w="0" w:type="dxa"/>
                <w:end w:w="108" w:type="dxa"/>
              </w:tblCellMar>
              <w:tblLook w:val="04a0" w:noHBand="0" w:noVBand="1" w:firstColumn="1" w:lastRow="0" w:lastColumn="0" w:firstRow="1"/>
            </w:tblPr>
            <w:tblGrid>
              <w:gridCol w:w="954"/>
              <w:gridCol w:w="2977"/>
              <w:gridCol w:w="1560"/>
              <w:gridCol w:w="1275"/>
            </w:tblGrid>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п/п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Показатель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Размерность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Расчетные значе</w:t>
                    <w:br/>
                    <w:t>ния</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Тепловая мощность котельной (установлен</w:t>
                    <w:br/>
                    <w:t xml:space="preserve">ная)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B050"/>
                      <w:sz w:val="24"/>
                      <w:szCs w:val="24"/>
                      <w:lang w:eastAsia="ru-RU"/>
                    </w:rPr>
                    <w:t>17.197 (20)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Выработка тепла: теплоноситель вода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14.187 (16.5)</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В том числе:</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2.1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отопление и вентиляцию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12.898 (15)</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2.2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горячее водоснабжение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2.3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технологические нужды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2.4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собственные нужды котельной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0.645 (0.75)</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2.5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Потери в тепловых сетях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0.645 (0.75)</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Выработка тепла: теплоноситель пар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В том числе:</w:t>
                  </w:r>
                </w:p>
              </w:tc>
              <w:tc>
                <w:tcPr>
                  <w:tcW w:w="2977"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Normal"/>
                    <w:spacing w:before="0" w:after="20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3.1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отопление и вентиляцию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r>
              <w:trPr/>
              <w:tc>
                <w:tcPr>
                  <w:tcW w:w="95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3.2 </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На горячее водоснабжение </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 xml:space="preserve">Гкал/ч (МВт) </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0 (0)</w:t>
                  </w:r>
                </w:p>
              </w:tc>
            </w:tr>
          </w:tbl>
          <w:p>
            <w:pPr>
              <w:pStyle w:val="BodyText"/>
              <w:widowControl w:val="false"/>
              <w:tabs>
                <w:tab w:val="clear" w:pos="709"/>
                <w:tab w:val="left" w:pos="4080" w:leader="none"/>
                <w:tab w:val="left" w:pos="4780" w:leader="none"/>
              </w:tabs>
              <w:spacing w:before="0" w:after="0"/>
              <w:rPr/>
            </w:pPr>
            <w:r>
              <w:rPr/>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bCs/>
                <w:sz w:val="24"/>
                <w:szCs w:val="24"/>
              </w:rPr>
              <w:t>Уровень</w:t>
            </w:r>
            <w:r>
              <w:rPr>
                <w:rFonts w:eastAsia="Times New Roman" w:cs="Times New Roman" w:ascii="Times New Roman" w:hAnsi="Times New Roman"/>
                <w:bCs/>
                <w:color w:val="000000"/>
                <w:sz w:val="24"/>
                <w:szCs w:val="24"/>
              </w:rPr>
              <w:t xml:space="preserve"> автоматизации:</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b/>
              </w:rPr>
            </w:pPr>
            <w:r>
              <w:rPr/>
              <w:t xml:space="preserve">Без </w:t>
            </w:r>
            <w:r>
              <w:rPr>
                <w:color w:val="000000"/>
              </w:rPr>
              <w:t>постоянного</w:t>
            </w:r>
            <w:r>
              <w:rPr/>
              <w:t xml:space="preserve"> присутствия обслуживающего персонала.</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Обеспечение </w:t>
            </w:r>
            <w:r>
              <w:rPr>
                <w:rFonts w:cs="Times New Roman" w:ascii="Times New Roman" w:hAnsi="Times New Roman"/>
                <w:color w:val="000000"/>
                <w:sz w:val="24"/>
                <w:szCs w:val="24"/>
              </w:rPr>
              <w:t>заданных</w:t>
            </w:r>
            <w:r>
              <w:rPr>
                <w:rFonts w:cs="Times New Roman" w:ascii="Times New Roman" w:hAnsi="Times New Roman"/>
                <w:sz w:val="24"/>
                <w:szCs w:val="24"/>
              </w:rPr>
              <w:t xml:space="preserve"> параметров теплоносителя, вырабатываемого котельной.</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9644" w:type="dxa"/>
            <w:gridSpan w:val="2"/>
            <w:tcBorders>
              <w:start w:val="single" w:sz="4" w:space="0" w:color="000000"/>
              <w:bottom w:val="single" w:sz="4" w:space="0" w:color="000000"/>
              <w:end w:val="single" w:sz="4" w:space="0" w:color="000000"/>
            </w:tcBorders>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b/>
                <w:sz w:val="24"/>
                <w:szCs w:val="24"/>
              </w:rPr>
              <w:t>Требования к проектной и исполнительной документации:</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bCs/>
                <w:sz w:val="24"/>
                <w:szCs w:val="24"/>
              </w:rPr>
              <w:t>Границы проектирования:</w:t>
            </w:r>
          </w:p>
        </w:tc>
        <w:tc>
          <w:tcPr>
            <w:tcW w:w="7376" w:type="dxa"/>
            <w:tcBorders>
              <w:start w:val="single" w:sz="4" w:space="0" w:color="000000"/>
              <w:bottom w:val="single" w:sz="4" w:space="0" w:color="000000"/>
              <w:end w:val="single" w:sz="4" w:space="0" w:color="000000"/>
            </w:tcBorders>
            <w:vAlign w:val="center"/>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bCs/>
                <w:color w:val="000000"/>
                <w:sz w:val="24"/>
                <w:szCs w:val="24"/>
              </w:rPr>
              <w:t xml:space="preserve">По зданию котельной: Ограждающие конструкции </w:t>
            </w:r>
            <w:r>
              <w:rPr>
                <w:rFonts w:eastAsia="Calibri" w:cs="Times New Roman" w:ascii="Times New Roman" w:hAnsi="Times New Roman"/>
                <w:bCs/>
                <w:color w:val="000000"/>
                <w:kern w:val="0"/>
                <w:sz w:val="24"/>
                <w:szCs w:val="24"/>
                <w:lang w:val="ru-RU" w:eastAsia="en-US" w:bidi="ar-SA"/>
              </w:rPr>
              <w:t>здания котельной</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ascii="Times New Roman" w:hAnsi="Times New Roman"/>
                <w:color w:val="000000"/>
                <w:sz w:val="24"/>
                <w:szCs w:val="24"/>
              </w:rPr>
              <w:t xml:space="preserve">Общие </w:t>
            </w:r>
            <w:r>
              <w:rPr>
                <w:rFonts w:eastAsia="Times New Roman" w:ascii="Times New Roman" w:hAnsi="Times New Roman"/>
                <w:bCs/>
                <w:color w:val="000000"/>
                <w:sz w:val="24"/>
                <w:szCs w:val="24"/>
              </w:rPr>
              <w:t>требования</w:t>
            </w:r>
            <w:r>
              <w:rPr>
                <w:rFonts w:eastAsia="Times New Roman" w:ascii="Times New Roman" w:hAnsi="Times New Roman"/>
                <w:color w:val="000000"/>
                <w:sz w:val="24"/>
                <w:szCs w:val="24"/>
              </w:rPr>
              <w:t>:</w:t>
            </w:r>
          </w:p>
        </w:tc>
        <w:tc>
          <w:tcPr>
            <w:tcW w:w="7376" w:type="dxa"/>
            <w:tcBorders>
              <w:start w:val="single" w:sz="4" w:space="0" w:color="000000"/>
              <w:bottom w:val="single" w:sz="4" w:space="0" w:color="000000"/>
              <w:end w:val="single" w:sz="4" w:space="0" w:color="000000"/>
            </w:tcBorders>
          </w:tcPr>
          <w:p>
            <w:pPr>
              <w:pStyle w:val="BodyText"/>
              <w:numPr>
                <w:ilvl w:val="0"/>
                <w:numId w:val="3"/>
              </w:numPr>
              <w:tabs>
                <w:tab w:val="clear" w:pos="709"/>
                <w:tab w:val="left" w:pos="360" w:leader="none"/>
              </w:tabs>
              <w:suppressAutoHyphens w:val="false"/>
              <w:spacing w:before="0" w:after="0"/>
              <w:ind w:hanging="160" w:start="160"/>
              <w:jc w:val="both"/>
              <w:rPr>
                <w:color w:val="000000"/>
              </w:rPr>
            </w:pPr>
            <w:r>
              <w:rPr>
                <w:color w:val="000000"/>
              </w:rPr>
              <w:t>Принимаемые в проектной документации решения должны соответствовать действующим нормам и правилам, сводам правил по проектированию и строительству, территориальным строительным нормам и другим нормативным документам, действующим на территории Российской Федерации, в том числе:</w:t>
            </w:r>
          </w:p>
          <w:p>
            <w:pPr>
              <w:pStyle w:val="BodyText"/>
              <w:numPr>
                <w:ilvl w:val="0"/>
                <w:numId w:val="4"/>
              </w:numPr>
              <w:suppressAutoHyphens w:val="false"/>
              <w:spacing w:before="0" w:after="0"/>
              <w:ind w:hanging="160" w:start="280"/>
              <w:jc w:val="both"/>
              <w:rPr>
                <w:color w:val="000000"/>
              </w:rPr>
            </w:pPr>
            <w:r>
              <w:rPr>
                <w:color w:val="000000"/>
              </w:rPr>
              <w:t>Постановлению Правительства РФ №87 от 16.02.2008 "О составе проектной документации и требования к их содержанию",</w:t>
            </w:r>
          </w:p>
          <w:p>
            <w:pPr>
              <w:pStyle w:val="BodyText"/>
              <w:numPr>
                <w:ilvl w:val="0"/>
                <w:numId w:val="4"/>
              </w:numPr>
              <w:suppressAutoHyphens w:val="false"/>
              <w:spacing w:before="0" w:after="0"/>
              <w:ind w:hanging="160" w:start="280"/>
              <w:jc w:val="both"/>
              <w:rPr>
                <w:color w:val="000000"/>
              </w:rPr>
            </w:pPr>
            <w:r>
              <w:rPr>
                <w:color w:val="000000"/>
              </w:rPr>
              <w:t>ГОСТ Р 21.1101-2013, Система проектной документации для строительства. Основные требования к проектной и рабочей документации (СПДС),</w:t>
            </w:r>
          </w:p>
          <w:p>
            <w:pPr>
              <w:pStyle w:val="BodyText"/>
              <w:numPr>
                <w:ilvl w:val="0"/>
                <w:numId w:val="4"/>
              </w:numPr>
              <w:suppressAutoHyphens w:val="false"/>
              <w:spacing w:before="0" w:after="0"/>
              <w:ind w:hanging="160" w:start="280"/>
              <w:jc w:val="both"/>
              <w:rPr>
                <w:color w:val="000000"/>
              </w:rPr>
            </w:pPr>
            <w:r>
              <w:rPr>
                <w:color w:val="000000"/>
              </w:rPr>
              <w:t>Федеральному закону РФ №261-ФЗ от 23.11.2009 "Об энергосбережении и о повышении энергетической эффективности, и о внесении изменений в отдельные законодательные акты РФ".</w:t>
            </w:r>
          </w:p>
          <w:p>
            <w:pPr>
              <w:pStyle w:val="BodyText"/>
              <w:numPr>
                <w:ilvl w:val="0"/>
                <w:numId w:val="3"/>
              </w:numPr>
              <w:tabs>
                <w:tab w:val="clear" w:pos="709"/>
                <w:tab w:val="left" w:pos="360" w:leader="none"/>
              </w:tabs>
              <w:suppressAutoHyphens w:val="false"/>
              <w:spacing w:before="0" w:after="0"/>
              <w:ind w:hanging="160" w:start="160"/>
              <w:jc w:val="both"/>
              <w:rPr>
                <w:color w:val="000000"/>
              </w:rPr>
            </w:pPr>
            <w:r>
              <w:rPr>
                <w:color w:val="000000"/>
              </w:rPr>
              <w:t>Все принимаемые Подрядчиком технологические решения (включая типовые) подлежат обязательному предварительному согласованию с Заказчиком на стадии проектирования.</w:t>
            </w:r>
          </w:p>
          <w:p>
            <w:pPr>
              <w:pStyle w:val="BodyText"/>
              <w:numPr>
                <w:ilvl w:val="0"/>
                <w:numId w:val="3"/>
              </w:numPr>
              <w:tabs>
                <w:tab w:val="clear" w:pos="709"/>
                <w:tab w:val="left" w:pos="360" w:leader="none"/>
              </w:tabs>
              <w:suppressAutoHyphens w:val="false"/>
              <w:spacing w:before="0" w:after="0"/>
              <w:ind w:hanging="160" w:start="160"/>
              <w:jc w:val="both"/>
              <w:rPr>
                <w:color w:val="000000"/>
              </w:rPr>
            </w:pPr>
            <w:r>
              <w:rPr>
                <w:color w:val="000000"/>
              </w:rPr>
              <w:t>Объём проектной и исполнительной документации должен соответствовать действующим нормами правилам, настоящему техническому заданию и быть достаточным для выполнения строительно-монтажных, пуско-наладочных работ и ввода объекта в эксплуатацию.</w:t>
            </w:r>
          </w:p>
          <w:p>
            <w:pPr>
              <w:pStyle w:val="BodyText"/>
              <w:numPr>
                <w:ilvl w:val="0"/>
                <w:numId w:val="3"/>
              </w:numPr>
              <w:tabs>
                <w:tab w:val="clear" w:pos="709"/>
                <w:tab w:val="left" w:pos="360" w:leader="none"/>
              </w:tabs>
              <w:suppressAutoHyphens w:val="false"/>
              <w:spacing w:before="0" w:after="0"/>
              <w:ind w:hanging="160" w:start="160"/>
              <w:jc w:val="both"/>
              <w:rPr>
                <w:color w:val="000000"/>
              </w:rPr>
            </w:pPr>
            <w:r>
              <w:rPr>
                <w:color w:val="000000"/>
              </w:rPr>
              <w:t xml:space="preserve">Проектная документация должна быть оформлена и передана на бумажном носителе в 3-х экземплярах и на электронном носителе </w:t>
            </w:r>
          </w:p>
          <w:p>
            <w:pPr>
              <w:pStyle w:val="BodyText"/>
              <w:widowControl/>
              <w:numPr>
                <w:ilvl w:val="0"/>
                <w:numId w:val="3"/>
              </w:numPr>
              <w:tabs>
                <w:tab w:val="clear" w:pos="709"/>
                <w:tab w:val="left" w:pos="360" w:leader="none"/>
              </w:tabs>
              <w:suppressAutoHyphens w:val="false"/>
              <w:bidi w:val="0"/>
              <w:spacing w:before="0" w:after="0"/>
              <w:ind w:hanging="160" w:start="160"/>
              <w:jc w:val="both"/>
              <w:rPr>
                <w:color w:val="000000"/>
                <w:kern w:val="0"/>
                <w:lang w:val="ru-RU" w:bidi="ar-SA"/>
              </w:rPr>
            </w:pPr>
            <w:r>
              <w:rPr>
                <w:color w:val="000000"/>
                <w:kern w:val="0"/>
                <w:lang w:val="ru-RU" w:bidi="ar-SA"/>
              </w:rPr>
              <w:t>Электронные форматы предоставления данных:</w:t>
            </w:r>
          </w:p>
          <w:p>
            <w:pPr>
              <w:pStyle w:val="BodyText"/>
              <w:widowControl/>
              <w:numPr>
                <w:ilvl w:val="0"/>
                <w:numId w:val="3"/>
              </w:numPr>
              <w:tabs>
                <w:tab w:val="clear" w:pos="709"/>
                <w:tab w:val="left" w:pos="360" w:leader="none"/>
              </w:tabs>
              <w:suppressAutoHyphens w:val="false"/>
              <w:bidi w:val="0"/>
              <w:spacing w:before="0" w:after="0"/>
              <w:ind w:hanging="160" w:start="160"/>
              <w:jc w:val="both"/>
              <w:rPr>
                <w:color w:val="000000"/>
                <w:kern w:val="0"/>
                <w:lang w:val="ru-RU" w:bidi="ar-SA"/>
              </w:rPr>
            </w:pPr>
            <w:r>
              <w:rPr>
                <w:color w:val="000000"/>
                <w:kern w:val="0"/>
                <w:lang w:val="ru-RU" w:bidi="ar-SA"/>
              </w:rPr>
              <w:t>текстовая часть - формат pdf.</w:t>
            </w:r>
          </w:p>
          <w:p>
            <w:pPr>
              <w:pStyle w:val="BodyText"/>
              <w:widowControl/>
              <w:numPr>
                <w:ilvl w:val="0"/>
                <w:numId w:val="3"/>
              </w:numPr>
              <w:tabs>
                <w:tab w:val="clear" w:pos="709"/>
                <w:tab w:val="left" w:pos="360" w:leader="none"/>
              </w:tabs>
              <w:suppressAutoHyphens w:val="false"/>
              <w:bidi w:val="0"/>
              <w:spacing w:before="0" w:after="0"/>
              <w:ind w:hanging="160" w:start="160"/>
              <w:jc w:val="both"/>
              <w:rPr>
                <w:color w:val="000000"/>
                <w:kern w:val="0"/>
                <w:lang w:val="ru-RU" w:bidi="ar-SA"/>
              </w:rPr>
            </w:pPr>
            <w:r>
              <w:rPr>
                <w:color w:val="000000"/>
                <w:kern w:val="0"/>
                <w:lang w:val="ru-RU" w:bidi="ar-SA"/>
              </w:rPr>
              <w:t>чертежи и схемы - pdf.</w:t>
            </w:r>
          </w:p>
          <w:p>
            <w:pPr>
              <w:pStyle w:val="BodyText"/>
              <w:widowControl/>
              <w:numPr>
                <w:ilvl w:val="0"/>
                <w:numId w:val="3"/>
              </w:numPr>
              <w:tabs>
                <w:tab w:val="clear" w:pos="709"/>
                <w:tab w:val="left" w:pos="360" w:leader="none"/>
              </w:tabs>
              <w:suppressAutoHyphens w:val="false"/>
              <w:bidi w:val="0"/>
              <w:spacing w:before="0" w:after="0"/>
              <w:ind w:hanging="160" w:start="160"/>
              <w:jc w:val="both"/>
              <w:rPr>
                <w:color w:val="000000"/>
                <w:kern w:val="0"/>
                <w:lang w:val="ru-RU" w:bidi="ar-SA"/>
              </w:rPr>
            </w:pPr>
            <w:r>
              <w:rPr>
                <w:color w:val="000000"/>
                <w:kern w:val="0"/>
                <w:lang w:val="ru-RU" w:bidi="ar-SA"/>
              </w:rPr>
              <w:t>сметные расчёты – формат программного комплекса «Гранд-смета».gsfx с копией в формате Excel.</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bCs/>
                <w:color w:val="000000"/>
                <w:sz w:val="24"/>
                <w:szCs w:val="24"/>
              </w:rPr>
              <w:t>Стадия проектирования:</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color w:val="000000"/>
              </w:rPr>
            </w:pPr>
            <w:r>
              <w:rPr>
                <w:color w:val="000000"/>
              </w:rPr>
              <w:t>Стадия "П" – проект (при необходимости).</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color w:val="000000"/>
                <w:sz w:val="24"/>
                <w:szCs w:val="24"/>
              </w:rPr>
              <w:t>Стадия "Р" – рабочая документация.</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bCs/>
                <w:color w:val="000000"/>
                <w:sz w:val="24"/>
                <w:szCs w:val="24"/>
              </w:rPr>
              <w:t>Объем проектных работ:</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rFonts w:cs="Arial" w:ascii="Arial" w:hAnsi="Arial"/>
                <w:color w:val="2C2D2E"/>
                <w:sz w:val="23"/>
                <w:szCs w:val="23"/>
                <w:shd w:fill="FFFFFF" w:val="clear"/>
              </w:rPr>
              <w:t>Внесения изменений в проектную документацию и перепрохождения  госэкспертизы (при необходимости) технической части в объеме сопоставимом предыдущей документации прошедшей экспертизу.</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color w:val="000000"/>
              </w:rPr>
              <w:t>При необходимости объем</w:t>
            </w:r>
            <w:r>
              <w:rPr/>
              <w:t xml:space="preserve"> проектной документации должен соответствовать требованиям Постановления Правительства РФ №87 от 16.02.2008 г. </w:t>
            </w:r>
            <w:r>
              <w:rPr>
                <w:color w:val="000000"/>
              </w:rPr>
              <w:t>"О составе разделов проектной документации и требованиях к их содержанию"</w:t>
            </w:r>
            <w:r>
              <w:rPr/>
              <w:t>, обеспечивающем получение положительного заключения экспертизы (при необходимости).</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color w:val="000000"/>
              </w:rPr>
              <w:t xml:space="preserve">Проектная </w:t>
            </w:r>
            <w:r>
              <w:rPr/>
              <w:t>документация должна содержать, в том числе (но не исключительно), следующие разделы:</w:t>
            </w:r>
          </w:p>
          <w:p>
            <w:pPr>
              <w:pStyle w:val="BodyText"/>
              <w:widowControl w:val="false"/>
              <w:tabs>
                <w:tab w:val="clear" w:pos="709"/>
                <w:tab w:val="left" w:pos="0" w:leader="none"/>
              </w:tabs>
              <w:spacing w:before="0" w:after="0"/>
              <w:ind w:start="160"/>
              <w:jc w:val="both"/>
              <w:rPr/>
            </w:pPr>
            <w:r>
              <w:rPr/>
            </w:r>
          </w:p>
          <w:p>
            <w:pPr>
              <w:pStyle w:val="BodyText"/>
              <w:widowControl w:val="false"/>
              <w:numPr>
                <w:ilvl w:val="0"/>
                <w:numId w:val="5"/>
              </w:numPr>
              <w:suppressAutoHyphens w:val="false"/>
              <w:spacing w:before="0" w:after="0"/>
              <w:ind w:hanging="280" w:start="360"/>
              <w:jc w:val="both"/>
              <w:rPr/>
            </w:pPr>
            <w:r>
              <w:rPr>
                <w:color w:val="000000"/>
              </w:rPr>
              <w:t>Раздел 1: ПЗ</w:t>
            </w:r>
            <w:r>
              <w:rPr/>
              <w:t xml:space="preserve"> (Пояснительная записка).</w:t>
            </w:r>
          </w:p>
          <w:p>
            <w:pPr>
              <w:pStyle w:val="BodyText"/>
              <w:widowControl w:val="false"/>
              <w:numPr>
                <w:ilvl w:val="0"/>
                <w:numId w:val="5"/>
              </w:numPr>
              <w:suppressAutoHyphens w:val="false"/>
              <w:spacing w:before="0" w:after="0"/>
              <w:ind w:hanging="280" w:start="360"/>
              <w:jc w:val="both"/>
              <w:rPr>
                <w:color w:val="000000"/>
              </w:rPr>
            </w:pPr>
            <w:r>
              <w:rPr>
                <w:color w:val="000000"/>
              </w:rPr>
              <w:t>Раздел 3: </w:t>
            </w:r>
            <w:r>
              <w:rPr/>
              <w:t xml:space="preserve">АР Архитектурные решения, </w:t>
            </w:r>
            <w:r>
              <w:rPr>
                <w:color w:val="000000"/>
              </w:rPr>
              <w:t>(Котельная).</w:t>
            </w:r>
          </w:p>
          <w:p>
            <w:pPr>
              <w:pStyle w:val="BodyText"/>
              <w:widowControl w:val="false"/>
              <w:numPr>
                <w:ilvl w:val="0"/>
                <w:numId w:val="5"/>
              </w:numPr>
              <w:suppressAutoHyphens w:val="false"/>
              <w:spacing w:before="0" w:after="0"/>
              <w:ind w:hanging="280" w:start="360"/>
              <w:jc w:val="both"/>
              <w:rPr>
                <w:color w:val="000000"/>
              </w:rPr>
            </w:pPr>
            <w:r>
              <w:rPr>
                <w:color w:val="000000"/>
              </w:rPr>
              <w:t>Раздел 4: КР Конструктивные и объёмно-</w:t>
            </w:r>
            <w:r>
              <w:rPr/>
              <w:t>планировочные решения (Котельная)</w:t>
            </w:r>
            <w:r>
              <w:rPr>
                <w:color w:val="000000"/>
              </w:rPr>
              <w:t>.</w:t>
            </w:r>
          </w:p>
          <w:p>
            <w:pPr>
              <w:pStyle w:val="BodyText"/>
              <w:widowControl w:val="false"/>
              <w:numPr>
                <w:ilvl w:val="0"/>
                <w:numId w:val="5"/>
              </w:numPr>
              <w:suppressAutoHyphens w:val="false"/>
              <w:spacing w:before="0" w:after="0"/>
              <w:ind w:hanging="280" w:start="360"/>
              <w:jc w:val="both"/>
              <w:rPr>
                <w:color w:val="000000"/>
              </w:rPr>
            </w:pPr>
            <w:r>
              <w:rPr>
                <w:color w:val="000000"/>
              </w:rPr>
              <w:t xml:space="preserve">Раздел 5: ИОС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w:t>
            </w:r>
            <w:r>
              <w:rPr/>
              <w:t>(Котельная</w:t>
            </w:r>
            <w:r>
              <w:rPr>
                <w:color w:val="000000"/>
              </w:rPr>
              <w:t>).</w:t>
            </w:r>
          </w:p>
          <w:p>
            <w:pPr>
              <w:pStyle w:val="BodyText"/>
              <w:widowControl w:val="false"/>
              <w:numPr>
                <w:ilvl w:val="0"/>
                <w:numId w:val="6"/>
              </w:numPr>
              <w:suppressAutoHyphens w:val="false"/>
              <w:spacing w:before="0" w:after="0"/>
              <w:ind w:hanging="280" w:start="680"/>
              <w:jc w:val="both"/>
              <w:rPr>
                <w:color w:val="000000"/>
              </w:rPr>
            </w:pPr>
            <w:r>
              <w:rPr>
                <w:color w:val="000000"/>
              </w:rPr>
              <w:t xml:space="preserve">Подраздел 5.1: Система электроснабжения </w:t>
            </w:r>
            <w:r>
              <w:rPr/>
              <w:t>(Котельная)</w:t>
            </w:r>
            <w:r>
              <w:rPr>
                <w:color w:val="000000"/>
              </w:rPr>
              <w:t>.</w:t>
            </w:r>
          </w:p>
          <w:p>
            <w:pPr>
              <w:pStyle w:val="BodyText"/>
              <w:widowControl w:val="false"/>
              <w:numPr>
                <w:ilvl w:val="0"/>
                <w:numId w:val="6"/>
              </w:numPr>
              <w:suppressAutoHyphens w:val="false"/>
              <w:spacing w:before="0" w:after="0"/>
              <w:ind w:hanging="280" w:start="680"/>
              <w:jc w:val="both"/>
              <w:rPr>
                <w:color w:val="000000"/>
              </w:rPr>
            </w:pPr>
            <w:r>
              <w:rPr>
                <w:color w:val="000000"/>
              </w:rPr>
              <w:t xml:space="preserve">Подраздел 5.2: Система водоснабжения </w:t>
            </w:r>
            <w:r>
              <w:rPr/>
              <w:t>(Котельная)</w:t>
            </w:r>
            <w:r>
              <w:rPr>
                <w:color w:val="000000"/>
              </w:rPr>
              <w:t>.</w:t>
            </w:r>
          </w:p>
          <w:p>
            <w:pPr>
              <w:pStyle w:val="BodyText"/>
              <w:widowControl w:val="false"/>
              <w:numPr>
                <w:ilvl w:val="0"/>
                <w:numId w:val="6"/>
              </w:numPr>
              <w:suppressAutoHyphens w:val="false"/>
              <w:spacing w:before="0" w:after="0"/>
              <w:ind w:hanging="280" w:start="680"/>
              <w:jc w:val="both"/>
              <w:rPr>
                <w:color w:val="000000"/>
              </w:rPr>
            </w:pPr>
            <w:r>
              <w:rPr>
                <w:color w:val="000000"/>
              </w:rPr>
              <w:t xml:space="preserve">Подраздел 5.3: Система водоотведения </w:t>
            </w:r>
            <w:r>
              <w:rPr/>
              <w:t>(Котельная)</w:t>
            </w:r>
            <w:r>
              <w:rPr>
                <w:color w:val="000000"/>
              </w:rPr>
              <w:t>.</w:t>
            </w:r>
          </w:p>
          <w:p>
            <w:pPr>
              <w:pStyle w:val="BodyText"/>
              <w:widowControl w:val="false"/>
              <w:numPr>
                <w:ilvl w:val="0"/>
                <w:numId w:val="6"/>
              </w:numPr>
              <w:suppressAutoHyphens w:val="false"/>
              <w:spacing w:before="0" w:after="0"/>
              <w:ind w:hanging="280" w:start="680"/>
              <w:jc w:val="both"/>
              <w:rPr>
                <w:color w:val="000000"/>
              </w:rPr>
            </w:pPr>
            <w:r>
              <w:rPr>
                <w:color w:val="000000"/>
              </w:rPr>
              <w:t xml:space="preserve">Подраздел 5.4: Отопление, вентиляция и кондиционирование воздуха, тепловые сети </w:t>
            </w:r>
            <w:r>
              <w:rPr/>
              <w:t>(Котельная)</w:t>
            </w:r>
            <w:r>
              <w:rPr>
                <w:color w:val="000000"/>
              </w:rPr>
              <w:t>.</w:t>
            </w:r>
          </w:p>
          <w:p>
            <w:pPr>
              <w:pStyle w:val="BodyText"/>
              <w:widowControl w:val="false"/>
              <w:numPr>
                <w:ilvl w:val="0"/>
                <w:numId w:val="6"/>
              </w:numPr>
              <w:suppressAutoHyphens w:val="false"/>
              <w:spacing w:before="0" w:after="0"/>
              <w:ind w:hanging="280" w:start="680"/>
              <w:jc w:val="both"/>
              <w:rPr>
                <w:color w:val="000000"/>
              </w:rPr>
            </w:pPr>
            <w:r>
              <w:rPr>
                <w:color w:val="000000"/>
              </w:rPr>
              <w:t xml:space="preserve">Подраздел 5.5: Сети связи </w:t>
            </w:r>
            <w:r>
              <w:rPr/>
              <w:t>(Котельная)</w:t>
            </w:r>
            <w:r>
              <w:rPr>
                <w:color w:val="000000"/>
              </w:rPr>
              <w:t>.</w:t>
            </w:r>
          </w:p>
          <w:p>
            <w:pPr>
              <w:pStyle w:val="BodyText"/>
              <w:widowControl w:val="false"/>
              <w:numPr>
                <w:ilvl w:val="0"/>
                <w:numId w:val="6"/>
              </w:numPr>
              <w:suppressAutoHyphens w:val="false"/>
              <w:spacing w:before="0" w:after="0"/>
              <w:ind w:hanging="280" w:start="680"/>
              <w:jc w:val="both"/>
              <w:rPr>
                <w:color w:val="000000"/>
              </w:rPr>
            </w:pPr>
            <w:r>
              <w:rPr>
                <w:color w:val="000000"/>
              </w:rPr>
              <w:t xml:space="preserve">Подраздел 5.6: Система газоснабжения </w:t>
            </w:r>
            <w:r>
              <w:rPr/>
              <w:t>(Котельная)</w:t>
            </w:r>
            <w:r>
              <w:rPr>
                <w:color w:val="000000"/>
              </w:rPr>
              <w:t>.</w:t>
            </w:r>
          </w:p>
          <w:p>
            <w:pPr>
              <w:pStyle w:val="BodyText"/>
              <w:widowControl w:val="false"/>
              <w:numPr>
                <w:ilvl w:val="0"/>
                <w:numId w:val="6"/>
              </w:numPr>
              <w:suppressAutoHyphens w:val="false"/>
              <w:spacing w:before="0" w:after="0"/>
              <w:ind w:hanging="280" w:start="680"/>
              <w:jc w:val="both"/>
              <w:rPr>
                <w:color w:val="000000"/>
              </w:rPr>
            </w:pPr>
            <w:r>
              <w:rPr>
                <w:color w:val="000000"/>
              </w:rPr>
              <w:t xml:space="preserve">Подраздел 5.7: Технологические решения </w:t>
            </w:r>
            <w:r>
              <w:rPr/>
              <w:t>(Котельная)</w:t>
            </w:r>
            <w:r>
              <w:rPr>
                <w:color w:val="000000"/>
              </w:rPr>
              <w:t>.</w:t>
            </w:r>
          </w:p>
          <w:p>
            <w:pPr>
              <w:pStyle w:val="BodyText"/>
              <w:widowControl w:val="false"/>
              <w:numPr>
                <w:ilvl w:val="0"/>
                <w:numId w:val="5"/>
              </w:numPr>
              <w:suppressAutoHyphens w:val="false"/>
              <w:spacing w:before="0" w:after="0"/>
              <w:ind w:hanging="280" w:start="360"/>
              <w:jc w:val="both"/>
              <w:rPr>
                <w:color w:val="000000"/>
              </w:rPr>
            </w:pPr>
            <w:r>
              <w:rPr>
                <w:color w:val="000000"/>
              </w:rPr>
              <w:t>Раздел 9: ПБ Мероприятия по обеспечению пожарной безопасности.</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color w:val="000000"/>
              </w:rPr>
              <w:t xml:space="preserve">Рабочая </w:t>
            </w:r>
            <w:r>
              <w:rPr/>
              <w:t>документация в объеме паспорта котельной должна содержать, в том числе (но не исключительно), следующие комплекты рабочих чертежей:</w:t>
            </w:r>
          </w:p>
          <w:p>
            <w:pPr>
              <w:pStyle w:val="BodyText"/>
              <w:widowControl w:val="false"/>
              <w:numPr>
                <w:ilvl w:val="0"/>
                <w:numId w:val="5"/>
              </w:numPr>
              <w:suppressAutoHyphens w:val="false"/>
              <w:spacing w:before="0" w:after="0"/>
              <w:ind w:hanging="280" w:start="560"/>
              <w:jc w:val="both"/>
              <w:rPr>
                <w:color w:val="000000"/>
              </w:rPr>
            </w:pPr>
            <w:r>
              <w:rPr/>
              <w:t>А</w:t>
            </w:r>
            <w:r>
              <w:rPr>
                <w:vanish/>
              </w:rPr>
              <w:t>Р</w:t>
            </w:r>
            <w:r>
              <w:rPr/>
              <w:t xml:space="preserve">С </w:t>
            </w:r>
            <w:r>
              <w:rPr>
                <w:color w:val="000000"/>
              </w:rPr>
              <w:t>(Архитектурно-строительные решения).</w:t>
            </w:r>
          </w:p>
          <w:p>
            <w:pPr>
              <w:pStyle w:val="BodyText"/>
              <w:widowControl w:val="false"/>
              <w:numPr>
                <w:ilvl w:val="0"/>
                <w:numId w:val="5"/>
              </w:numPr>
              <w:suppressAutoHyphens w:val="false"/>
              <w:spacing w:before="0" w:after="0"/>
              <w:ind w:hanging="280" w:start="560"/>
              <w:jc w:val="both"/>
              <w:rPr>
                <w:color w:val="000000"/>
              </w:rPr>
            </w:pPr>
            <w:r>
              <w:rPr>
                <w:color w:val="000000"/>
              </w:rPr>
              <w:t>КЖ (Фундаменты).</w:t>
            </w:r>
          </w:p>
          <w:p>
            <w:pPr>
              <w:pStyle w:val="BodyText"/>
              <w:widowControl w:val="false"/>
              <w:numPr>
                <w:ilvl w:val="0"/>
                <w:numId w:val="5"/>
              </w:numPr>
              <w:suppressAutoHyphens w:val="false"/>
              <w:spacing w:before="0" w:after="0"/>
              <w:ind w:hanging="280" w:start="560"/>
              <w:jc w:val="both"/>
              <w:rPr>
                <w:color w:val="000000"/>
              </w:rPr>
            </w:pPr>
            <w:r>
              <w:rPr>
                <w:color w:val="000000"/>
              </w:rPr>
              <w:t>КМ (Конструкции металлические) (при необходимости).</w:t>
            </w:r>
          </w:p>
          <w:p>
            <w:pPr>
              <w:pStyle w:val="BodyText"/>
              <w:widowControl w:val="false"/>
              <w:numPr>
                <w:ilvl w:val="0"/>
                <w:numId w:val="5"/>
              </w:numPr>
              <w:suppressAutoHyphens w:val="false"/>
              <w:spacing w:before="0" w:after="0"/>
              <w:ind w:hanging="280" w:start="560"/>
              <w:jc w:val="both"/>
              <w:rPr>
                <w:color w:val="000000"/>
              </w:rPr>
            </w:pPr>
            <w:r>
              <w:rPr>
                <w:color w:val="000000"/>
              </w:rPr>
              <w:t>ВК (Внутренние системы водоснабжения и канализации) (при необходимости).</w:t>
            </w:r>
          </w:p>
          <w:p>
            <w:pPr>
              <w:pStyle w:val="BodyText"/>
              <w:widowControl w:val="false"/>
              <w:numPr>
                <w:ilvl w:val="0"/>
                <w:numId w:val="5"/>
              </w:numPr>
              <w:suppressAutoHyphens w:val="false"/>
              <w:spacing w:before="0" w:after="0"/>
              <w:ind w:hanging="280" w:start="560"/>
              <w:jc w:val="both"/>
              <w:rPr>
                <w:color w:val="000000"/>
              </w:rPr>
            </w:pPr>
            <w:r>
              <w:rPr>
                <w:color w:val="000000"/>
              </w:rPr>
              <w:t>ОВ (Отопление, вентиляция и кондиционирование).</w:t>
            </w:r>
          </w:p>
          <w:p>
            <w:pPr>
              <w:pStyle w:val="BodyText"/>
              <w:widowControl w:val="false"/>
              <w:numPr>
                <w:ilvl w:val="0"/>
                <w:numId w:val="5"/>
              </w:numPr>
              <w:suppressAutoHyphens w:val="false"/>
              <w:spacing w:before="0" w:after="0"/>
              <w:ind w:hanging="280" w:start="560"/>
              <w:jc w:val="both"/>
              <w:rPr>
                <w:color w:val="000000"/>
              </w:rPr>
            </w:pPr>
            <w:r>
              <w:rPr>
                <w:color w:val="000000"/>
              </w:rPr>
              <w:t>ТМ (Тепломеханические решения).</w:t>
            </w:r>
          </w:p>
          <w:p>
            <w:pPr>
              <w:pStyle w:val="BodyText"/>
              <w:widowControl w:val="false"/>
              <w:numPr>
                <w:ilvl w:val="0"/>
                <w:numId w:val="5"/>
              </w:numPr>
              <w:suppressAutoHyphens w:val="false"/>
              <w:spacing w:before="0" w:after="0"/>
              <w:ind w:hanging="280" w:start="560"/>
              <w:jc w:val="both"/>
              <w:rPr>
                <w:color w:val="000000"/>
              </w:rPr>
            </w:pPr>
            <w:r>
              <w:rPr>
                <w:color w:val="000000"/>
              </w:rPr>
              <w:t>АТМ (Автоматизация тепломеханических решений).</w:t>
            </w:r>
          </w:p>
          <w:p>
            <w:pPr>
              <w:pStyle w:val="BodyText"/>
              <w:widowControl w:val="false"/>
              <w:numPr>
                <w:ilvl w:val="0"/>
                <w:numId w:val="5"/>
              </w:numPr>
              <w:suppressAutoHyphens w:val="false"/>
              <w:spacing w:before="0" w:after="0"/>
              <w:ind w:hanging="280" w:start="560"/>
              <w:jc w:val="both"/>
              <w:rPr>
                <w:color w:val="000000"/>
              </w:rPr>
            </w:pPr>
            <w:r>
              <w:rPr>
                <w:color w:val="000000"/>
              </w:rPr>
              <w:t>ГСВ (Газоснабжение, внутренние устройства).</w:t>
            </w:r>
          </w:p>
          <w:p>
            <w:pPr>
              <w:pStyle w:val="BodyText"/>
              <w:widowControl w:val="false"/>
              <w:numPr>
                <w:ilvl w:val="0"/>
                <w:numId w:val="5"/>
              </w:numPr>
              <w:suppressAutoHyphens w:val="false"/>
              <w:spacing w:before="0" w:after="0"/>
              <w:ind w:hanging="280" w:start="560"/>
              <w:jc w:val="both"/>
              <w:rPr>
                <w:color w:val="000000"/>
              </w:rPr>
            </w:pPr>
            <w:r>
              <w:rPr>
                <w:color w:val="000000"/>
              </w:rPr>
              <w:t>ЭС (Электроснабжение, в т.ч. заземление и молниезащита, и учет потребляемых ресурсов).</w:t>
            </w:r>
          </w:p>
          <w:p>
            <w:pPr>
              <w:pStyle w:val="BodyText"/>
              <w:widowControl w:val="false"/>
              <w:numPr>
                <w:ilvl w:val="0"/>
                <w:numId w:val="5"/>
              </w:numPr>
              <w:suppressAutoHyphens w:val="false"/>
              <w:spacing w:before="0" w:after="0"/>
              <w:ind w:hanging="280" w:start="560"/>
              <w:jc w:val="both"/>
              <w:rPr>
                <w:color w:val="000000"/>
              </w:rPr>
            </w:pPr>
            <w:r>
              <w:rPr>
                <w:color w:val="000000"/>
              </w:rPr>
              <w:t>ЭМ (Электрооборудование);</w:t>
            </w:r>
          </w:p>
          <w:p>
            <w:pPr>
              <w:pStyle w:val="BodyText"/>
              <w:widowControl w:val="false"/>
              <w:numPr>
                <w:ilvl w:val="0"/>
                <w:numId w:val="5"/>
              </w:numPr>
              <w:suppressAutoHyphens w:val="false"/>
              <w:spacing w:before="0" w:after="0"/>
              <w:ind w:hanging="280" w:start="560"/>
              <w:jc w:val="both"/>
              <w:rPr>
                <w:color w:val="000000"/>
              </w:rPr>
            </w:pPr>
            <w:r>
              <w:rPr>
                <w:color w:val="000000"/>
              </w:rPr>
              <w:t>ЭО (Электрическое освещение (внутреннее)).</w:t>
            </w:r>
          </w:p>
          <w:p>
            <w:pPr>
              <w:pStyle w:val="BodyText"/>
              <w:widowControl w:val="false"/>
              <w:numPr>
                <w:ilvl w:val="0"/>
                <w:numId w:val="5"/>
              </w:numPr>
              <w:suppressAutoHyphens w:val="false"/>
              <w:spacing w:before="0" w:after="0"/>
              <w:ind w:hanging="280" w:start="560"/>
              <w:jc w:val="both"/>
              <w:rPr>
                <w:color w:val="000000"/>
              </w:rPr>
            </w:pPr>
            <w:r>
              <w:rPr>
                <w:color w:val="000000"/>
              </w:rPr>
              <w:t>ДТ (Дымовая труба, с обязательным аэродинамическим расчётом трубы, с расчётом-обоснованием использования в схеме дымоудаления существующего оборудования и сооружений (дымососы, газоходы, дымовая труба)).</w:t>
            </w:r>
          </w:p>
          <w:p>
            <w:pPr>
              <w:pStyle w:val="BodyText"/>
              <w:widowControl w:val="false"/>
              <w:numPr>
                <w:ilvl w:val="0"/>
                <w:numId w:val="5"/>
              </w:numPr>
              <w:suppressAutoHyphens w:val="false"/>
              <w:spacing w:before="0" w:after="0"/>
              <w:ind w:hanging="280" w:start="560"/>
              <w:jc w:val="both"/>
              <w:rPr>
                <w:color w:val="000000"/>
              </w:rPr>
            </w:pPr>
            <w:r>
              <w:rPr>
                <w:color w:val="000000"/>
              </w:rPr>
              <w:t>ОПС (Система охранной и пожарной сигнализации).</w:t>
            </w:r>
          </w:p>
          <w:p>
            <w:pPr>
              <w:pStyle w:val="BodyText"/>
              <w:widowControl w:val="false"/>
              <w:numPr>
                <w:ilvl w:val="0"/>
                <w:numId w:val="5"/>
              </w:numPr>
              <w:suppressAutoHyphens w:val="false"/>
              <w:spacing w:before="0" w:after="0"/>
              <w:ind w:hanging="280" w:start="560"/>
              <w:jc w:val="both"/>
              <w:rPr>
                <w:color w:val="000000"/>
              </w:rPr>
            </w:pPr>
            <w:r>
              <w:rPr>
                <w:color w:val="000000"/>
              </w:rPr>
              <w:t>Описание функционирования комплекса технических средств, в том числе в пусковых и аварийных режимах.</w:t>
            </w:r>
          </w:p>
          <w:p>
            <w:pPr>
              <w:pStyle w:val="BodyText"/>
              <w:numPr>
                <w:ilvl w:val="0"/>
                <w:numId w:val="2"/>
              </w:numPr>
              <w:tabs>
                <w:tab w:val="clear" w:pos="709"/>
                <w:tab w:val="left" w:pos="0" w:leader="none"/>
                <w:tab w:val="left" w:pos="720" w:leader="none"/>
              </w:tabs>
              <w:suppressAutoHyphens w:val="false"/>
              <w:spacing w:before="0" w:after="0"/>
              <w:ind w:hanging="160" w:start="160"/>
              <w:jc w:val="both"/>
              <w:rPr>
                <w:color w:val="000000"/>
              </w:rPr>
            </w:pPr>
            <w:r>
              <w:rPr/>
              <w:t>Проектная</w:t>
            </w:r>
            <w:r>
              <w:rPr>
                <w:color w:val="000000"/>
              </w:rPr>
              <w:t xml:space="preserve"> и рабочая документация должны содержать все необходимые разделы, требуемые инспектирующими организациями и ведомствами и быть достаточной для </w:t>
            </w:r>
            <w:r>
              <w:rPr/>
              <w:t>выполнения</w:t>
            </w:r>
            <w:r>
              <w:rPr>
                <w:color w:val="000000"/>
              </w:rPr>
              <w:t xml:space="preserve"> строительно-монтажных, пуско-наладочных работ и ввода комплекса </w:t>
            </w:r>
            <w:r>
              <w:rPr>
                <w:bCs/>
                <w:color w:val="000000"/>
              </w:rPr>
              <w:t>оборудования</w:t>
            </w:r>
            <w:r>
              <w:rPr>
                <w:color w:val="000000"/>
              </w:rPr>
              <w:t xml:space="preserve"> в эксплуатацию.</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ascii="Times New Roman" w:hAnsi="Times New Roman"/>
                <w:color w:val="000000"/>
                <w:sz w:val="24"/>
                <w:szCs w:val="24"/>
              </w:rPr>
              <w:t xml:space="preserve">На стадии предпроектных </w:t>
            </w:r>
            <w:r>
              <w:rPr>
                <w:rFonts w:eastAsia="Times New Roman" w:ascii="Times New Roman" w:hAnsi="Times New Roman"/>
                <w:bCs/>
                <w:color w:val="000000"/>
                <w:sz w:val="24"/>
                <w:szCs w:val="24"/>
              </w:rPr>
              <w:t>проработок</w:t>
            </w:r>
            <w:r>
              <w:rPr>
                <w:rFonts w:eastAsia="Times New Roman" w:ascii="Times New Roman" w:hAnsi="Times New Roman"/>
                <w:color w:val="000000"/>
                <w:sz w:val="24"/>
                <w:szCs w:val="24"/>
              </w:rPr>
              <w:t xml:space="preserve"> выполнить:</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color w:val="000000"/>
              </w:rPr>
            </w:pPr>
            <w:r>
              <w:rPr>
                <w:color w:val="000000"/>
              </w:rPr>
              <w:t>Согласовать с Подрядчиком\Генподрядчиком\Заказчиком:</w:t>
            </w:r>
          </w:p>
          <w:p>
            <w:pPr>
              <w:pStyle w:val="Normal"/>
              <w:widowControl w:val="false"/>
              <w:numPr>
                <w:ilvl w:val="0"/>
                <w:numId w:val="7"/>
              </w:numPr>
              <w:spacing w:lineRule="auto" w:line="240" w:before="0" w:after="0"/>
              <w:ind w:hanging="280" w:start="440"/>
              <w:jc w:val="both"/>
              <w:rPr>
                <w:rFonts w:ascii="Times New Roman" w:hAnsi="Times New Roman"/>
                <w:color w:val="000000"/>
                <w:sz w:val="24"/>
                <w:szCs w:val="24"/>
              </w:rPr>
            </w:pPr>
            <w:r>
              <w:rPr>
                <w:rFonts w:eastAsia="Times New Roman" w:ascii="Times New Roman" w:hAnsi="Times New Roman"/>
                <w:color w:val="000000"/>
                <w:sz w:val="24"/>
                <w:szCs w:val="24"/>
              </w:rPr>
              <w:t>принципиальную тепловую схему котельной,</w:t>
            </w:r>
          </w:p>
          <w:p>
            <w:pPr>
              <w:pStyle w:val="Normal"/>
              <w:widowControl w:val="false"/>
              <w:numPr>
                <w:ilvl w:val="0"/>
                <w:numId w:val="7"/>
              </w:numPr>
              <w:spacing w:lineRule="auto" w:line="240" w:before="0" w:after="0"/>
              <w:ind w:hanging="280" w:start="440"/>
              <w:jc w:val="both"/>
              <w:rPr>
                <w:rFonts w:ascii="Times New Roman" w:hAnsi="Times New Roman"/>
                <w:color w:val="000000"/>
                <w:sz w:val="24"/>
                <w:szCs w:val="24"/>
              </w:rPr>
            </w:pPr>
            <w:r>
              <w:rPr>
                <w:rFonts w:eastAsia="Times New Roman" w:ascii="Times New Roman" w:hAnsi="Times New Roman"/>
                <w:color w:val="000000"/>
                <w:sz w:val="24"/>
                <w:szCs w:val="24"/>
              </w:rPr>
              <w:t>схему размещения оборудования и трубопроводов в котельной с увязкой с проектом тепловых и инженерных сетей,</w:t>
            </w:r>
          </w:p>
          <w:p>
            <w:pPr>
              <w:pStyle w:val="Normal"/>
              <w:widowControl w:val="false"/>
              <w:numPr>
                <w:ilvl w:val="0"/>
                <w:numId w:val="7"/>
              </w:numPr>
              <w:spacing w:lineRule="auto" w:line="240" w:before="0" w:after="0"/>
              <w:ind w:hanging="280" w:start="440"/>
              <w:jc w:val="both"/>
              <w:rPr>
                <w:rFonts w:ascii="Times New Roman" w:hAnsi="Times New Roman"/>
                <w:color w:val="000000"/>
                <w:sz w:val="24"/>
                <w:szCs w:val="24"/>
              </w:rPr>
            </w:pPr>
            <w:r>
              <w:rPr>
                <w:rFonts w:eastAsia="Times New Roman" w:ascii="Times New Roman" w:hAnsi="Times New Roman"/>
                <w:color w:val="000000"/>
                <w:sz w:val="24"/>
                <w:szCs w:val="24"/>
              </w:rPr>
              <w:t>схему автоматизации котельной,</w:t>
            </w:r>
          </w:p>
          <w:p>
            <w:pPr>
              <w:pStyle w:val="Normal"/>
              <w:widowControl w:val="false"/>
              <w:numPr>
                <w:ilvl w:val="0"/>
                <w:numId w:val="7"/>
              </w:numPr>
              <w:spacing w:lineRule="auto" w:line="240" w:before="0" w:after="0"/>
              <w:ind w:hanging="280" w:start="440"/>
              <w:jc w:val="both"/>
              <w:rPr>
                <w:rFonts w:ascii="Times New Roman" w:hAnsi="Times New Roman"/>
                <w:color w:val="000000"/>
                <w:sz w:val="24"/>
                <w:szCs w:val="24"/>
              </w:rPr>
            </w:pPr>
            <w:r>
              <w:rPr>
                <w:rFonts w:eastAsia="Times New Roman" w:ascii="Times New Roman" w:hAnsi="Times New Roman"/>
                <w:color w:val="000000"/>
                <w:sz w:val="24"/>
                <w:szCs w:val="24"/>
              </w:rPr>
              <w:t>предварительную однолинейную схему и схему размещения нового электрооборудования в здании котельной,</w:t>
            </w:r>
          </w:p>
          <w:p>
            <w:pPr>
              <w:pStyle w:val="Normal"/>
              <w:widowControl w:val="false"/>
              <w:numPr>
                <w:ilvl w:val="0"/>
                <w:numId w:val="7"/>
              </w:numPr>
              <w:spacing w:lineRule="auto" w:line="240" w:before="0" w:after="0"/>
              <w:ind w:hanging="280" w:start="440"/>
              <w:jc w:val="both"/>
              <w:rPr>
                <w:rFonts w:ascii="Times New Roman" w:hAnsi="Times New Roman"/>
                <w:color w:val="000000"/>
                <w:sz w:val="24"/>
                <w:szCs w:val="24"/>
              </w:rPr>
            </w:pPr>
            <w:r>
              <w:rPr>
                <w:rFonts w:eastAsia="Times New Roman" w:ascii="Times New Roman" w:hAnsi="Times New Roman"/>
                <w:color w:val="000000"/>
                <w:sz w:val="24"/>
                <w:szCs w:val="24"/>
              </w:rPr>
              <w:t>расчёт установленной, используемой электрической мощности (зима/лето).</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color w:val="000000"/>
              </w:rPr>
              <w:t>Материалы</w:t>
            </w:r>
            <w:r>
              <w:rPr>
                <w:rFonts w:cs="Times New Roman" w:ascii="Times New Roman" w:hAnsi="Times New Roman"/>
              </w:rPr>
              <w:t xml:space="preserve"> предпроектных проработок предоставить Заказчику. Дальнейшее проектирование вести по варианту, согласованному Заказчиком.</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9644" w:type="dxa"/>
            <w:gridSpan w:val="2"/>
            <w:tcBorders>
              <w:start w:val="single" w:sz="4" w:space="0" w:color="000000"/>
              <w:bottom w:val="single" w:sz="4" w:space="0" w:color="000000"/>
              <w:end w:val="single" w:sz="4" w:space="0" w:color="000000"/>
            </w:tcBorders>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ascii="Times New Roman" w:hAnsi="Times New Roman"/>
                <w:b/>
                <w:color w:val="000000"/>
                <w:sz w:val="24"/>
                <w:szCs w:val="24"/>
              </w:rPr>
              <w:t>Требования к проектным решениям:</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bCs/>
                <w:sz w:val="24"/>
                <w:szCs w:val="24"/>
              </w:rPr>
              <w:t>Основные требования:</w:t>
            </w:r>
          </w:p>
        </w:tc>
        <w:tc>
          <w:tcPr>
            <w:tcW w:w="7376" w:type="dxa"/>
            <w:tcBorders>
              <w:start w:val="single" w:sz="4" w:space="0" w:color="000000"/>
              <w:bottom w:val="single" w:sz="4" w:space="0" w:color="000000"/>
              <w:end w:val="single" w:sz="4" w:space="0" w:color="000000"/>
            </w:tcBorders>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sz w:val="24"/>
                <w:szCs w:val="24"/>
              </w:rPr>
              <w:t>Проектные решения должны предусматривать выполнение работ в соответствии с требованиями действующего законодательства по обеспечению качества и бесперебойности услуг теплоснабжения.</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color w:val="000000"/>
                <w:sz w:val="24"/>
                <w:szCs w:val="24"/>
              </w:rPr>
              <w:t>Тепломеханическая часть:</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Обеспечить работу котельной по двухконтурной независимой схеме.</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 xml:space="preserve">Предусмотреть установку водогрейных котлов, отечественного производства, в количестве, определяемом расчетом, но не менее количества котловых агрегатов в существующем проектном решении </w:t>
            </w:r>
            <w:r>
              <w:rPr>
                <w:lang w:eastAsia="ru-RU"/>
              </w:rPr>
              <w:t>5-1139-2</w:t>
            </w:r>
            <w:r>
              <w:rPr/>
              <w:t>. При соответствующем расчёте-обосновании (в соответствии с п. 11.2 настоящего ТЗ), по согласованию с Заказчиком, количество и типы котлов могут быть изменены.Предусмотреть отвод топочных газов через дымовую трубу многоствольной конструкции (на каждый котел, свой ствол газоходов) в едином металлокаркасе;</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Количество котлов, их единичные мощности, должны быть подобраны, исходя из условий обеспечения загрузки котла не менее 30% от номинальной мощности при следующих условиях:</w:t>
            </w:r>
          </w:p>
          <w:p>
            <w:pPr>
              <w:pStyle w:val="BodyText"/>
              <w:widowControl w:val="false"/>
              <w:numPr>
                <w:ilvl w:val="0"/>
                <w:numId w:val="8"/>
              </w:numPr>
              <w:tabs>
                <w:tab w:val="clear" w:pos="709"/>
                <w:tab w:val="left" w:pos="0" w:leader="none"/>
                <w:tab w:val="left" w:pos="720" w:leader="none"/>
              </w:tabs>
              <w:suppressAutoHyphens w:val="false"/>
              <w:spacing w:before="0" w:after="0"/>
              <w:ind w:hanging="280" w:start="440"/>
              <w:jc w:val="both"/>
              <w:rPr>
                <w:color w:val="000000"/>
              </w:rPr>
            </w:pPr>
            <w:r>
              <w:rPr/>
              <w:t xml:space="preserve">в </w:t>
            </w:r>
            <w:r>
              <w:rPr>
                <w:color w:val="000000"/>
              </w:rPr>
              <w:t>отопительный</w:t>
            </w:r>
            <w:r>
              <w:rPr/>
              <w:t xml:space="preserve"> сезон – покрытие минимальной нагрузки отопления, соответствующей температуре наружного воздуха, равной +8°С.</w:t>
            </w:r>
          </w:p>
          <w:p>
            <w:pPr>
              <w:pStyle w:val="BodyText"/>
              <w:widowControl w:val="false"/>
              <w:numPr>
                <w:ilvl w:val="0"/>
                <w:numId w:val="8"/>
              </w:numPr>
              <w:tabs>
                <w:tab w:val="clear" w:pos="709"/>
                <w:tab w:val="left" w:pos="0" w:leader="none"/>
                <w:tab w:val="left" w:pos="720" w:leader="none"/>
              </w:tabs>
              <w:suppressAutoHyphens w:val="false"/>
              <w:spacing w:before="0" w:after="0"/>
              <w:ind w:hanging="280" w:start="440"/>
              <w:jc w:val="both"/>
              <w:rPr>
                <w:color w:val="000000"/>
              </w:rPr>
            </w:pPr>
            <w:r>
              <w:rPr/>
              <w:t>Насосы должны обеспечивать расчётный гидравлический режим работы оборудования котельной и системы теплоснабжения в целом, в дневное и ночное время, в отопительный сезон. Количество вновь устанавливаемых насосов в каждой насосной группе должно соответствовать действующим на территории РФ требованиям по обеспечению надёжности теплоснабжения.</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Предусмотреть группу подпиточных насосов, 2 шт. (рабочий + резервный).</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Установку пластинчатых теплообменников (Ридан, либо аналог),</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Предусмотреть установку одного сетчатого фильтра на обратном трубопроводе теплоносителя, на входе в котельную.</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color w:val="000000"/>
              </w:rPr>
              <w:t xml:space="preserve">Диаметр подпиточного трубопровода тепловой сети должен подбираться с учётом обеспечения аварийной подпитки и заполнения сетей в </w:t>
            </w:r>
            <w:r>
              <w:rPr/>
              <w:t>соответствии со СП 124.13330.2012 "Тепловые сети" (актуализированная редакция СНиП 41-02-2003).</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color w:val="000000"/>
              </w:rPr>
            </w:pPr>
            <w:r>
              <w:rPr>
                <w:color w:val="000000"/>
              </w:rPr>
              <w:t xml:space="preserve">На обводной линии узла учёта ХВС предусмотреть установку запорной арматуры в соответствии с требованиями СП </w:t>
            </w:r>
            <w:r>
              <w:rPr/>
              <w:t>30.13330.2016.</w:t>
            </w:r>
          </w:p>
          <w:p>
            <w:pPr>
              <w:pStyle w:val="BodyText"/>
              <w:widowControl w:val="false"/>
              <w:numPr>
                <w:ilvl w:val="0"/>
                <w:numId w:val="9"/>
              </w:numPr>
              <w:tabs>
                <w:tab w:val="clear" w:pos="709"/>
                <w:tab w:val="left" w:pos="-340" w:leader="none"/>
                <w:tab w:val="left" w:pos="720" w:leader="none"/>
              </w:tabs>
              <w:suppressAutoHyphens w:val="false"/>
              <w:spacing w:before="0" w:after="0"/>
              <w:ind w:hanging="160" w:start="160"/>
              <w:jc w:val="both"/>
              <w:rPr>
                <w:color w:val="000000"/>
              </w:rPr>
            </w:pPr>
            <w:r>
              <w:rPr>
                <w:color w:val="000000"/>
              </w:rPr>
              <w:t>Предусмотреть установку устройств для выпуска воздуха (воздушников) и дренирования трубопроводов (спускников) в соответствии с требованиями действующих норм и правил.</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color w:val="000000"/>
              </w:rPr>
            </w:pPr>
            <w:r>
              <w:rPr/>
              <w:t>Предусмотреть дренажные линии для отвода теплоносителя в охлаждающий колодец от всего основного и вспомогательного оборудования в котельной.</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color w:val="000000"/>
                <w:sz w:val="24"/>
                <w:szCs w:val="24"/>
              </w:rPr>
              <w:t>Газоснабжение:</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Проектирование выполнять в соответствии с «Федеральными нормами и правилами в области промышленной безопасности «Правила безопасности сетей газораспределения и газопотребления», СП 62.13330.2011 "Газораспределительные системы" и другими действующими н</w:t>
            </w:r>
            <w:r>
              <w:rPr>
                <w:color w:val="000000"/>
              </w:rPr>
              <w:t>ормами, и правилами</w:t>
            </w:r>
            <w:r>
              <w:rPr/>
              <w:t>.</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Использовать типовое газовое оборудование с техническими характеристиками, комплектацией системами защит в зависимости от расчётных расходов газа.</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На вводном газопроводе предусмотреть установку электромагнитного запорного клапана (типа ВН), с управлением от релейной схемы, исключающей самопроизвольное открытие клапана.</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Предусмотреть проектирование ГРУ в составе двух линий редуцирования, с регуляторами давления газа Madas.</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sz w:val="24"/>
                <w:szCs w:val="24"/>
              </w:rPr>
              <w:t>На газоходах от котлов предусмотреть установку предохранительных взрывных клапанов</w:t>
            </w:r>
            <w:r>
              <w:rPr>
                <w:rFonts w:cs="Times New Roman" w:ascii="Times New Roman" w:hAnsi="Times New Roman"/>
                <w:color w:val="000000"/>
                <w:sz w:val="24"/>
                <w:szCs w:val="24"/>
              </w:rPr>
              <w:t>.</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color w:val="000000"/>
                <w:sz w:val="24"/>
                <w:szCs w:val="24"/>
              </w:rPr>
              <w:t>Автоматизация, КИП:</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Предусмотреть защиту оборудования, автоматическое регулирование, контроль, сигнализацию и управление технологическими процессами котельной, обеспечивающими безопасную эксплуатацию при достижении максимального значения энергетической эффективности с учётом особенностей технологической схемы котельной.</w:t>
            </w:r>
          </w:p>
          <w:p>
            <w:pPr>
              <w:pStyle w:val="BodyText"/>
              <w:widowControl w:val="false"/>
              <w:numPr>
                <w:ilvl w:val="0"/>
                <w:numId w:val="3"/>
              </w:numPr>
              <w:tabs>
                <w:tab w:val="clear" w:pos="709"/>
                <w:tab w:val="left" w:pos="360" w:leader="none"/>
              </w:tabs>
              <w:suppressAutoHyphens w:val="false"/>
              <w:spacing w:before="0" w:after="0"/>
              <w:ind w:hanging="160" w:start="160"/>
              <w:jc w:val="both"/>
              <w:rPr/>
            </w:pPr>
            <w:r>
              <w:rPr/>
              <w:t>Система автоматизации должна обеспечивать надёжную и безопасную работу оборудования и котельной в целом при обеспечении качественного и надёжного теплоснабжения потребителей без постоянного присутствия на ней обслуживающего персонала.</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color w:val="000000"/>
              </w:rPr>
            </w:pPr>
            <w:r>
              <w:rPr/>
              <w:t>Система автоматического управления технологическими процессами котельной должна быть построена на базе раздельных контроллеров для каждого из контуров регулирования.</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color w:val="000000"/>
              </w:rPr>
            </w:pPr>
            <w:r>
              <w:rPr/>
              <w:t>Предусмотреть систему автоматического управления технологическими процессами котельной, а также возможность управления технологическими процессами котельной в ручном режиме и дистанционном режиме с АРМ диспетчера</w:t>
            </w:r>
            <w:r>
              <w:rPr>
                <w:color w:val="000000"/>
              </w:rPr>
              <w:t>.</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color w:val="000000"/>
              </w:rPr>
            </w:pPr>
            <w:r>
              <w:rPr>
                <w:color w:val="000000"/>
              </w:rPr>
              <w:t>Предусмотреть установку местного щита КИП с выводом световой индикации и запоминанием первопричины нарушения работы оборудования котельной.</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Выполнить установку необходимых приборов автоматики регулирования, контрольно-измерительных приборов для контроля технологических процессов и обеспечения автоматизации работы котельной, в том числе автоматизации работы бака запаса подпиточной воды, посредством регулирующей с электроприводами, имеющими возможность возврата в закрытое положение при отключении электроэнергии (для защиты от перелива).</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color w:val="000000"/>
              </w:rPr>
              <w:t xml:space="preserve">Предусмотреть </w:t>
            </w:r>
            <w:r>
              <w:rPr/>
              <w:t>автоматическое поддержание следующих параметров:</w:t>
            </w:r>
          </w:p>
          <w:p>
            <w:pPr>
              <w:pStyle w:val="Normal"/>
              <w:spacing w:before="0" w:after="200"/>
              <w:ind w:start="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rPr>
              <w:t>заданного давления теплоносителя во внешнем контуре котельной посредством, повысительных насосов и клапанов с электроприводом.температуры теплоносителя, согласно температурному графику в зависимости от температуры наружного воздуха.</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ascii="Times New Roman" w:hAnsi="Times New Roman"/>
                <w:color w:val="000000"/>
                <w:sz w:val="24"/>
                <w:szCs w:val="24"/>
              </w:rPr>
              <w:t>Электроснабжение</w:t>
            </w:r>
            <w:r>
              <w:rPr>
                <w:rFonts w:eastAsia="Times New Roman" w:ascii="Times New Roman" w:hAnsi="Times New Roman"/>
                <w:sz w:val="24"/>
                <w:szCs w:val="24"/>
              </w:rPr>
              <w:t>:</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color w:val="000000"/>
              </w:rPr>
              <w:t>Обеспечить</w:t>
            </w:r>
            <w:r>
              <w:rPr/>
              <w:t xml:space="preserve"> электроснабжение оборудования котельной в соответствии с требованиями действующих норм и правил.</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Категория надёжности электроснабжения - вторая.</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Предусмотреть силовые шкафы с комплектующими.</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Разделить щиты по электроснабжению потребителей: силовой щит ВРУ с АВР, щит автоматизации комплексной, щит узлов учёта ТЭ, щит узла учета газа и т.п.</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 xml:space="preserve">Предусмотреть рабочее и аварийное освещение котельной. </w:t>
            </w:r>
            <w:r>
              <w:rPr>
                <w:rFonts w:eastAsia="Times New Roman" w:cs="Times New Roman"/>
                <w:color w:val="auto"/>
                <w:kern w:val="0"/>
                <w:sz w:val="24"/>
                <w:szCs w:val="24"/>
                <w:lang w:val="ru-RU" w:eastAsia="ar-SA" w:bidi="ar-SA"/>
              </w:rPr>
              <w:t>Тип и размещение светильников согласовать с Заказчиком.</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Предусмотреть систему заземления (внутри котельной), а также систему молниезащиты (мачта дымовой трубы).</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Управления насосами должны обеспечивать:</w:t>
            </w:r>
          </w:p>
          <w:p>
            <w:pPr>
              <w:pStyle w:val="BodyText"/>
              <w:widowControl w:val="false"/>
              <w:numPr>
                <w:ilvl w:val="1"/>
                <w:numId w:val="3"/>
              </w:numPr>
              <w:tabs>
                <w:tab w:val="clear" w:pos="709"/>
                <w:tab w:val="left" w:pos="1080" w:leader="none"/>
              </w:tabs>
              <w:suppressAutoHyphens w:val="false"/>
              <w:spacing w:before="0" w:after="0"/>
              <w:ind w:hanging="280" w:start="500"/>
              <w:jc w:val="both"/>
              <w:rPr>
                <w:b/>
                <w:bCs/>
              </w:rPr>
            </w:pPr>
            <w:r>
              <w:rPr/>
              <w:t>плавный пуск/останов насосных агрегатов,</w:t>
            </w:r>
          </w:p>
          <w:p>
            <w:pPr>
              <w:pStyle w:val="BodyText"/>
              <w:widowControl w:val="false"/>
              <w:numPr>
                <w:ilvl w:val="1"/>
                <w:numId w:val="3"/>
              </w:numPr>
              <w:tabs>
                <w:tab w:val="clear" w:pos="709"/>
                <w:tab w:val="left" w:pos="1080" w:leader="none"/>
              </w:tabs>
              <w:suppressAutoHyphens w:val="false"/>
              <w:spacing w:before="0" w:after="0"/>
              <w:ind w:hanging="280" w:start="500"/>
              <w:jc w:val="both"/>
              <w:rPr>
                <w:b/>
                <w:bCs/>
              </w:rPr>
            </w:pPr>
            <w:r>
              <w:rPr/>
              <w:t>управление</w:t>
            </w:r>
            <w:r>
              <w:rPr>
                <w:bCs/>
              </w:rPr>
              <w:t xml:space="preserve"> работой насосов в заданном алгоритме РАБОТА-РЕЗЕРВ-АВАРИЯ</w:t>
            </w:r>
            <w:r>
              <w:rPr/>
              <w:t>,</w:t>
            </w:r>
          </w:p>
          <w:p>
            <w:pPr>
              <w:pStyle w:val="BodyText"/>
              <w:widowControl w:val="false"/>
              <w:numPr>
                <w:ilvl w:val="1"/>
                <w:numId w:val="3"/>
              </w:numPr>
              <w:tabs>
                <w:tab w:val="clear" w:pos="709"/>
                <w:tab w:val="left" w:pos="0" w:leader="none"/>
                <w:tab w:val="left" w:pos="1080" w:leader="none"/>
              </w:tabs>
              <w:suppressAutoHyphens w:val="false"/>
              <w:spacing w:before="0" w:after="0"/>
              <w:ind w:hanging="280" w:start="500"/>
              <w:jc w:val="both"/>
              <w:rPr/>
            </w:pPr>
            <w:r>
              <w:rPr/>
              <w:t>защиту насосных агрегатов при возникновении аварийных ситуаций,</w:t>
            </w:r>
          </w:p>
          <w:p>
            <w:pPr>
              <w:pStyle w:val="Normal"/>
              <w:widowControl w:val="false"/>
              <w:numPr>
                <w:ilvl w:val="1"/>
                <w:numId w:val="3"/>
              </w:numPr>
              <w:tabs>
                <w:tab w:val="clear" w:pos="709"/>
                <w:tab w:val="left" w:pos="0" w:leader="none"/>
                <w:tab w:val="left" w:pos="1080" w:leader="none"/>
              </w:tabs>
              <w:spacing w:lineRule="auto" w:line="240" w:before="0" w:after="0"/>
              <w:ind w:hanging="280" w:start="500"/>
              <w:jc w:val="both"/>
              <w:rPr>
                <w:rFonts w:ascii="Times New Roman" w:hAnsi="Times New Roman"/>
                <w:b/>
                <w:bCs/>
                <w:sz w:val="24"/>
                <w:szCs w:val="24"/>
              </w:rPr>
            </w:pPr>
            <w:r>
              <w:rPr>
                <w:rFonts w:eastAsia="Times New Roman" w:ascii="Times New Roman" w:hAnsi="Times New Roman"/>
                <w:sz w:val="24"/>
                <w:szCs w:val="24"/>
              </w:rPr>
              <w:t>самозапуск насосов при нормализации питания после просадки,</w:t>
            </w:r>
          </w:p>
          <w:p>
            <w:pPr>
              <w:pStyle w:val="Normal"/>
              <w:widowControl w:val="false"/>
              <w:numPr>
                <w:ilvl w:val="1"/>
                <w:numId w:val="3"/>
              </w:numPr>
              <w:tabs>
                <w:tab w:val="clear" w:pos="709"/>
                <w:tab w:val="left" w:pos="0" w:leader="none"/>
                <w:tab w:val="left" w:pos="1080" w:leader="none"/>
              </w:tabs>
              <w:spacing w:lineRule="auto" w:line="240" w:before="0" w:after="0"/>
              <w:ind w:hanging="280" w:start="500"/>
              <w:jc w:val="both"/>
              <w:rPr>
                <w:rFonts w:ascii="Times New Roman" w:hAnsi="Times New Roman"/>
                <w:sz w:val="24"/>
                <w:szCs w:val="24"/>
              </w:rPr>
            </w:pPr>
            <w:r>
              <w:rPr>
                <w:rFonts w:eastAsia="Times New Roman" w:ascii="Times New Roman" w:hAnsi="Times New Roman"/>
                <w:bCs/>
                <w:sz w:val="24"/>
                <w:szCs w:val="24"/>
              </w:rPr>
              <w:t>автоматическое</w:t>
            </w:r>
            <w:r>
              <w:rPr>
                <w:rFonts w:eastAsia="Times New Roman" w:ascii="Times New Roman" w:hAnsi="Times New Roman"/>
                <w:sz w:val="24"/>
                <w:szCs w:val="24"/>
              </w:rPr>
              <w:t xml:space="preserve"> поддержание заданных гидравлических параметров,</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ascii="Times New Roman" w:hAnsi="Times New Roman"/>
                <w:color w:val="000000"/>
                <w:sz w:val="24"/>
                <w:szCs w:val="24"/>
              </w:rPr>
              <w:t>Водоподготовка</w:t>
            </w:r>
            <w:r>
              <w:rPr>
                <w:rFonts w:eastAsia="Times New Roman" w:ascii="Times New Roman" w:hAnsi="Times New Roman"/>
                <w:sz w:val="24"/>
                <w:szCs w:val="24"/>
              </w:rPr>
              <w:t>:</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3"/>
              </w:numPr>
              <w:tabs>
                <w:tab w:val="clear" w:pos="709"/>
                <w:tab w:val="left" w:pos="360" w:leader="none"/>
              </w:tabs>
              <w:suppressAutoHyphens w:val="false"/>
              <w:spacing w:before="0" w:after="0"/>
              <w:ind w:hanging="160" w:start="160"/>
              <w:jc w:val="both"/>
              <w:rPr>
                <w:color w:val="000000"/>
              </w:rPr>
            </w:pPr>
            <w:r>
              <w:rPr>
                <w:color w:val="000000"/>
              </w:rPr>
              <w:t xml:space="preserve">Оборудование химической водоподготовки (далее ХВП) должно </w:t>
            </w:r>
            <w:r>
              <w:rPr/>
              <w:t>обеспечивать</w:t>
            </w:r>
            <w:r>
              <w:rPr>
                <w:color w:val="000000"/>
              </w:rPr>
              <w:t xml:space="preserve"> работу котлов, </w:t>
            </w:r>
            <w:r>
              <w:rPr/>
              <w:t>теплоиспользующего</w:t>
            </w:r>
            <w:r>
              <w:rPr>
                <w:color w:val="000000"/>
              </w:rPr>
              <w:t xml:space="preserve"> оборудования и трубопроводов тепловых сетей без коррозионных повреждений, и отложений, накипи и шлама на внутренних поверхностях котлов, теплообменного оборудования, трубопроводов тепловых сетей, в соответствии с требованиями норм и правил, а также требований заводов-изготовителей котельного оборудования.</w:t>
            </w:r>
          </w:p>
          <w:p>
            <w:pPr>
              <w:pStyle w:val="BodyText"/>
              <w:widowControl w:val="false"/>
              <w:numPr>
                <w:ilvl w:val="0"/>
                <w:numId w:val="2"/>
              </w:numPr>
              <w:tabs>
                <w:tab w:val="clear" w:pos="709"/>
                <w:tab w:val="left" w:pos="720" w:leader="none"/>
              </w:tabs>
              <w:suppressAutoHyphens w:val="false"/>
              <w:spacing w:before="0" w:after="0"/>
              <w:ind w:hanging="160" w:start="160"/>
              <w:jc w:val="both"/>
              <w:rPr>
                <w:color w:val="000000"/>
              </w:rPr>
            </w:pPr>
            <w:r>
              <w:rPr>
                <w:color w:val="000000"/>
              </w:rPr>
              <w:t>Обеспечить автоматическое управление технологическим процессом химводоподготовки, предусмотреть необходимый объем сигнализации, защит и блокировок оборудования, обеспечивающий его безопасную эксплуатацию.</w:t>
            </w:r>
          </w:p>
          <w:p>
            <w:pPr>
              <w:pStyle w:val="BodyText"/>
              <w:widowControl w:val="false"/>
              <w:numPr>
                <w:ilvl w:val="0"/>
                <w:numId w:val="10"/>
              </w:numPr>
              <w:tabs>
                <w:tab w:val="clear" w:pos="709"/>
                <w:tab w:val="left" w:pos="720" w:leader="none"/>
              </w:tabs>
              <w:suppressAutoHyphens w:val="false"/>
              <w:spacing w:before="0" w:after="0"/>
              <w:ind w:hanging="160" w:start="160"/>
              <w:jc w:val="both"/>
              <w:rPr>
                <w:color w:val="000000"/>
              </w:rPr>
            </w:pPr>
            <w:r>
              <w:rPr>
                <w:color w:val="000000"/>
              </w:rPr>
              <w:t>Для умягчения подпиточной воды предусмотреть установку Na-катионирования, с системой регенерации и резервным фильтром. Для обеспечения непрерывности процесса умягчения подпиточной воды переключение между фильтрами должно выполнятся автоматический.</w:t>
            </w:r>
          </w:p>
          <w:p>
            <w:pPr>
              <w:pStyle w:val="BodyText"/>
              <w:widowControl w:val="false"/>
              <w:numPr>
                <w:ilvl w:val="0"/>
                <w:numId w:val="10"/>
              </w:numPr>
              <w:tabs>
                <w:tab w:val="clear" w:pos="709"/>
                <w:tab w:val="left" w:pos="720" w:leader="none"/>
              </w:tabs>
              <w:suppressAutoHyphens w:val="false"/>
              <w:spacing w:before="0" w:after="0"/>
              <w:ind w:hanging="160" w:start="160"/>
              <w:jc w:val="both"/>
              <w:rPr>
                <w:color w:val="000000"/>
              </w:rPr>
            </w:pPr>
            <w:r>
              <w:rPr>
                <w:color w:val="000000"/>
              </w:rPr>
              <w:t>Давление воды на входе в фильтр должно быть не менее 2,5 кгс/см</w:t>
            </w:r>
            <w:r>
              <w:rPr>
                <w:color w:val="000000"/>
                <w:vertAlign w:val="superscript"/>
              </w:rPr>
              <w:t>2</w:t>
            </w:r>
            <w:r>
              <w:rPr>
                <w:color w:val="000000"/>
              </w:rPr>
              <w:t>, включая процесс регенерации (когда идет сброс воды в дренаж).</w:t>
            </w:r>
          </w:p>
          <w:p>
            <w:pPr>
              <w:pStyle w:val="BodyText"/>
              <w:widowControl w:val="false"/>
              <w:numPr>
                <w:ilvl w:val="0"/>
                <w:numId w:val="10"/>
              </w:numPr>
              <w:tabs>
                <w:tab w:val="clear" w:pos="709"/>
                <w:tab w:val="left" w:pos="720" w:leader="none"/>
              </w:tabs>
              <w:suppressAutoHyphens w:val="false"/>
              <w:spacing w:before="0" w:after="0"/>
              <w:ind w:hanging="160" w:start="160"/>
              <w:jc w:val="both"/>
              <w:rPr>
                <w:color w:val="000000"/>
              </w:rPr>
            </w:pPr>
            <w:r>
              <w:rPr>
                <w:color w:val="000000"/>
              </w:rPr>
              <w:t>Предусмотреть установку обратного клапана на выходе установки Na-катионирования.</w:t>
            </w:r>
          </w:p>
          <w:p>
            <w:pPr>
              <w:pStyle w:val="BodyText"/>
              <w:widowControl w:val="false"/>
              <w:numPr>
                <w:ilvl w:val="0"/>
                <w:numId w:val="10"/>
              </w:numPr>
              <w:tabs>
                <w:tab w:val="clear" w:pos="709"/>
                <w:tab w:val="left" w:pos="720" w:leader="none"/>
              </w:tabs>
              <w:suppressAutoHyphens w:val="false"/>
              <w:spacing w:before="0" w:after="0"/>
              <w:ind w:hanging="160" w:start="160"/>
              <w:jc w:val="both"/>
              <w:rPr>
                <w:color w:val="000000"/>
              </w:rPr>
            </w:pPr>
            <w:r>
              <w:rPr>
                <w:color w:val="000000"/>
              </w:rPr>
              <w:t xml:space="preserve">Процесс регенерации установки умягчения подпиточной воды должен проходить автоматически, в зависимости от объема воды, прошедшей через установку или заданный интервал времени. </w:t>
            </w:r>
          </w:p>
          <w:p>
            <w:pPr>
              <w:pStyle w:val="BodyText"/>
              <w:widowControl w:val="false"/>
              <w:numPr>
                <w:ilvl w:val="0"/>
                <w:numId w:val="10"/>
              </w:numPr>
              <w:tabs>
                <w:tab w:val="clear" w:pos="709"/>
                <w:tab w:val="left" w:pos="720" w:leader="none"/>
              </w:tabs>
              <w:suppressAutoHyphens w:val="false"/>
              <w:spacing w:before="0" w:after="0"/>
              <w:ind w:hanging="160" w:start="160"/>
              <w:jc w:val="both"/>
              <w:rPr>
                <w:color w:val="000000"/>
              </w:rPr>
            </w:pPr>
            <w:r>
              <w:rPr>
                <w:color w:val="000000"/>
              </w:rPr>
              <w:t>Производительность автоматической установки умягчения должна обеспечивать работу котельной в режиме расчётной подпитки в течение не менее 14-ти суток без дополнительной загрузки реагентами.</w:t>
            </w:r>
          </w:p>
          <w:p>
            <w:pPr>
              <w:pStyle w:val="BodyText"/>
              <w:widowControl w:val="false"/>
              <w:numPr>
                <w:ilvl w:val="0"/>
                <w:numId w:val="10"/>
              </w:numPr>
              <w:tabs>
                <w:tab w:val="clear" w:pos="709"/>
                <w:tab w:val="left" w:pos="720" w:leader="none"/>
              </w:tabs>
              <w:suppressAutoHyphens w:val="false"/>
              <w:spacing w:before="0" w:after="0"/>
              <w:ind w:hanging="160" w:start="160"/>
              <w:jc w:val="both"/>
              <w:rPr>
                <w:color w:val="000000"/>
              </w:rPr>
            </w:pPr>
            <w:r>
              <w:rPr>
                <w:color w:val="000000"/>
              </w:rPr>
              <w:t>Предусмотреть манометры на входе и выходе Nа-катионитовых фильтров и фильтра тонкой очистки.</w:t>
            </w:r>
          </w:p>
          <w:p>
            <w:pPr>
              <w:pStyle w:val="BodyText"/>
              <w:widowControl w:val="false"/>
              <w:numPr>
                <w:ilvl w:val="0"/>
                <w:numId w:val="10"/>
              </w:numPr>
              <w:tabs>
                <w:tab w:val="clear" w:pos="709"/>
                <w:tab w:val="left" w:pos="720" w:leader="none"/>
              </w:tabs>
              <w:suppressAutoHyphens w:val="false"/>
              <w:spacing w:before="0" w:after="0"/>
              <w:ind w:hanging="160" w:start="160"/>
              <w:jc w:val="both"/>
              <w:rPr>
                <w:color w:val="000000"/>
              </w:rPr>
            </w:pPr>
            <w:r>
              <w:rPr>
                <w:color w:val="000000"/>
              </w:rPr>
              <w:t>Предусмотреть дренаж фильтров с установкой воронки.</w:t>
            </w:r>
          </w:p>
          <w:p>
            <w:pPr>
              <w:pStyle w:val="Normal"/>
              <w:spacing w:before="0" w:after="0"/>
              <w:ind w:firstLine="137" w:start="140" w:end="145"/>
              <w:jc w:val="both"/>
              <w:rPr>
                <w:rFonts w:ascii="Times New Roman" w:hAnsi="Times New Roman" w:eastAsia="Times New Roman" w:cs="Times New Roman"/>
                <w:sz w:val="24"/>
                <w:szCs w:val="24"/>
                <w:lang w:eastAsia="ru-RU"/>
              </w:rPr>
            </w:pPr>
            <w:r>
              <w:rPr>
                <w:color w:val="000000"/>
              </w:rPr>
              <w:t>Установки дозирования смонтировать на площадках, на дренажах емкостей дозирования установить вентили и выполнить сброс с емкостей в дренаж стационарно или с помощью шланга.</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Диспетчеризация (при наличии в существующем проектном решении, по умолчанию СМС оповещение основных параметров аварий на телефоны ответственных лиц (от 3-5 номеров)) </w:t>
            </w:r>
            <w:r>
              <w:rPr>
                <w:rFonts w:eastAsia="Times New Roman" w:cs="Times New Roman" w:ascii="Times New Roman" w:hAnsi="Times New Roman"/>
                <w:sz w:val="24"/>
                <w:szCs w:val="24"/>
              </w:rPr>
              <w:t>:</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3"/>
              </w:numPr>
              <w:tabs>
                <w:tab w:val="clear" w:pos="709"/>
                <w:tab w:val="left" w:pos="360" w:leader="none"/>
              </w:tabs>
              <w:suppressAutoHyphens w:val="false"/>
              <w:spacing w:before="0" w:after="0"/>
              <w:ind w:hanging="160" w:start="160"/>
              <w:jc w:val="both"/>
              <w:rPr/>
            </w:pPr>
            <w:r>
              <w:rPr/>
              <w:t>Обеспечить передачу на диспетчерский пункт тревожной и технологической информации, с выводом на существующее автоматизированное рабочее место (АРМ) диспетчера.</w:t>
            </w:r>
          </w:p>
          <w:p>
            <w:pPr>
              <w:pStyle w:val="BodyText"/>
              <w:widowControl w:val="false"/>
              <w:numPr>
                <w:ilvl w:val="0"/>
                <w:numId w:val="3"/>
              </w:numPr>
              <w:tabs>
                <w:tab w:val="clear" w:pos="709"/>
                <w:tab w:val="left" w:pos="360" w:leader="none"/>
              </w:tabs>
              <w:suppressAutoHyphens w:val="false"/>
              <w:spacing w:before="0" w:after="0"/>
              <w:ind w:hanging="160" w:start="160"/>
              <w:jc w:val="both"/>
              <w:rPr/>
            </w:pPr>
            <w:r>
              <w:rPr/>
              <w:t>Перечень сигналов тревожной и технологической информации передаваемых на удалённый диспетчерский пункт по согласованию с Заказчиком.</w:t>
            </w:r>
          </w:p>
          <w:p>
            <w:pPr>
              <w:pStyle w:val="BodyText"/>
              <w:numPr>
                <w:ilvl w:val="0"/>
                <w:numId w:val="2"/>
              </w:numPr>
              <w:tabs>
                <w:tab w:val="clear" w:pos="709"/>
                <w:tab w:val="left" w:pos="720" w:leader="none"/>
              </w:tabs>
              <w:suppressAutoHyphens w:val="false"/>
              <w:spacing w:before="0" w:after="0"/>
              <w:ind w:hanging="160" w:start="160"/>
              <w:jc w:val="both"/>
              <w:rPr/>
            </w:pPr>
            <w:r>
              <w:rPr>
                <w:kern w:val="2"/>
              </w:rPr>
              <w:t>Обеспечить возможность удалённого подключения для осуществления мониторинга пользователями заинтересованных структурных подразделений.</w:t>
            </w:r>
          </w:p>
          <w:p>
            <w:pPr>
              <w:pStyle w:val="BodyText"/>
              <w:numPr>
                <w:ilvl w:val="0"/>
                <w:numId w:val="2"/>
              </w:numPr>
              <w:tabs>
                <w:tab w:val="clear" w:pos="709"/>
                <w:tab w:val="left" w:pos="720" w:leader="none"/>
              </w:tabs>
              <w:suppressAutoHyphens w:val="false"/>
              <w:spacing w:before="0" w:after="0"/>
              <w:ind w:hanging="160" w:start="160"/>
              <w:jc w:val="both"/>
              <w:rPr/>
            </w:pPr>
            <w:r>
              <w:rPr/>
              <w:t>Двухсторонний обмен данными с объектами автоматизации в режиме реального времени по протоколу OPC DA, OPC UA, Modbus или другим стандартным протоколам.</w:t>
            </w:r>
          </w:p>
          <w:p>
            <w:pPr>
              <w:pStyle w:val="BodyText"/>
              <w:numPr>
                <w:ilvl w:val="0"/>
                <w:numId w:val="2"/>
              </w:numPr>
              <w:tabs>
                <w:tab w:val="clear" w:pos="709"/>
                <w:tab w:val="left" w:pos="720" w:leader="none"/>
              </w:tabs>
              <w:suppressAutoHyphens w:val="false"/>
              <w:spacing w:before="0" w:after="0"/>
              <w:ind w:hanging="160" w:start="160"/>
              <w:jc w:val="both"/>
              <w:rPr/>
            </w:pPr>
            <w:r>
              <w:rPr/>
              <w:t>Система диспетчеризации должна обеспечивать:</w:t>
            </w:r>
          </w:p>
          <w:p>
            <w:pPr>
              <w:pStyle w:val="BodyText"/>
              <w:widowControl w:val="false"/>
              <w:numPr>
                <w:ilvl w:val="0"/>
                <w:numId w:val="11"/>
              </w:numPr>
              <w:suppressAutoHyphens w:val="false"/>
              <w:spacing w:before="0" w:after="0"/>
              <w:ind w:hanging="280" w:start="480"/>
              <w:jc w:val="both"/>
              <w:rPr/>
            </w:pPr>
            <w:r>
              <w:rPr/>
              <w:t>передачу данных посредством интерфейса RS-232/RS-485/Ethernet, для организации связи с нескольких приборов учета предусмотреть конвертер интерфейсов RS-232/RS-485.</w:t>
            </w:r>
          </w:p>
          <w:p>
            <w:pPr>
              <w:pStyle w:val="BodyText"/>
              <w:widowControl w:val="false"/>
              <w:numPr>
                <w:ilvl w:val="0"/>
                <w:numId w:val="11"/>
              </w:numPr>
              <w:suppressAutoHyphens w:val="false"/>
              <w:spacing w:before="0" w:after="0"/>
              <w:ind w:hanging="280" w:start="480"/>
              <w:jc w:val="both"/>
              <w:rPr/>
            </w:pPr>
            <w:r>
              <w:rPr/>
              <w:t>автоматическое переключение с основного канала передачи данных на резервный, при отсутствии линка, на основном канале и обратно при его появлении.</w:t>
            </w:r>
          </w:p>
          <w:p>
            <w:pPr>
              <w:pStyle w:val="BodyText"/>
              <w:widowControl w:val="false"/>
              <w:numPr>
                <w:ilvl w:val="0"/>
                <w:numId w:val="3"/>
              </w:numPr>
              <w:tabs>
                <w:tab w:val="clear" w:pos="709"/>
                <w:tab w:val="left" w:pos="360" w:leader="none"/>
              </w:tabs>
              <w:suppressAutoHyphens w:val="false"/>
              <w:spacing w:before="0" w:after="0"/>
              <w:ind w:hanging="160" w:start="160"/>
              <w:jc w:val="both"/>
              <w:rPr>
                <w:b/>
                <w:u w:val="single"/>
              </w:rPr>
            </w:pPr>
            <w:r>
              <w:rPr/>
              <w:t>Основной канал связи для передачи данных – ВОЛС, ADSL (существующая телефонная линия с возможностью автоматического дозвона), резервный – GSM сеть со скоростью передачи данных не ниже стандарта 4G. При отсутствии технической возможности передачи данных через ВОЛС, ADSL модем, предусмотреть дополнительный канал связи через GSM сеть другого оператора связи со скоростью передачи данных не ниже стандарта 4G.</w:t>
            </w:r>
          </w:p>
          <w:p>
            <w:pPr>
              <w:pStyle w:val="BodyText"/>
              <w:widowControl w:val="false"/>
              <w:numPr>
                <w:ilvl w:val="0"/>
                <w:numId w:val="3"/>
              </w:numPr>
              <w:tabs>
                <w:tab w:val="clear" w:pos="709"/>
                <w:tab w:val="left" w:pos="360" w:leader="none"/>
              </w:tabs>
              <w:suppressAutoHyphens w:val="false"/>
              <w:spacing w:before="0" w:after="0"/>
              <w:ind w:hanging="160" w:start="160"/>
              <w:jc w:val="both"/>
              <w:rPr/>
            </w:pPr>
            <w:r>
              <w:rPr/>
              <w:t>На щите диспетчеризации предусмотреть установку панели оператора с отображением технологических сигналов и параметров работы оборудования котельной.</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kern w:val="2"/>
                <w:sz w:val="24"/>
                <w:szCs w:val="24"/>
              </w:rPr>
              <w:t xml:space="preserve">Предусмотреть установку источников бесперебойного питания для обеспечения, в случае аварии электроснабжения, не менее чем на 3 часа, </w:t>
            </w:r>
            <w:r>
              <w:rPr>
                <w:rFonts w:cs="Times New Roman" w:ascii="Times New Roman" w:hAnsi="Times New Roman"/>
                <w:sz w:val="24"/>
                <w:szCs w:val="24"/>
              </w:rPr>
              <w:t xml:space="preserve">работоспособности системы передачи данных узлов учета, информации о состоянии насосов и шкафов управления насосами, </w:t>
            </w:r>
            <w:r>
              <w:rPr>
                <w:rFonts w:cs="Times New Roman" w:ascii="Times New Roman" w:hAnsi="Times New Roman"/>
                <w:kern w:val="2"/>
                <w:sz w:val="24"/>
                <w:szCs w:val="24"/>
              </w:rPr>
              <w:t>пожарно-охранной сигнализации.</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color w:val="000000"/>
                <w:sz w:val="24"/>
                <w:szCs w:val="24"/>
              </w:rPr>
              <w:t>Учёт</w:t>
            </w:r>
            <w:r>
              <w:rPr>
                <w:rFonts w:eastAsia="Times New Roman" w:cs="Times New Roman" w:ascii="Times New Roman" w:hAnsi="Times New Roman"/>
                <w:sz w:val="24"/>
                <w:szCs w:val="24"/>
              </w:rPr>
              <w:t>:</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color w:val="000000"/>
              </w:rPr>
            </w:pPr>
            <w:r>
              <w:rPr>
                <w:color w:val="000000"/>
              </w:rPr>
              <w:t>Предусмотреть учёт потребляемых и вырабатываемых энергоресурсов - природного газа, холодной воды на подпитку тепловой сети, собственные нужды, тепловой и электрической энергии, в соответствии с требованиями действующих на территории РФ норм и правил.</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color w:val="000000"/>
              </w:rPr>
            </w:pPr>
            <w:r>
              <w:rPr/>
              <w:t>Узел учёта расхода газа выполнить в соответствии с действующими нормами и правилами, СП 62.13330.2011 "Газораспределительные системы" (актуализированная редакция СНиП 42-01-2002), и национальным стандартом РФ ГОСТ Р 8.740-2011, ГОСТ Р 8.741-2011.</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color w:val="000000"/>
              </w:rPr>
            </w:pPr>
            <w:r>
              <w:rPr/>
              <w:t xml:space="preserve">Учёт электроэнергии выполнить в соответствии с действующими нормами и правилами (ПУЭ утвержденные приказом Минэнерго РФ №204 от 08.07.2002), обеспечить </w:t>
            </w:r>
            <w:r>
              <w:rPr>
                <w:rFonts w:eastAsia="Times New Roman" w:cs="Times New Roman"/>
                <w:color w:val="auto"/>
                <w:kern w:val="0"/>
                <w:sz w:val="24"/>
                <w:szCs w:val="24"/>
                <w:lang w:val="ru-RU" w:eastAsia="ar-SA" w:bidi="ar-SA"/>
              </w:rPr>
              <w:t>унификацию схемы учета с действующей системой АСКУЭ предприятия.</w:t>
            </w:r>
            <w:r>
              <w:rPr/>
              <w:t xml:space="preserve"> До начала разработки проектной и рабочей документации в течении 5 рабочих дней Подрядчик/Заказчик предоставляет ТУ на АСКУЭ.</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color w:val="000000"/>
              </w:rPr>
            </w:pPr>
            <w:r>
              <w:rPr/>
              <w:t>Обеспечить передачу данных узла учёта расхода газа на существующий АРМ метрологической службы, в систему АСКУГ Поставщика газа и существующий АРМ диспетчера, дополнительно обеспечить возможность передачи указанной информации в иные автоматизированные системы мониторинга энергоресурсов, используемые Заказчиком.</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color w:val="000000"/>
              </w:rPr>
            </w:pPr>
            <w:r>
              <w:rPr/>
              <w:t>Обеспечить передачу данных узлов учёта тепловой энергии теплоносителя и учёта ХВС в систему диспетчерского управления Заказчика, на существующий АРМ диспетчера, дополнительно обеспечить возможность передачи указанной информации в иные автоматизированные системы мониторинга энергоресурсов, используемые Заказчиком.</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 xml:space="preserve">Для передачи данных узлов учёта предусмотреть </w:t>
            </w:r>
            <w:r>
              <w:rPr>
                <w:color w:val="000000"/>
              </w:rPr>
              <w:t xml:space="preserve">не менее чем </w:t>
            </w:r>
            <w:r>
              <w:rPr/>
              <w:t>два</w:t>
            </w:r>
            <w:r>
              <w:rPr>
                <w:color w:val="000000"/>
              </w:rPr>
              <w:t xml:space="preserve"> независимых </w:t>
            </w:r>
            <w:r>
              <w:rPr/>
              <w:t>канала</w:t>
            </w:r>
            <w:r>
              <w:rPr>
                <w:color w:val="000000"/>
              </w:rPr>
              <w:t xml:space="preserve"> передачи данных.</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Предусмотреть оборудование для организации передачи данных по учёту и потреблении электроэнергии на АРМ диспетчера.</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Для учёта ХВС предусмотреть механический счётчик воды.</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color w:val="000000"/>
                <w:sz w:val="24"/>
                <w:szCs w:val="24"/>
              </w:rPr>
              <w:t>Предусмотреть</w:t>
            </w:r>
            <w:r>
              <w:rPr>
                <w:rFonts w:cs="Times New Roman" w:ascii="Times New Roman" w:hAnsi="Times New Roman"/>
                <w:sz w:val="24"/>
                <w:szCs w:val="24"/>
              </w:rPr>
              <w:t xml:space="preserve"> защиту от механических воздействий кабелей питания шкафа узлов учёта и линий связи первичных преобразователей с корректором и тепловычислителями. Не допускать прокладку кабелей первичных преобразователей температуры, давления и расхода, подключаемых к корректорам и тепловычислителям, совместно с кабелями сильноточного оборудования.</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sz w:val="24"/>
                <w:szCs w:val="24"/>
              </w:rPr>
              <w:t xml:space="preserve">Охранно-пожарная </w:t>
            </w:r>
            <w:r>
              <w:rPr>
                <w:rFonts w:eastAsia="Times New Roman" w:cs="Times New Roman" w:ascii="Times New Roman" w:hAnsi="Times New Roman"/>
                <w:color w:val="000000"/>
                <w:sz w:val="24"/>
                <w:szCs w:val="24"/>
              </w:rPr>
              <w:t>сигнализация</w:t>
            </w:r>
            <w:r>
              <w:rPr>
                <w:rFonts w:eastAsia="Times New Roman" w:cs="Times New Roman" w:ascii="Times New Roman" w:hAnsi="Times New Roman"/>
                <w:sz w:val="24"/>
                <w:szCs w:val="24"/>
              </w:rPr>
              <w:t>:</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Предусмотреть охранно-пожарную сигнализацию (основной канал передачи данных – GSM сеть). Перечень сигналов ОПС должен быть согласован с Заказчиком (при наличии передачи на АРМ диспетчера в существующем проектном решении, по умолчанию СМС оповещение на телефоны ответственных лиц (от3-5 номеров)).</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При нормальных параметрах питающего напряжения, система пожарно-охранной сигнализации должна обеспечивать режим работы "24 часа, 7 дней в неделю".</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Системы охранной и пожарной сигнализации должны обеспечивать:</w:t>
            </w:r>
          </w:p>
          <w:p>
            <w:pPr>
              <w:pStyle w:val="BodyText"/>
              <w:widowControl w:val="false"/>
              <w:numPr>
                <w:ilvl w:val="1"/>
                <w:numId w:val="3"/>
              </w:numPr>
              <w:tabs>
                <w:tab w:val="clear" w:pos="709"/>
                <w:tab w:val="left" w:pos="1080" w:leader="none"/>
              </w:tabs>
              <w:suppressAutoHyphens w:val="false"/>
              <w:spacing w:before="0" w:after="0"/>
              <w:ind w:hanging="280" w:start="500"/>
              <w:jc w:val="both"/>
              <w:rPr/>
            </w:pPr>
            <w:r>
              <w:rPr/>
              <w:t>регистрацию факта нарушения рубежа охраны,</w:t>
            </w:r>
          </w:p>
          <w:p>
            <w:pPr>
              <w:pStyle w:val="BodyText"/>
              <w:widowControl w:val="false"/>
              <w:numPr>
                <w:ilvl w:val="1"/>
                <w:numId w:val="3"/>
              </w:numPr>
              <w:tabs>
                <w:tab w:val="clear" w:pos="709"/>
                <w:tab w:val="left" w:pos="1080" w:leader="none"/>
              </w:tabs>
              <w:suppressAutoHyphens w:val="false"/>
              <w:spacing w:before="0" w:after="0"/>
              <w:ind w:hanging="280" w:start="500"/>
              <w:jc w:val="both"/>
              <w:rPr/>
            </w:pPr>
            <w:r>
              <w:rPr/>
              <w:t>постановку и снятие зон с охраны,</w:t>
            </w:r>
          </w:p>
          <w:p>
            <w:pPr>
              <w:pStyle w:val="BodyText"/>
              <w:widowControl w:val="false"/>
              <w:numPr>
                <w:ilvl w:val="1"/>
                <w:numId w:val="3"/>
              </w:numPr>
              <w:tabs>
                <w:tab w:val="clear" w:pos="709"/>
                <w:tab w:val="left" w:pos="1080" w:leader="none"/>
              </w:tabs>
              <w:suppressAutoHyphens w:val="false"/>
              <w:spacing w:before="0" w:after="0"/>
              <w:ind w:hanging="280" w:start="500"/>
              <w:jc w:val="both"/>
              <w:rPr/>
            </w:pPr>
            <w:r>
              <w:rPr/>
              <w:t>контроль состояния шлейфов сигнализации,</w:t>
            </w:r>
          </w:p>
          <w:p>
            <w:pPr>
              <w:pStyle w:val="BodyText"/>
              <w:widowControl w:val="false"/>
              <w:numPr>
                <w:ilvl w:val="1"/>
                <w:numId w:val="3"/>
              </w:numPr>
              <w:tabs>
                <w:tab w:val="clear" w:pos="709"/>
                <w:tab w:val="left" w:pos="1080" w:leader="none"/>
              </w:tabs>
              <w:suppressAutoHyphens w:val="false"/>
              <w:spacing w:before="0" w:after="0"/>
              <w:ind w:hanging="280" w:start="480"/>
              <w:jc w:val="both"/>
              <w:rPr/>
            </w:pPr>
            <w:r>
              <w:rPr/>
              <w:t>отображение тревожных извещений,</w:t>
            </w:r>
          </w:p>
          <w:p>
            <w:pPr>
              <w:pStyle w:val="BodyText"/>
              <w:widowControl w:val="false"/>
              <w:numPr>
                <w:ilvl w:val="1"/>
                <w:numId w:val="3"/>
              </w:numPr>
              <w:tabs>
                <w:tab w:val="clear" w:pos="709"/>
                <w:tab w:val="left" w:pos="1080" w:leader="none"/>
              </w:tabs>
              <w:suppressAutoHyphens w:val="false"/>
              <w:spacing w:before="0" w:after="0"/>
              <w:ind w:hanging="280" w:start="500"/>
              <w:jc w:val="both"/>
              <w:rPr/>
            </w:pPr>
            <w:r>
              <w:rPr/>
              <w:t>оптическую и акустическую индикацию тревоги и неисправности,</w:t>
            </w:r>
          </w:p>
          <w:p>
            <w:pPr>
              <w:pStyle w:val="BodyText"/>
              <w:widowControl w:val="false"/>
              <w:numPr>
                <w:ilvl w:val="1"/>
                <w:numId w:val="3"/>
              </w:numPr>
              <w:tabs>
                <w:tab w:val="clear" w:pos="709"/>
                <w:tab w:val="left" w:pos="1080" w:leader="none"/>
              </w:tabs>
              <w:suppressAutoHyphens w:val="false"/>
              <w:spacing w:before="0" w:after="0"/>
              <w:ind w:hanging="280" w:start="500"/>
              <w:jc w:val="both"/>
              <w:rPr/>
            </w:pPr>
            <w:r>
              <w:rPr/>
              <w:t>запоминание информации о состоянии объектов при автоматическом переключении с основного на резервное питание,</w:t>
            </w:r>
          </w:p>
          <w:p>
            <w:pPr>
              <w:pStyle w:val="BodyText"/>
              <w:widowControl w:val="false"/>
              <w:numPr>
                <w:ilvl w:val="1"/>
                <w:numId w:val="3"/>
              </w:numPr>
              <w:tabs>
                <w:tab w:val="clear" w:pos="709"/>
                <w:tab w:val="left" w:pos="1080" w:leader="none"/>
              </w:tabs>
              <w:suppressAutoHyphens w:val="false"/>
              <w:spacing w:before="0" w:after="0"/>
              <w:ind w:hanging="280" w:start="500"/>
              <w:jc w:val="both"/>
              <w:rPr/>
            </w:pPr>
            <w:r>
              <w:rPr/>
              <w:t>формирование сигналов на включение при пожаре системы оповещения.</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sz w:val="24"/>
                <w:szCs w:val="24"/>
              </w:rPr>
              <w:t>Предусмотреть питание системы пожарно-охранной сигнализации от блока бесперебойного питания, который при аварийных ситуациях в цепях электроснабжения, должен автоматически переключаться на работу от аккумуляторных батарей. Ёмкость батареи должна обеспечить работу технических средств сигнализации в течение одних суток в дежурном режиме и не менее трех часов в режиме "Тревога".</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color w:val="000000"/>
                <w:sz w:val="24"/>
                <w:szCs w:val="24"/>
              </w:rPr>
              <w:t>Строительная часть:</w:t>
            </w:r>
          </w:p>
        </w:tc>
        <w:tc>
          <w:tcPr>
            <w:tcW w:w="7376" w:type="dxa"/>
            <w:tcBorders>
              <w:start w:val="single" w:sz="4" w:space="0" w:color="000000"/>
              <w:bottom w:val="single" w:sz="4" w:space="0" w:color="000000"/>
              <w:end w:val="single" w:sz="4" w:space="0" w:color="000000"/>
            </w:tcBorders>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color w:val="000000"/>
                <w:sz w:val="24"/>
                <w:szCs w:val="24"/>
              </w:rPr>
              <w:t>Предусмотреть площадки и лестницы для обслуживания вновь устанавливаемого</w:t>
            </w:r>
            <w:r>
              <w:rPr>
                <w:rFonts w:cs="Times New Roman" w:ascii="Times New Roman" w:hAnsi="Times New Roman"/>
                <w:sz w:val="24"/>
                <w:szCs w:val="24"/>
              </w:rPr>
              <w:t xml:space="preserve"> оборудования и трубопроводов.</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color w:val="000000"/>
                <w:sz w:val="24"/>
                <w:szCs w:val="24"/>
              </w:rPr>
              <w:t>Объёмно-планировочные решения:</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Компоновка оборудования должна обеспечить его безопасное и удобное обслуживание.</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Размеры проходов внутри котельной должны соответствовать требованиям действующих норм и правил, паспортов и инструкций заводов-изготовителей по монтажу и эксплуатации оборудования и должны обеспечить свободный доступ при его техническом обслуживании и ремонте.</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Цветовые решения наружных ограждающих конструкций подлежат обязательному предварительному согласованию с заказчиком либо принять с существующего проекта.</w:t>
            </w:r>
          </w:p>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Предусмотреть лестницу на входе в котельную (при необходимости).</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9644" w:type="dxa"/>
            <w:gridSpan w:val="2"/>
            <w:tcBorders>
              <w:start w:val="single" w:sz="4" w:space="0" w:color="000000"/>
              <w:bottom w:val="single" w:sz="4" w:space="0" w:color="000000"/>
              <w:end w:val="single" w:sz="4" w:space="0" w:color="000000"/>
            </w:tcBorders>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b/>
                <w:bCs/>
                <w:sz w:val="24"/>
                <w:szCs w:val="24"/>
              </w:rPr>
              <w:t>Требования к выполнению работ, безопасности работ, к результатам работ:</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bCs/>
                <w:sz w:val="24"/>
                <w:szCs w:val="24"/>
              </w:rPr>
              <w:t>Основные требования:</w:t>
            </w:r>
          </w:p>
        </w:tc>
        <w:tc>
          <w:tcPr>
            <w:tcW w:w="7376" w:type="dxa"/>
            <w:tcBorders>
              <w:start w:val="single" w:sz="4" w:space="0" w:color="000000"/>
              <w:bottom w:val="single" w:sz="4" w:space="0" w:color="000000"/>
              <w:end w:val="single" w:sz="4" w:space="0" w:color="000000"/>
            </w:tcBorders>
          </w:tcPr>
          <w:p>
            <w:pPr>
              <w:pStyle w:val="BodyText"/>
              <w:numPr>
                <w:ilvl w:val="0"/>
                <w:numId w:val="2"/>
              </w:numPr>
              <w:tabs>
                <w:tab w:val="clear" w:pos="709"/>
                <w:tab w:val="left" w:pos="0" w:leader="none"/>
                <w:tab w:val="left" w:pos="720" w:leader="none"/>
              </w:tabs>
              <w:suppressAutoHyphens w:val="false"/>
              <w:spacing w:before="0" w:after="0"/>
              <w:ind w:hanging="160" w:start="160"/>
              <w:jc w:val="both"/>
              <w:rPr>
                <w:rFonts w:eastAsia="Calibri"/>
                <w:bCs/>
              </w:rPr>
            </w:pPr>
            <w:r>
              <w:rPr>
                <w:rFonts w:eastAsia="Calibri"/>
              </w:rPr>
              <w:t xml:space="preserve">При </w:t>
            </w:r>
            <w:r>
              <w:rPr/>
              <w:t>выполнении</w:t>
            </w:r>
            <w:r>
              <w:rPr>
                <w:rFonts w:eastAsia="Calibri"/>
              </w:rPr>
              <w:t xml:space="preserve"> работ Подрядчик самостоятельно обеспечивает выполнение своими силами и работниками привлечённых организаций (соисполнителей):</w:t>
            </w:r>
            <w:r>
              <w:rPr>
                <w:rFonts w:eastAsia="Calibri"/>
                <w:bCs/>
              </w:rPr>
              <w:t xml:space="preserve"> </w:t>
            </w:r>
          </w:p>
          <w:p>
            <w:pPr>
              <w:pStyle w:val="BodyText"/>
              <w:numPr>
                <w:ilvl w:val="0"/>
                <w:numId w:val="12"/>
              </w:numPr>
              <w:tabs>
                <w:tab w:val="clear" w:pos="709"/>
                <w:tab w:val="left" w:pos="720" w:leader="none"/>
              </w:tabs>
              <w:suppressAutoHyphens w:val="false"/>
              <w:spacing w:before="0" w:after="0"/>
              <w:jc w:val="both"/>
              <w:rPr/>
            </w:pPr>
            <w:r>
              <w:rPr/>
              <w:t>требований действующих строительных норм и правил,</w:t>
            </w:r>
          </w:p>
          <w:p>
            <w:pPr>
              <w:pStyle w:val="BodyText"/>
              <w:numPr>
                <w:ilvl w:val="0"/>
                <w:numId w:val="12"/>
              </w:numPr>
              <w:tabs>
                <w:tab w:val="clear" w:pos="709"/>
                <w:tab w:val="left" w:pos="720" w:leader="none"/>
              </w:tabs>
              <w:suppressAutoHyphens w:val="false"/>
              <w:spacing w:before="0" w:after="0"/>
              <w:jc w:val="both"/>
              <w:rPr/>
            </w:pPr>
            <w:r>
              <w:rPr/>
              <w:t>требований по безопасному ведению работ, охране окружающей среды, пожарной безопасности, электробезопасности, защите зелёных насаждений, непревышению допустимого уровня шума при выполнении работ в ночное время, иных нормативных актов, устанавливающих обязательные правила по выполнению данных работ,</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rPr>
              <w:t xml:space="preserve">производить уборку и </w:t>
            </w:r>
            <w:r>
              <w:rPr>
                <w:rFonts w:cs="Times New Roman" w:ascii="Times New Roman" w:hAnsi="Times New Roman"/>
                <w:sz w:val="24"/>
                <w:szCs w:val="24"/>
              </w:rPr>
              <w:t>надлежащее</w:t>
            </w:r>
            <w:r>
              <w:rPr>
                <w:rFonts w:eastAsia="Calibri" w:cs="Times New Roman" w:ascii="Times New Roman" w:hAnsi="Times New Roman"/>
                <w:sz w:val="24"/>
                <w:szCs w:val="24"/>
              </w:rPr>
              <w:t xml:space="preserve"> содержание места производства работ и прилегающей непосредственно к нему территории.</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bCs/>
                <w:sz w:val="24"/>
                <w:szCs w:val="24"/>
              </w:rPr>
              <w:t>Строительно-монтажные работы:</w:t>
            </w:r>
          </w:p>
        </w:tc>
        <w:tc>
          <w:tcPr>
            <w:tcW w:w="7376" w:type="dxa"/>
            <w:tcBorders>
              <w:start w:val="single" w:sz="4" w:space="0" w:color="000000"/>
              <w:bottom w:val="single" w:sz="4" w:space="0" w:color="000000"/>
              <w:end w:val="single" w:sz="4" w:space="0" w:color="000000"/>
            </w:tcBorders>
          </w:tcPr>
          <w:p>
            <w:pPr>
              <w:pStyle w:val="BodyText"/>
              <w:numPr>
                <w:ilvl w:val="0"/>
                <w:numId w:val="13"/>
              </w:numPr>
              <w:suppressAutoHyphens w:val="false"/>
              <w:spacing w:before="0" w:after="0"/>
              <w:ind w:hanging="160" w:start="160"/>
              <w:jc w:val="both"/>
              <w:rPr>
                <w:color w:val="000000"/>
              </w:rPr>
            </w:pPr>
            <w:r>
              <w:rPr>
                <w:color w:val="000000"/>
              </w:rPr>
              <w:t>Строительно-монтажные работы должны быть выполнены в объёме, соответствующем разработанной проектной документации.</w:t>
            </w:r>
          </w:p>
          <w:p>
            <w:pPr>
              <w:pStyle w:val="BodyText"/>
              <w:numPr>
                <w:ilvl w:val="0"/>
                <w:numId w:val="13"/>
              </w:numPr>
              <w:suppressAutoHyphens w:val="false"/>
              <w:spacing w:before="0" w:after="0"/>
              <w:ind w:hanging="160" w:start="160"/>
              <w:jc w:val="both"/>
              <w:rPr>
                <w:color w:val="000000"/>
              </w:rPr>
            </w:pPr>
            <w:r>
              <w:rPr>
                <w:color w:val="000000"/>
              </w:rPr>
              <w:t>Строительно-монтажные работы производить по согласованному проекту и под техническим контролем представителей Подрядчика\Геподрядчика\Заказчика.</w:t>
            </w:r>
          </w:p>
          <w:p>
            <w:pPr>
              <w:pStyle w:val="BodyText"/>
              <w:numPr>
                <w:ilvl w:val="0"/>
                <w:numId w:val="2"/>
              </w:numPr>
              <w:tabs>
                <w:tab w:val="clear" w:pos="709"/>
                <w:tab w:val="left" w:pos="0" w:leader="none"/>
                <w:tab w:val="left" w:pos="720" w:leader="none"/>
              </w:tabs>
              <w:suppressAutoHyphens w:val="false"/>
              <w:spacing w:before="0" w:after="0"/>
              <w:ind w:hanging="160" w:start="160"/>
              <w:jc w:val="both"/>
              <w:rPr/>
            </w:pPr>
            <w:r>
              <w:rPr/>
              <w:t>Строительно-монтажные работы производить в соответствии с требованиями действующего законодательства по обеспечению качества и бесперебойности услуг теплоснабжения потребителей тепловой энергии.</w:t>
            </w:r>
          </w:p>
          <w:p>
            <w:pPr>
              <w:pStyle w:val="BodyText"/>
              <w:numPr>
                <w:ilvl w:val="0"/>
                <w:numId w:val="13"/>
              </w:numPr>
              <w:suppressAutoHyphens w:val="false"/>
              <w:spacing w:before="0" w:after="0"/>
              <w:ind w:hanging="160" w:start="160"/>
              <w:jc w:val="both"/>
              <w:rPr>
                <w:color w:val="000000"/>
              </w:rPr>
            </w:pPr>
            <w:r>
              <w:rPr>
                <w:color w:val="000000"/>
              </w:rPr>
              <w:t xml:space="preserve">Качество выполнения строительно-монтажных работ должно соответствовать требованиям действующих норм и правил и обеспечивать нормальную эксплуатацию объекта на протяжении всего срока службы.                                                                              </w:t>
            </w:r>
          </w:p>
          <w:p>
            <w:pPr>
              <w:pStyle w:val="BodyText"/>
              <w:numPr>
                <w:ilvl w:val="0"/>
                <w:numId w:val="13"/>
              </w:numPr>
              <w:suppressAutoHyphens w:val="false"/>
              <w:spacing w:before="0" w:after="0"/>
              <w:ind w:hanging="160" w:start="160"/>
              <w:jc w:val="both"/>
              <w:rPr>
                <w:color w:val="000000"/>
              </w:rPr>
            </w:pPr>
            <w:r>
              <w:rPr>
                <w:color w:val="000000"/>
              </w:rPr>
              <w:t>Строительно-монтажные работы должны быть выполнены строго в соответствии с графиком производства работ, являющимся приложением к договору.</w:t>
            </w:r>
          </w:p>
          <w:p>
            <w:pPr>
              <w:pStyle w:val="BodyText"/>
              <w:numPr>
                <w:ilvl w:val="0"/>
                <w:numId w:val="13"/>
              </w:numPr>
              <w:suppressAutoHyphens w:val="false"/>
              <w:spacing w:before="0" w:after="0"/>
              <w:ind w:hanging="160" w:start="160"/>
              <w:jc w:val="both"/>
              <w:rPr>
                <w:color w:val="000000"/>
              </w:rPr>
            </w:pPr>
            <w:r>
              <w:rPr>
                <w:color w:val="000000"/>
              </w:rPr>
              <w:t>График производства работ согласовывается с Подрядчиком\Генподрядчиком на этапе заключения договора.</w:t>
            </w:r>
          </w:p>
          <w:p>
            <w:pPr>
              <w:pStyle w:val="BodyText"/>
              <w:numPr>
                <w:ilvl w:val="0"/>
                <w:numId w:val="13"/>
              </w:numPr>
              <w:suppressAutoHyphens w:val="false"/>
              <w:spacing w:before="0" w:after="0"/>
              <w:ind w:hanging="160" w:start="160"/>
              <w:jc w:val="both"/>
              <w:rPr>
                <w:color w:val="000000"/>
              </w:rPr>
            </w:pPr>
            <w:r>
              <w:rPr>
                <w:color w:val="000000"/>
              </w:rPr>
              <w:t xml:space="preserve">До проведения строительно-монтажных работ все материалы и оборудование (БМК «заводской готовности») проходят </w:t>
            </w:r>
            <w:r>
              <w:rPr>
                <w:rFonts w:eastAsia="Times New Roman" w:cs="Times New Roman"/>
                <w:color w:val="000000"/>
                <w:kern w:val="0"/>
                <w:sz w:val="24"/>
                <w:szCs w:val="24"/>
                <w:lang w:val="ru-RU" w:eastAsia="ar-SA" w:bidi="ar-SA"/>
              </w:rPr>
              <w:t>входной контроль силами представителей Субподрядчика.</w:t>
            </w:r>
          </w:p>
          <w:p>
            <w:pPr>
              <w:pStyle w:val="BodyText"/>
              <w:numPr>
                <w:ilvl w:val="0"/>
                <w:numId w:val="13"/>
              </w:numPr>
              <w:suppressAutoHyphens w:val="false"/>
              <w:spacing w:before="0" w:after="0"/>
              <w:ind w:hanging="160" w:start="160"/>
              <w:jc w:val="both"/>
              <w:rPr>
                <w:color w:val="000000"/>
              </w:rPr>
            </w:pPr>
            <w:r>
              <w:rPr>
                <w:color w:val="000000"/>
              </w:rPr>
              <w:t>Основное оборудование и материалы, необходимые для производства строительно-монтажных работ, поставляются Подрядчиком.</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cs="Times New Roman" w:ascii="Times New Roman" w:hAnsi="Times New Roman"/>
                <w:sz w:val="24"/>
                <w:szCs w:val="24"/>
              </w:rPr>
            </w:r>
          </w:p>
        </w:tc>
        <w:tc>
          <w:tcPr>
            <w:tcW w:w="7376" w:type="dxa"/>
            <w:tcBorders>
              <w:start w:val="single" w:sz="4" w:space="0" w:color="000000"/>
              <w:bottom w:val="single" w:sz="4" w:space="0" w:color="000000"/>
              <w:end w:val="single" w:sz="4" w:space="0" w:color="000000"/>
            </w:tcBorders>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9644" w:type="dxa"/>
            <w:gridSpan w:val="2"/>
            <w:tcBorders>
              <w:start w:val="single" w:sz="4" w:space="0" w:color="000000"/>
              <w:bottom w:val="single" w:sz="4" w:space="0" w:color="000000"/>
              <w:end w:val="single" w:sz="4" w:space="0" w:color="000000"/>
            </w:tcBorders>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b/>
                <w:bCs/>
                <w:sz w:val="24"/>
                <w:szCs w:val="24"/>
              </w:rPr>
              <w:t>Требования к оборудованию и материалам:</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sz w:val="24"/>
                <w:szCs w:val="24"/>
              </w:rPr>
              <w:t>Общие требования:</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Применяемые при реализации настоящего технического задания оборудование, запорная арматура, автоматика регулирования, КИП, материалы и т.д. должны быть новыми (не бывшими в эксплуатации), соответствовать действующим на территории Российской Федерации требованиям санитарной, промышленной и экологической безопасности, надёжности и энергетической эффективности.</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auto"/>
                <w:kern w:val="0"/>
                <w:sz w:val="24"/>
                <w:szCs w:val="24"/>
                <w:lang w:val="ru-RU" w:eastAsia="ar-SA" w:bidi="ar-SA"/>
              </w:rPr>
              <w:t>Конкретные марки оборудования, запорной арматуры, автоматики регулирования, КИП, материалов</w:t>
            </w:r>
            <w:r>
              <w:rPr>
                <w:rFonts w:cs="Times New Roman" w:ascii="Times New Roman" w:hAnsi="Times New Roman"/>
                <w:sz w:val="24"/>
                <w:szCs w:val="24"/>
              </w:rPr>
              <w:t xml:space="preserve"> и т.д. определяются Субподрядчиком исходя из настоящих технических требований в соответствии с действующими нормами и правилами при </w:t>
            </w:r>
            <w:r>
              <w:rPr>
                <w:rFonts w:eastAsia="Calibri" w:cs="Times New Roman" w:ascii="Times New Roman" w:hAnsi="Times New Roman" w:eastAsiaTheme="minorHAnsi"/>
                <w:color w:val="auto"/>
                <w:kern w:val="0"/>
                <w:sz w:val="24"/>
                <w:szCs w:val="24"/>
                <w:lang w:val="ru-RU" w:eastAsia="en-US" w:bidi="ar-SA"/>
              </w:rPr>
              <w:t>обязательном предварительном согласовании</w:t>
            </w:r>
            <w:r>
              <w:rPr>
                <w:rFonts w:cs="Times New Roman" w:ascii="Times New Roman" w:hAnsi="Times New Roman"/>
                <w:sz w:val="24"/>
                <w:szCs w:val="24"/>
              </w:rPr>
              <w:t xml:space="preserve"> с Подрядчиком \Генподрядчиком\ Заказчиком.</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sz w:val="24"/>
                <w:szCs w:val="24"/>
              </w:rPr>
              <w:t>Котловое оборудование:</w:t>
            </w:r>
          </w:p>
        </w:tc>
        <w:tc>
          <w:tcPr>
            <w:tcW w:w="7376" w:type="dxa"/>
            <w:tcBorders>
              <w:start w:val="single" w:sz="4" w:space="0" w:color="000000"/>
              <w:bottom w:val="single" w:sz="4" w:space="0" w:color="000000"/>
              <w:end w:val="single" w:sz="4" w:space="0" w:color="000000"/>
            </w:tcBorders>
          </w:tcPr>
          <w:p>
            <w:pPr>
              <w:pStyle w:val="BodyText"/>
              <w:spacing w:before="0" w:after="0"/>
              <w:ind w:start="100"/>
              <w:rPr/>
            </w:pPr>
            <w:r>
              <w:rPr/>
              <w:t>Стальные водогрейные котлы Российского производства отвечающие требованиям:</w:t>
            </w:r>
          </w:p>
          <w:p>
            <w:pPr>
              <w:pStyle w:val="BodyText"/>
              <w:numPr>
                <w:ilvl w:val="0"/>
                <w:numId w:val="15"/>
              </w:numPr>
              <w:suppressAutoHyphens w:val="false"/>
              <w:spacing w:before="0" w:after="0"/>
              <w:jc w:val="both"/>
              <w:rPr/>
            </w:pPr>
            <w:r>
              <w:rPr/>
              <w:t>водогрейный котёл жаротрубного ЭНТЕР  ВОЛК (Россия)) с принудительной циркуляцией теплоносителя,</w:t>
            </w:r>
          </w:p>
          <w:p>
            <w:pPr>
              <w:pStyle w:val="BodyText"/>
              <w:numPr>
                <w:ilvl w:val="0"/>
                <w:numId w:val="15"/>
              </w:numPr>
              <w:suppressAutoHyphens w:val="false"/>
              <w:spacing w:before="0" w:after="0"/>
              <w:jc w:val="both"/>
              <w:rPr/>
            </w:pPr>
            <w:r>
              <w:rPr/>
              <w:t>КПД котлов среднее 92-95%</w:t>
            </w:r>
          </w:p>
          <w:p>
            <w:pPr>
              <w:pStyle w:val="BodyText"/>
              <w:numPr>
                <w:ilvl w:val="0"/>
                <w:numId w:val="15"/>
              </w:numPr>
              <w:suppressAutoHyphens w:val="false"/>
              <w:spacing w:before="0" w:after="0"/>
              <w:jc w:val="both"/>
              <w:rPr/>
            </w:pPr>
            <w:r>
              <w:rPr/>
              <w:t>диапазон регулирования нагрузки 30 …100%,</w:t>
            </w:r>
          </w:p>
          <w:p>
            <w:pPr>
              <w:pStyle w:val="BodyText"/>
              <w:numPr>
                <w:ilvl w:val="0"/>
                <w:numId w:val="15"/>
              </w:numPr>
              <w:suppressAutoHyphens w:val="false"/>
              <w:spacing w:before="0" w:after="0"/>
              <w:jc w:val="both"/>
              <w:rPr/>
            </w:pPr>
            <w:r>
              <w:rPr/>
              <w:t>максимальная температура теплоносителя на выходе из котла не более 115 ºС, (по факту не более 110 ºС),</w:t>
            </w:r>
          </w:p>
          <w:p>
            <w:pPr>
              <w:pStyle w:val="BodyText"/>
              <w:numPr>
                <w:ilvl w:val="0"/>
                <w:numId w:val="15"/>
              </w:numPr>
              <w:suppressAutoHyphens w:val="false"/>
              <w:spacing w:before="0" w:after="0"/>
              <w:jc w:val="both"/>
              <w:rPr/>
            </w:pPr>
            <w:r>
              <w:rPr/>
              <w:t xml:space="preserve">температура теплоносителя на входе в котёл, не менее 60 ºС, </w:t>
            </w:r>
          </w:p>
          <w:p>
            <w:pPr>
              <w:pStyle w:val="BodyText"/>
              <w:numPr>
                <w:ilvl w:val="0"/>
                <w:numId w:val="15"/>
              </w:numPr>
              <w:suppressAutoHyphens w:val="false"/>
              <w:spacing w:before="0" w:after="0"/>
              <w:jc w:val="both"/>
              <w:rPr/>
            </w:pPr>
            <w:r>
              <w:rPr/>
              <w:t>максимальное допустимое избыточное давление теплоносителя не более 0,6 МПа,</w:t>
            </w:r>
          </w:p>
          <w:p>
            <w:pPr>
              <w:pStyle w:val="BodyText"/>
              <w:numPr>
                <w:ilvl w:val="0"/>
                <w:numId w:val="15"/>
              </w:numPr>
              <w:suppressAutoHyphens w:val="false"/>
              <w:spacing w:before="0" w:after="0"/>
              <w:jc w:val="both"/>
              <w:rPr/>
            </w:pPr>
            <w:r>
              <w:rPr/>
              <w:t>современные системы управления и регулирования,</w:t>
            </w:r>
          </w:p>
          <w:p>
            <w:pPr>
              <w:pStyle w:val="BodyText"/>
              <w:numPr>
                <w:ilvl w:val="0"/>
                <w:numId w:val="15"/>
              </w:numPr>
              <w:suppressAutoHyphens w:val="false"/>
              <w:spacing w:before="0" w:after="0"/>
              <w:jc w:val="both"/>
              <w:rPr/>
            </w:pPr>
            <w:r>
              <w:rPr/>
              <w:t xml:space="preserve">расчетный срок службы не менее 20 лет, </w:t>
            </w:r>
          </w:p>
          <w:p>
            <w:pPr>
              <w:pStyle w:val="BodyText"/>
              <w:numPr>
                <w:ilvl w:val="0"/>
                <w:numId w:val="15"/>
              </w:numPr>
              <w:suppressAutoHyphens w:val="false"/>
              <w:spacing w:before="0" w:after="0"/>
              <w:jc w:val="both"/>
              <w:rPr/>
            </w:pPr>
            <w:r>
              <w:rPr/>
              <w:t>гарантийный срок службы не менее 24 мес.</w:t>
            </w:r>
          </w:p>
          <w:p>
            <w:pPr>
              <w:pStyle w:val="BodyText"/>
              <w:numPr>
                <w:ilvl w:val="0"/>
                <w:numId w:val="15"/>
              </w:numPr>
              <w:suppressAutoHyphens w:val="false"/>
              <w:jc w:val="both"/>
              <w:rPr/>
            </w:pPr>
            <w:r>
              <w:rPr/>
              <w:t>производство Россия.</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sz w:val="24"/>
                <w:szCs w:val="24"/>
              </w:rPr>
              <w:t>Автоматика безопасности:</w:t>
            </w:r>
          </w:p>
        </w:tc>
        <w:tc>
          <w:tcPr>
            <w:tcW w:w="7376" w:type="dxa"/>
            <w:tcBorders>
              <w:start w:val="single" w:sz="4" w:space="0" w:color="000000"/>
              <w:bottom w:val="single" w:sz="4" w:space="0" w:color="000000"/>
              <w:end w:val="single" w:sz="4" w:space="0" w:color="000000"/>
            </w:tcBorders>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sz w:val="24"/>
                <w:szCs w:val="24"/>
              </w:rPr>
              <w:t>Предусмотреть оборудование автоматики безопасности, соответствующее всем требованиям действующей нормативной документации Российской Федерации. Тип, марка, характеристики оборудования автоматики безопасности должны быть заводом-изготовителем котельного оборудования.</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sz w:val="24"/>
                <w:szCs w:val="24"/>
              </w:rPr>
              <w:t>Горелки:</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Модулируемые газогорелочные устройства, отвечающие требованиям:</w:t>
            </w:r>
          </w:p>
          <w:p>
            <w:pPr>
              <w:pStyle w:val="BodyText"/>
              <w:widowControl w:val="false"/>
              <w:numPr>
                <w:ilvl w:val="0"/>
                <w:numId w:val="16"/>
              </w:numPr>
              <w:suppressAutoHyphens w:val="false"/>
              <w:spacing w:before="0" w:after="0"/>
              <w:ind w:hanging="360" w:start="360"/>
              <w:jc w:val="both"/>
              <w:rPr/>
            </w:pPr>
            <w:r>
              <w:rPr/>
              <w:t>наличие подтверждения совместимости, гарантирующего устойчивую работу технологического комплекса в составе газогорелочного устройства и котельного агрегата во всём диапазоне мощностей,</w:t>
            </w:r>
          </w:p>
          <w:p>
            <w:pPr>
              <w:pStyle w:val="BodyText"/>
              <w:widowControl w:val="false"/>
              <w:numPr>
                <w:ilvl w:val="0"/>
                <w:numId w:val="16"/>
              </w:numPr>
              <w:suppressAutoHyphens w:val="false"/>
              <w:spacing w:before="0" w:after="0"/>
              <w:ind w:hanging="340" w:start="360"/>
              <w:jc w:val="both"/>
              <w:rPr/>
            </w:pPr>
            <w:r>
              <w:rPr/>
              <w:t>наличие разрешения на применение газогорелочных устройств от завода изготовителя котлов,</w:t>
            </w:r>
          </w:p>
          <w:p>
            <w:pPr>
              <w:pStyle w:val="BodyText"/>
              <w:widowControl w:val="false"/>
              <w:numPr>
                <w:ilvl w:val="0"/>
                <w:numId w:val="16"/>
              </w:numPr>
              <w:suppressAutoHyphens w:val="false"/>
              <w:spacing w:before="0" w:after="0"/>
              <w:ind w:hanging="360" w:start="360"/>
              <w:jc w:val="both"/>
              <w:rPr/>
            </w:pPr>
            <w:r>
              <w:rPr/>
              <w:t>автоматизация режима горения и управления работой котлов (возможность работы в автоматическом и ручном режиме),</w:t>
            </w:r>
          </w:p>
          <w:p>
            <w:pPr>
              <w:pStyle w:val="Normal"/>
              <w:keepNext w:val="tru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 xml:space="preserve">Газовая горелка ExEco RS </w:t>
            </w:r>
          </w:p>
          <w:p>
            <w:pPr>
              <w:pStyle w:val="Normal"/>
              <w:keepNext w:val="tru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w:t>
              <w:tab/>
              <w:t>Горелка модулируемая, страна производства Россия</w:t>
            </w:r>
          </w:p>
          <w:p>
            <w:pPr>
              <w:pStyle w:val="Normal"/>
              <w:keepNext w:val="tru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w:t>
              <w:tab/>
              <w:t xml:space="preserve">Вид топлива: природный газ </w:t>
            </w:r>
          </w:p>
          <w:p>
            <w:pPr>
              <w:pStyle w:val="Normal"/>
              <w:keepNext w:val="tru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w:t>
              <w:tab/>
              <w:t>Вид регулирования: Электронная (на большие котлы) либо механическая (на малые котлы) модуляция</w:t>
            </w:r>
          </w:p>
          <w:p>
            <w:pPr>
              <w:pStyle w:val="Normal"/>
              <w:keepNext w:val="tru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w:t>
              <w:tab/>
              <w:t xml:space="preserve">Диапазон модуляции от 30 – 100 % нагрузки </w:t>
            </w:r>
          </w:p>
          <w:p>
            <w:pPr>
              <w:pStyle w:val="Normal"/>
              <w:keepNext w:val="tru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w:t>
              <w:tab/>
              <w:t xml:space="preserve">Цифровой менеджер управлением горелки   </w:t>
            </w:r>
          </w:p>
          <w:p>
            <w:pPr>
              <w:pStyle w:val="Normal"/>
              <w:keepNext w:val="tru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w:t>
              <w:tab/>
              <w:t>Облицовка подачи воздуха из звукоизолирующего материала</w:t>
            </w:r>
          </w:p>
          <w:p>
            <w:pPr>
              <w:pStyle w:val="Normal"/>
              <w:keepNext w:val="true"/>
              <w:spacing w:lineRule="auto" w:line="240" w:before="0" w:after="0"/>
              <w:rPr>
                <w:rFonts w:ascii="Times New Roman" w:hAnsi="Times New Roman" w:cs="Times New Roman"/>
                <w:color w:val="000000"/>
                <w:sz w:val="24"/>
                <w:szCs w:val="24"/>
              </w:rPr>
            </w:pPr>
            <w:r>
              <w:rPr>
                <w:rFonts w:eastAsia="Times New Roman" w:cs="Times New Roman" w:ascii="Times New Roman" w:hAnsi="Times New Roman"/>
                <w:sz w:val="24"/>
                <w:szCs w:val="24"/>
              </w:rPr>
              <w:t>-</w:t>
              <w:tab/>
            </w:r>
            <w:r>
              <w:rPr>
                <w:rFonts w:eastAsia="Times New Roman" w:cs="Times New Roman" w:ascii="Times New Roman" w:hAnsi="Times New Roman"/>
                <w:color w:val="000000"/>
                <w:sz w:val="24"/>
                <w:szCs w:val="24"/>
              </w:rPr>
              <w:t>Степень защиты: IP54</w:t>
            </w:r>
          </w:p>
          <w:p>
            <w:pPr>
              <w:pStyle w:val="Normal"/>
              <w:keepNext w:val="tru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 Уровень шума не более 88 дБ(А)</w:t>
            </w:r>
          </w:p>
          <w:p>
            <w:pPr>
              <w:pStyle w:val="Normal"/>
              <w:keepNext w:val="tru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 Электропитание 3N/230-400B ±10% 50Гц</w:t>
            </w:r>
          </w:p>
          <w:p>
            <w:pPr>
              <w:pStyle w:val="Normal"/>
              <w:keepNext w:val="true"/>
              <w:spacing w:lineRule="auto" w:line="240" w:before="0" w:after="0"/>
              <w:rPr>
                <w:rFonts w:ascii="Times New Roman" w:hAnsi="Times New Roman" w:cs="Times New Roman"/>
                <w:sz w:val="24"/>
                <w:szCs w:val="24"/>
              </w:rPr>
            </w:pPr>
            <w:r>
              <w:rPr>
                <w:rFonts w:eastAsia="Times New Roman" w:cs="Times New Roman" w:ascii="Times New Roman" w:hAnsi="Times New Roman"/>
                <w:sz w:val="24"/>
                <w:szCs w:val="24"/>
              </w:rPr>
              <w:t>- Автоматизация режима горения и управления работой котлов (возможность работы в автоматическом и ручном режиме).</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sz w:val="24"/>
                <w:szCs w:val="24"/>
              </w:rPr>
              <w:t>Насосное оборудование:</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Центробежные насосы, отвечающие требованиям:</w:t>
            </w:r>
          </w:p>
          <w:p>
            <w:pPr>
              <w:pStyle w:val="msolistparagraph"/>
              <w:widowControl w:val="false"/>
              <w:numPr>
                <w:ilvl w:val="0"/>
                <w:numId w:val="17"/>
              </w:numPr>
              <w:spacing w:before="0" w:after="0"/>
              <w:ind w:hanging="280" w:start="360"/>
              <w:contextualSpacing w:val="false"/>
              <w:jc w:val="both"/>
              <w:rPr>
                <w:lang w:val="ru-RU"/>
              </w:rPr>
            </w:pPr>
            <w:r>
              <w:rPr>
                <w:lang w:val="ru-RU"/>
              </w:rPr>
              <w:t>соединение с трубопроводами – фланцевое, на малых диаметрах муфтовое,</w:t>
            </w:r>
          </w:p>
          <w:p>
            <w:pPr>
              <w:pStyle w:val="msolistparagraph"/>
              <w:widowControl w:val="false"/>
              <w:numPr>
                <w:ilvl w:val="0"/>
                <w:numId w:val="17"/>
              </w:numPr>
              <w:spacing w:before="0" w:after="0"/>
              <w:ind w:hanging="280" w:start="360"/>
              <w:contextualSpacing w:val="false"/>
              <w:jc w:val="both"/>
              <w:rPr>
                <w:lang w:val="ru-RU"/>
              </w:rPr>
            </w:pPr>
            <w:r>
              <w:rPr>
                <w:lang w:val="ru-RU"/>
              </w:rPr>
              <w:t>при подборе насосов обеспечить нахождение рабочей точки в зоне максимального КПД,</w:t>
            </w:r>
          </w:p>
          <w:p>
            <w:pPr>
              <w:pStyle w:val="msolistparagraph"/>
              <w:widowControl w:val="false"/>
              <w:numPr>
                <w:ilvl w:val="0"/>
                <w:numId w:val="17"/>
              </w:numPr>
              <w:spacing w:before="0" w:after="0"/>
              <w:ind w:hanging="280" w:start="360"/>
              <w:contextualSpacing w:val="false"/>
              <w:jc w:val="both"/>
              <w:rPr>
                <w:lang w:val="ru-RU"/>
              </w:rPr>
            </w:pPr>
            <w:r>
              <w:rPr>
                <w:lang w:val="ru-RU"/>
              </w:rPr>
              <w:t>насос и электродвигатель должны быть оригинальной сборки от одного производителя.</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sz w:val="24"/>
                <w:szCs w:val="24"/>
              </w:rPr>
              <w:t>Запорная арматура:</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Шаровые краны, поворотные затворы, отвечающие требованиям:</w:t>
            </w:r>
          </w:p>
          <w:p>
            <w:pPr>
              <w:pStyle w:val="msolistparagraph"/>
              <w:widowControl w:val="false"/>
              <w:numPr>
                <w:ilvl w:val="0"/>
                <w:numId w:val="18"/>
              </w:numPr>
              <w:spacing w:before="0" w:after="0"/>
              <w:ind w:hanging="280" w:start="500"/>
              <w:contextualSpacing w:val="false"/>
              <w:jc w:val="both"/>
              <w:rPr/>
            </w:pPr>
            <w:r>
              <w:rPr/>
              <w:t>Pмах ≥ 6 кгс/см</w:t>
            </w:r>
            <w:r>
              <w:rPr>
                <w:vertAlign w:val="superscript"/>
              </w:rPr>
              <w:t>2</w:t>
            </w:r>
            <w:r>
              <w:rPr/>
              <w:t>;</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sz w:val="24"/>
                <w:szCs w:val="24"/>
              </w:rPr>
              <w:t>Требования по типу присоединения к трубопроводам – фланцевое, на малых диаметрах – муфтовое, посредством накидных гаек или муфтовое типа "американка".</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sz w:val="24"/>
                <w:szCs w:val="24"/>
              </w:rPr>
              <w:t>Автоматика регулирования:</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Автоматика регулирования, отвечающая требованиям:</w:t>
            </w:r>
          </w:p>
          <w:p>
            <w:pPr>
              <w:pStyle w:val="msolistparagraph"/>
              <w:widowControl w:val="false"/>
              <w:numPr>
                <w:ilvl w:val="0"/>
                <w:numId w:val="18"/>
              </w:numPr>
              <w:spacing w:before="0" w:after="0"/>
              <w:ind w:hanging="280" w:start="500"/>
              <w:contextualSpacing w:val="false"/>
              <w:jc w:val="both"/>
              <w:rPr/>
            </w:pPr>
            <w:r>
              <w:rPr/>
              <w:t>Pмах ≥ 6 кгс/см</w:t>
            </w:r>
            <w:r>
              <w:rPr>
                <w:vertAlign w:val="superscript"/>
              </w:rPr>
              <w:t>2</w:t>
            </w:r>
            <w:r>
              <w:rPr/>
              <w:t>,</w:t>
            </w:r>
          </w:p>
          <w:p>
            <w:pPr>
              <w:pStyle w:val="msolistparagraph"/>
              <w:widowControl w:val="false"/>
              <w:numPr>
                <w:ilvl w:val="0"/>
                <w:numId w:val="14"/>
              </w:numPr>
              <w:spacing w:before="0" w:after="0"/>
              <w:ind w:hanging="280" w:start="500"/>
              <w:contextualSpacing w:val="false"/>
              <w:jc w:val="both"/>
              <w:rPr>
                <w:lang w:val="ru-RU"/>
              </w:rPr>
            </w:pPr>
            <w:r>
              <w:rPr>
                <w:lang w:val="ru-RU"/>
              </w:rPr>
              <w:t>соединение с трубопроводами: фланцевое, на малых диаметрах - муфтовое посредством накидных гаек или муфтовое типа "американка".</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Управляющие контроллеры должны иметь фирменную закрытую структуру с набором алгоритмов регулирования, поддерживать </w:t>
            </w:r>
            <w:r>
              <w:rPr>
                <w:rFonts w:eastAsia="Calibri" w:cs="Times New Roman" w:ascii="Times New Roman" w:hAnsi="Times New Roman" w:eastAsiaTheme="minorHAnsi"/>
                <w:color w:val="auto"/>
                <w:kern w:val="0"/>
                <w:sz w:val="24"/>
                <w:szCs w:val="24"/>
                <w:lang w:val="ru-RU" w:eastAsia="en-US" w:bidi="ar-SA"/>
              </w:rPr>
              <w:t>протокол связи с верхним уровнем управления MODBUS.</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cs="Times New Roman" w:ascii="Times New Roman" w:hAnsi="Times New Roman"/>
                <w:sz w:val="24"/>
                <w:szCs w:val="24"/>
              </w:rPr>
              <w:t>Контроллеры системы диспетчеризации</w:t>
            </w:r>
          </w:p>
        </w:tc>
        <w:tc>
          <w:tcPr>
            <w:tcW w:w="7376" w:type="dxa"/>
            <w:tcBorders>
              <w:start w:val="single" w:sz="4" w:space="0" w:color="000000"/>
              <w:bottom w:val="single" w:sz="4" w:space="0" w:color="000000"/>
              <w:end w:val="single" w:sz="4" w:space="0" w:color="000000"/>
            </w:tcBorders>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cs="Times New Roman" w:ascii="Times New Roman" w:hAnsi="Times New Roman"/>
                <w:sz w:val="24"/>
                <w:szCs w:val="24"/>
              </w:rPr>
              <w:t>Контроллеры верхнего и нижнего уровней должны обеспечивать приём и передачу данных по протоколам, совместимым с системой диспетчеризации.</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eastAsia="Times New Roman" w:ascii="Times New Roman" w:hAnsi="Times New Roman"/>
                <w:sz w:val="24"/>
                <w:szCs w:val="24"/>
              </w:rPr>
              <w:t>Узлы учёта:</w:t>
            </w:r>
          </w:p>
        </w:tc>
        <w:tc>
          <w:tcPr>
            <w:tcW w:w="7376" w:type="dxa"/>
            <w:tcBorders>
              <w:start w:val="single" w:sz="4" w:space="0" w:color="000000"/>
              <w:bottom w:val="single" w:sz="4" w:space="0" w:color="000000"/>
              <w:end w:val="single" w:sz="4" w:space="0" w:color="000000"/>
            </w:tcBorders>
          </w:tcPr>
          <w:p>
            <w:pPr>
              <w:pStyle w:val="BodyText"/>
              <w:widowControl w:val="false"/>
              <w:numPr>
                <w:ilvl w:val="0"/>
                <w:numId w:val="2"/>
              </w:numPr>
              <w:tabs>
                <w:tab w:val="clear" w:pos="709"/>
                <w:tab w:val="left" w:pos="0" w:leader="none"/>
                <w:tab w:val="left" w:pos="720" w:leader="none"/>
              </w:tabs>
              <w:suppressAutoHyphens w:val="false"/>
              <w:spacing w:before="0" w:after="0"/>
              <w:ind w:hanging="160" w:start="160"/>
              <w:jc w:val="both"/>
              <w:rPr/>
            </w:pPr>
            <w:r>
              <w:rPr/>
              <w:t>Величина гидравлических потерь на узлах учёта тепловой энергии - не более 0,5 м.в.ст. на одном из трубопроводов и не более 1,0 м.в.ст. суммарно на узле учёта, при максимальном значении расхода.</w:t>
            </w:r>
          </w:p>
          <w:p>
            <w:pPr>
              <w:pStyle w:val="Normal"/>
              <w:spacing w:lineRule="auto" w:line="240" w:before="0" w:after="0"/>
              <w:rPr>
                <w:rFonts w:ascii="Times New Roman" w:hAnsi="Times New Roman" w:eastAsia="Calibri"/>
                <w:sz w:val="24"/>
                <w:szCs w:val="24"/>
              </w:rPr>
            </w:pPr>
            <w:r>
              <w:rPr>
                <w:rFonts w:eastAsia="Calibri" w:ascii="Times New Roman" w:hAnsi="Times New Roman"/>
                <w:sz w:val="24"/>
                <w:szCs w:val="24"/>
              </w:rPr>
              <w:t>Предусмотреть узлы учета:</w:t>
            </w:r>
          </w:p>
          <w:p>
            <w:pPr>
              <w:pStyle w:val="Normal"/>
              <w:spacing w:lineRule="auto" w:line="240" w:before="0" w:after="0"/>
              <w:ind w:firstLine="620"/>
              <w:rPr>
                <w:rFonts w:ascii="Times New Roman" w:hAnsi="Times New Roman" w:eastAsia="Calibri"/>
                <w:sz w:val="24"/>
                <w:szCs w:val="24"/>
              </w:rPr>
            </w:pPr>
            <w:r>
              <w:rPr>
                <w:rFonts w:eastAsia="Calibri" w:ascii="Times New Roman" w:hAnsi="Times New Roman"/>
                <w:sz w:val="24"/>
                <w:szCs w:val="24"/>
              </w:rPr>
              <w:t>- по газу (коммерческий);</w:t>
            </w:r>
          </w:p>
          <w:p>
            <w:pPr>
              <w:pStyle w:val="Normal"/>
              <w:spacing w:lineRule="auto" w:line="240" w:before="0" w:after="0"/>
              <w:ind w:firstLine="620"/>
              <w:rPr>
                <w:rFonts w:ascii="Times New Roman" w:hAnsi="Times New Roman" w:eastAsia="Calibri"/>
                <w:sz w:val="24"/>
                <w:szCs w:val="24"/>
              </w:rPr>
            </w:pPr>
            <w:r>
              <w:rPr>
                <w:rFonts w:eastAsia="Calibri" w:ascii="Times New Roman" w:hAnsi="Times New Roman"/>
                <w:sz w:val="24"/>
                <w:szCs w:val="24"/>
              </w:rPr>
              <w:t>- по общей выработке тепловой энергии;</w:t>
            </w:r>
          </w:p>
          <w:p>
            <w:pPr>
              <w:pStyle w:val="Normal"/>
              <w:spacing w:lineRule="auto" w:line="240" w:before="0" w:after="0"/>
              <w:ind w:firstLine="620"/>
              <w:rPr>
                <w:rFonts w:ascii="Times New Roman" w:hAnsi="Times New Roman" w:eastAsia="Calibri"/>
                <w:sz w:val="24"/>
                <w:szCs w:val="24"/>
              </w:rPr>
            </w:pPr>
            <w:r>
              <w:rPr>
                <w:rFonts w:eastAsia="Calibri" w:ascii="Times New Roman" w:hAnsi="Times New Roman"/>
                <w:sz w:val="24"/>
                <w:szCs w:val="24"/>
              </w:rPr>
              <w:t>- исходной холодной воды;</w:t>
            </w:r>
          </w:p>
          <w:p>
            <w:pPr>
              <w:pStyle w:val="Normal"/>
              <w:spacing w:lineRule="auto" w:line="240" w:before="0" w:after="0"/>
              <w:ind w:firstLine="137" w:start="140" w:end="145"/>
              <w:jc w:val="both"/>
              <w:rPr>
                <w:rFonts w:ascii="Times New Roman" w:hAnsi="Times New Roman" w:eastAsia="Times New Roman" w:cs="Times New Roman"/>
                <w:sz w:val="24"/>
                <w:szCs w:val="24"/>
                <w:lang w:eastAsia="ru-RU"/>
              </w:rPr>
            </w:pPr>
            <w:r>
              <w:rPr>
                <w:rFonts w:eastAsia="Calibri"/>
              </w:rPr>
              <w:t xml:space="preserve">        </w:t>
            </w:r>
            <w:r>
              <w:rPr>
                <w:rFonts w:eastAsia="Calibri"/>
              </w:rPr>
              <w:t>- электроэнергии.</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cs="Times New Roman" w:ascii="Times New Roman" w:hAnsi="Times New Roman"/>
                <w:sz w:val="24"/>
                <w:szCs w:val="24"/>
              </w:rPr>
              <w:t>Требования к составу и порядку ведения исполнительной документации</w:t>
            </w:r>
          </w:p>
        </w:tc>
        <w:tc>
          <w:tcPr>
            <w:tcW w:w="7376" w:type="dxa"/>
            <w:tcBorders>
              <w:start w:val="single" w:sz="4" w:space="0" w:color="000000"/>
              <w:bottom w:val="single" w:sz="4" w:space="0" w:color="000000"/>
              <w:end w:val="single" w:sz="4" w:space="0" w:color="000000"/>
            </w:tcBorders>
          </w:tcPr>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Субподрядчик ведет, формирует, согласовывает и сдает исполнительную документацию Подрядчику в объеме не менее, указанного в Перечне обязательной исполнительной документации .</w:t>
            </w:r>
          </w:p>
          <w:p>
            <w:pPr>
              <w:pStyle w:val="Normal"/>
              <w:spacing w:before="0" w:after="0"/>
              <w:ind w:firstLine="137" w:start="140" w:end="145"/>
              <w:jc w:val="both"/>
              <w:rPr/>
            </w:pPr>
            <w:r>
              <w:rPr>
                <w:rFonts w:eastAsia="Times New Roman" w:cs="Times New Roman" w:ascii="Times New Roman" w:hAnsi="Times New Roman"/>
                <w:sz w:val="24"/>
                <w:szCs w:val="24"/>
                <w:lang w:eastAsia="ru-RU"/>
              </w:rPr>
              <w:t>Исполнительная документация должна содержать необходимые акты освидетельствования скрытых работ, ответственных конструкций, сетей инженерно-технического обеспечения, исполнительные схемы, протоколы испытаний, заключения экспертиз и т.д., необходимые для сдачи Объекта органам государственного строительного надзора и ввода Объекта в эксплуатацию.</w:t>
            </w:r>
            <w:r>
              <w:rPr/>
              <w:t xml:space="preserve"> </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Общие требования к ведению исполнительной документации:</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четкость построения и логическая последовательность изложения материала;</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краткость и точность формулировок, исключающие возможность субъективного и неоднозначного толкования;</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конкретность изложения результатов работы;</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полное соблюдение и выполнение требований порядка ведения исполнительной производственно-технической документации в соответствии с действующими нормами и правилами.</w:t>
            </w:r>
          </w:p>
          <w:p>
            <w:pPr>
              <w:pStyle w:val="Normal"/>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Также к актам прикладываются документы о качестве применяемых материалов, паспорта (к экземплярам Заказчика - оригинал или заверенная производителем копия).</w:t>
            </w:r>
          </w:p>
          <w:p>
            <w:pPr>
              <w:pStyle w:val="Style81"/>
              <w:spacing w:lineRule="auto" w:line="276"/>
              <w:ind w:firstLine="137" w:start="140" w:end="140"/>
              <w:rPr/>
            </w:pPr>
            <w:r>
              <w:rPr/>
              <w:t>По окончании работ Субподрядчик предоставляет Подрядчику исполнительную документацию со всеми приложениями к ней в 3 (трех) экземплярах (подлинник и две копии) на бумажном носителе, а также в электронном виде на внешнем USB-накопителе в 1 экземпляре: в формате .</w:t>
            </w:r>
            <w:r>
              <w:rPr>
                <w:lang w:val="en-US"/>
              </w:rPr>
              <w:t>pdf</w:t>
            </w:r>
            <w:r>
              <w:rPr/>
              <w:t xml:space="preserve"> – скан-копии подлинника и в  форматах .dwg и .mif исполнительные схемы в масштабе 1:500, текстовые и табличные материалы в форматах .</w:t>
            </w:r>
            <w:r>
              <w:rPr>
                <w:lang w:val="en-US"/>
              </w:rPr>
              <w:t>xlsx</w:t>
            </w:r>
            <w:r>
              <w:rPr/>
              <w:t xml:space="preserve"> и .</w:t>
            </w:r>
            <w:r>
              <w:rPr>
                <w:lang w:val="en-US"/>
              </w:rPr>
              <w:t>word</w:t>
            </w:r>
            <w:r>
              <w:rPr/>
              <w:t>.</w:t>
            </w:r>
          </w:p>
          <w:p>
            <w:pPr>
              <w:pStyle w:val="Normal"/>
              <w:tabs>
                <w:tab w:val="clear" w:pos="709"/>
                <w:tab w:val="left" w:pos="851" w:leader="none"/>
              </w:tabs>
              <w:spacing w:before="0" w:after="0"/>
              <w:ind w:firstLine="137" w:start="140" w:end="145"/>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Представляемая Субподрядчиком исполнительная документация должна содержать подписи и расшифровки подписей представителей Подрядчика, представителей организации, ответственной от имени Заказчика за ведение строительного контроля на Объекте (далее – Строительный контроль), представителей организации, ответственной за ведение авторского надзора на Объекте (далее – Авторский надзор), дату их составления.</w:t>
            </w:r>
          </w:p>
          <w:p>
            <w:pPr>
              <w:pStyle w:val="BodyText"/>
              <w:numPr>
                <w:ilvl w:val="0"/>
                <w:numId w:val="2"/>
              </w:numPr>
              <w:tabs>
                <w:tab w:val="clear" w:pos="709"/>
                <w:tab w:val="left" w:pos="0" w:leader="none"/>
                <w:tab w:val="left" w:pos="720" w:leader="none"/>
              </w:tabs>
              <w:suppressAutoHyphens w:val="false"/>
              <w:spacing w:before="0" w:after="0"/>
              <w:ind w:hanging="160" w:start="160"/>
              <w:jc w:val="both"/>
              <w:rPr/>
            </w:pPr>
            <w:r>
              <w:rPr/>
              <w:t>Все передаваемое Заказчику оборудование должно быть укомплектовано заводскими инструкциями (паспортами), гарантийными талонами, а также документацией, поставляемой производителем оборудования.</w:t>
            </w:r>
          </w:p>
          <w:p>
            <w:pPr>
              <w:pStyle w:val="BodyText"/>
              <w:numPr>
                <w:ilvl w:val="0"/>
                <w:numId w:val="2"/>
              </w:numPr>
              <w:tabs>
                <w:tab w:val="clear" w:pos="709"/>
                <w:tab w:val="left" w:pos="0" w:leader="none"/>
                <w:tab w:val="left" w:pos="720" w:leader="none"/>
              </w:tabs>
              <w:suppressAutoHyphens w:val="false"/>
              <w:spacing w:before="0" w:after="0"/>
              <w:ind w:hanging="160" w:start="160"/>
              <w:jc w:val="both"/>
              <w:rPr/>
            </w:pPr>
            <w:r>
              <w:rPr/>
              <w:t>По завершению пуско-наладочных работ Субподрядчик передает Подрядчику\Генподрядчику\Заказчику:</w:t>
            </w:r>
          </w:p>
          <w:p>
            <w:pPr>
              <w:pStyle w:val="BodyText"/>
              <w:tabs>
                <w:tab w:val="clear" w:pos="709"/>
                <w:tab w:val="left" w:pos="0" w:leader="none"/>
              </w:tabs>
              <w:spacing w:before="0" w:after="0"/>
              <w:ind w:start="160"/>
              <w:jc w:val="both"/>
              <w:rPr/>
            </w:pPr>
            <w:r>
              <w:rPr/>
            </w:r>
          </w:p>
          <w:p>
            <w:pPr>
              <w:pStyle w:val="msolistparagraph"/>
              <w:numPr>
                <w:ilvl w:val="0"/>
                <w:numId w:val="19"/>
              </w:numPr>
              <w:spacing w:before="0" w:after="0"/>
              <w:ind w:hanging="280" w:start="500"/>
              <w:contextualSpacing w:val="false"/>
              <w:jc w:val="both"/>
              <w:rPr>
                <w:lang w:val="ru-RU"/>
              </w:rPr>
            </w:pPr>
            <w:r>
              <w:rPr>
                <w:lang w:val="ru-RU"/>
              </w:rPr>
              <w:t>Паспорт на БМК с дымовой трубой.</w:t>
            </w:r>
          </w:p>
          <w:p>
            <w:pPr>
              <w:pStyle w:val="msolistparagraph"/>
              <w:numPr>
                <w:ilvl w:val="0"/>
                <w:numId w:val="19"/>
              </w:numPr>
              <w:spacing w:before="0" w:after="0"/>
              <w:ind w:hanging="280" w:start="500"/>
              <w:contextualSpacing w:val="false"/>
              <w:jc w:val="both"/>
              <w:rPr>
                <w:lang w:val="ru-RU"/>
              </w:rPr>
            </w:pPr>
            <w:r>
              <w:rPr>
                <w:lang w:val="ru-RU"/>
              </w:rPr>
              <w:t>Инструкции по эксплуатации на БМК.</w:t>
            </w:r>
          </w:p>
          <w:p>
            <w:pPr>
              <w:pStyle w:val="msolistparagraph"/>
              <w:numPr>
                <w:ilvl w:val="0"/>
                <w:numId w:val="19"/>
              </w:numPr>
              <w:spacing w:before="0" w:after="0"/>
              <w:ind w:hanging="280" w:start="500"/>
              <w:contextualSpacing w:val="false"/>
              <w:jc w:val="both"/>
              <w:rPr>
                <w:lang w:val="ru-RU"/>
              </w:rPr>
            </w:pPr>
            <w:r>
              <w:rPr>
                <w:lang w:val="ru-RU"/>
              </w:rPr>
              <w:t>Исполнительно-техническую документацию, в том числе паспорта и руководства по эксплуатации основного оборудования.</w:t>
            </w:r>
          </w:p>
          <w:p>
            <w:pPr>
              <w:pStyle w:val="msolistparagraph"/>
              <w:numPr>
                <w:ilvl w:val="0"/>
                <w:numId w:val="19"/>
              </w:numPr>
              <w:spacing w:before="0" w:after="0"/>
              <w:ind w:hanging="280" w:start="480"/>
              <w:contextualSpacing w:val="false"/>
              <w:jc w:val="both"/>
              <w:rPr>
                <w:lang w:val="ru-RU"/>
              </w:rPr>
            </w:pPr>
            <w:r>
              <w:rPr>
                <w:lang w:val="ru-RU"/>
              </w:rPr>
              <w:t>Программное обеспечение (ПО) на все оборудование и приборы, требующие использование ПО в период эксплуатации, проведения ремонта с дальнейшим включением в работу, замены на аналогичное устройство.</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tabs>
                <w:tab w:val="clear" w:pos="709"/>
                <w:tab w:val="left" w:pos="2417" w:leader="none"/>
              </w:tabs>
              <w:snapToGrid w:val="false"/>
              <w:spacing w:before="0" w:after="0"/>
              <w:ind w:end="141"/>
              <w:rPr>
                <w:rFonts w:ascii="Times New Roman" w:hAnsi="Times New Roman" w:cs="Times New Roman"/>
                <w:sz w:val="24"/>
                <w:szCs w:val="24"/>
              </w:rPr>
            </w:pPr>
            <w:r>
              <w:rPr>
                <w:rFonts w:cs="Times New Roman" w:ascii="Times New Roman" w:hAnsi="Times New Roman"/>
                <w:sz w:val="24"/>
                <w:szCs w:val="24"/>
              </w:rPr>
              <w:t>Требования к безопасности работ</w:t>
            </w:r>
          </w:p>
        </w:tc>
        <w:tc>
          <w:tcPr>
            <w:tcW w:w="7376" w:type="dxa"/>
            <w:tcBorders>
              <w:start w:val="single" w:sz="4" w:space="0" w:color="000000"/>
              <w:bottom w:val="single" w:sz="4" w:space="0" w:color="000000"/>
              <w:end w:val="single" w:sz="4" w:space="0" w:color="000000"/>
            </w:tcBorders>
          </w:tcPr>
          <w:p>
            <w:pPr>
              <w:pStyle w:val="Normal"/>
              <w:spacing w:before="0" w:after="0"/>
              <w:ind w:firstLine="137" w:start="136" w:end="142"/>
              <w:jc w:val="both"/>
              <w:rPr>
                <w:rFonts w:ascii="Times New Roman" w:hAnsi="Times New Roman" w:cs="Times New Roman"/>
                <w:sz w:val="24"/>
                <w:szCs w:val="24"/>
              </w:rPr>
            </w:pPr>
            <w:r>
              <w:rPr>
                <w:rFonts w:cs="Times New Roman" w:ascii="Times New Roman" w:hAnsi="Times New Roman"/>
                <w:sz w:val="24"/>
                <w:szCs w:val="24"/>
              </w:rPr>
              <w:t>Субподрядчик обязан обеспечить безопасное выполнение работ в соответствии с действующим законодательством Российской Федерации, техническими нормами, регламентами, иными нормативными правовыми актами, регулирующими выполнение строительно-монтажных работ, охрану и использование земель, а также градостроительную деятельность в объемах, необходимых и достаточных для: качественного выполнения работ и принятия обоснованных технических решений, обеспечивающих соблюдение установленных настоящим заданием основных параметров Объекта: в том числе требованиям СП 49.13330.2010 «СНиП 12-03-2001 «Безопасность труда в строительстве. Часть 1. Общие требования», СНиП 12-04-2002 «Безопасность труда в строительстве. Часть 2. Строительное производство», СП 2.2.3670-20 «Санитарно-эпидемиологические требования к условиям труда», приказ Ростехнадзора от 26.11.2020 № 461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 приказ Ростехнадзора от 15.12.2020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приказ Минтруда России от 15.12.2020 № 903н (ред. от 29.04.2022) «Об утверждении Правил по охране труда при эксплуатации электроустановок»,</w:t>
            </w:r>
            <w:r>
              <w:rPr/>
              <w:t xml:space="preserve"> </w:t>
            </w:r>
            <w:r>
              <w:rPr>
                <w:rFonts w:cs="Times New Roman" w:ascii="Times New Roman" w:hAnsi="Times New Roman"/>
                <w:sz w:val="24"/>
                <w:szCs w:val="24"/>
              </w:rPr>
              <w:t>приказ Минтруда России от 16.11.2020 № 782н «Об утверждении Правил по охране труда при работе на высоте».</w:t>
            </w:r>
          </w:p>
          <w:p>
            <w:pPr>
              <w:pStyle w:val="Normal"/>
              <w:spacing w:before="0" w:after="0"/>
              <w:ind w:firstLine="137" w:start="136" w:end="142"/>
              <w:jc w:val="both"/>
              <w:rPr>
                <w:rFonts w:ascii="Times New Roman" w:hAnsi="Times New Roman" w:cs="Times New Roman"/>
                <w:sz w:val="24"/>
                <w:szCs w:val="24"/>
              </w:rPr>
            </w:pPr>
            <w:r>
              <w:rPr>
                <w:rFonts w:cs="Times New Roman" w:ascii="Times New Roman" w:hAnsi="Times New Roman"/>
                <w:sz w:val="24"/>
                <w:szCs w:val="24"/>
              </w:rPr>
              <w:t>До начала производства работ назначить приказом ответственного по Объекту за пожарную безопасность, технику безопасности и предоставить Подрядчику.</w:t>
            </w:r>
          </w:p>
          <w:p>
            <w:pPr>
              <w:pStyle w:val="Normal"/>
              <w:spacing w:before="0" w:after="0"/>
              <w:ind w:firstLine="137" w:start="136" w:end="142"/>
              <w:jc w:val="both"/>
              <w:rPr>
                <w:rFonts w:ascii="Times New Roman" w:hAnsi="Times New Roman" w:cs="Times New Roman"/>
                <w:sz w:val="24"/>
                <w:szCs w:val="24"/>
              </w:rPr>
            </w:pPr>
            <w:r>
              <w:rPr>
                <w:rFonts w:cs="Times New Roman" w:ascii="Times New Roman" w:hAnsi="Times New Roman"/>
                <w:sz w:val="24"/>
                <w:szCs w:val="24"/>
              </w:rPr>
              <w:t>До начала производства работ назначить приказом ответственного за производства работ, ответственного за ведение строительного контроля на Объекте и предоставить Подрядчику.</w:t>
            </w:r>
          </w:p>
          <w:p>
            <w:pPr>
              <w:pStyle w:val="Normal"/>
              <w:spacing w:before="0" w:after="0"/>
              <w:ind w:firstLine="137" w:start="136" w:end="142"/>
              <w:jc w:val="both"/>
              <w:rPr/>
            </w:pPr>
            <w:r>
              <w:rPr>
                <w:rFonts w:cs="Times New Roman" w:ascii="Times New Roman" w:hAnsi="Times New Roman"/>
                <w:sz w:val="24"/>
                <w:szCs w:val="24"/>
              </w:rPr>
              <w:t>Подключение и переключение нагрузок на распределительные щиты производить строго по предварительной заявке Заказчику совместно с представителями эксплуатирующей организации.</w:t>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snapToGrid w:val="false"/>
              <w:spacing w:before="0" w:after="0"/>
              <w:ind w:end="284"/>
              <w:rPr>
                <w:rFonts w:ascii="Times New Roman" w:hAnsi="Times New Roman" w:cs="Times New Roman"/>
                <w:sz w:val="24"/>
                <w:szCs w:val="24"/>
              </w:rPr>
            </w:pPr>
            <w:r>
              <w:rPr>
                <w:rFonts w:cs="Times New Roman" w:ascii="Times New Roman" w:hAnsi="Times New Roman"/>
                <w:sz w:val="24"/>
                <w:szCs w:val="24"/>
              </w:rPr>
              <w:t>Охрана окружающей среды</w:t>
            </w:r>
          </w:p>
        </w:tc>
        <w:tc>
          <w:tcPr>
            <w:tcW w:w="7376" w:type="dxa"/>
            <w:tcBorders>
              <w:start w:val="single" w:sz="4" w:space="0" w:color="000000"/>
              <w:bottom w:val="single" w:sz="4" w:space="0" w:color="000000"/>
              <w:end w:val="single" w:sz="4" w:space="0" w:color="000000"/>
            </w:tcBorders>
          </w:tcPr>
          <w:p>
            <w:pPr>
              <w:pStyle w:val="Normal"/>
              <w:spacing w:before="0" w:after="0"/>
              <w:ind w:firstLine="137" w:start="136" w:end="142"/>
              <w:jc w:val="both"/>
              <w:rPr>
                <w:rFonts w:ascii="Times New Roman" w:hAnsi="Times New Roman" w:cs="Times New Roman"/>
                <w:sz w:val="24"/>
                <w:szCs w:val="24"/>
              </w:rPr>
            </w:pPr>
            <w:r>
              <w:rPr>
                <w:rFonts w:cs="Times New Roman" w:ascii="Times New Roman" w:hAnsi="Times New Roman"/>
                <w:sz w:val="24"/>
                <w:szCs w:val="24"/>
              </w:rPr>
              <w:t>В соответствии с требованиями действующего законодательства РФ. Во время выполнения работ и после завершения работ Субподрядчик обязан осуществлять своевременный вывоз строительного мусора, излишков грунта и иных отходов, образовавшихся в ходе выполнения работ, на специализированный полигон (полигоны) для последующей утилизации в соответствии с законодательством Российской Федерации в области обращения с отходами производства и потребления и проектной/рабочей документацией. Вывоз мусора и отходов должен быть произведен до сдачи результата выполненных работ Подрядчику.</w:t>
            </w:r>
          </w:p>
          <w:p>
            <w:pPr>
              <w:pStyle w:val="Normal"/>
              <w:spacing w:before="0" w:after="0"/>
              <w:ind w:firstLine="137" w:start="136" w:end="142"/>
              <w:jc w:val="both"/>
              <w:rPr>
                <w:rFonts w:ascii="Times New Roman" w:hAnsi="Times New Roman" w:cs="Times New Roman"/>
                <w:sz w:val="24"/>
                <w:szCs w:val="24"/>
              </w:rPr>
            </w:pPr>
            <w:r>
              <w:rPr>
                <w:rFonts w:cs="Times New Roman" w:ascii="Times New Roman" w:hAnsi="Times New Roman"/>
                <w:sz w:val="24"/>
                <w:szCs w:val="24"/>
              </w:rPr>
            </w:r>
          </w:p>
        </w:tc>
      </w:tr>
      <w:tr>
        <w:trPr/>
        <w:tc>
          <w:tcPr>
            <w:tcW w:w="562" w:type="dxa"/>
            <w:tcBorders>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start w:val="single" w:sz="4" w:space="0" w:color="000000"/>
              <w:bottom w:val="single" w:sz="4" w:space="0" w:color="000000"/>
            </w:tcBorders>
          </w:tcPr>
          <w:p>
            <w:pPr>
              <w:pStyle w:val="Normal"/>
              <w:snapToGrid w:val="false"/>
              <w:spacing w:before="0" w:after="0"/>
              <w:ind w:end="284"/>
              <w:jc w:val="both"/>
              <w:rPr>
                <w:rFonts w:ascii="Times New Roman" w:hAnsi="Times New Roman" w:cs="Times New Roman"/>
                <w:sz w:val="24"/>
                <w:szCs w:val="24"/>
              </w:rPr>
            </w:pPr>
            <w:r>
              <w:rPr>
                <w:rFonts w:cs="Times New Roman" w:ascii="Times New Roman" w:hAnsi="Times New Roman"/>
                <w:sz w:val="24"/>
                <w:szCs w:val="24"/>
              </w:rPr>
              <w:t>Гарантийные обязательства</w:t>
            </w:r>
          </w:p>
        </w:tc>
        <w:tc>
          <w:tcPr>
            <w:tcW w:w="7376" w:type="dxa"/>
            <w:tcBorders>
              <w:start w:val="single" w:sz="4" w:space="0" w:color="000000"/>
              <w:bottom w:val="single" w:sz="4" w:space="0" w:color="000000"/>
              <w:end w:val="single" w:sz="4" w:space="0" w:color="000000"/>
            </w:tcBorders>
          </w:tcPr>
          <w:p>
            <w:pPr>
              <w:pStyle w:val="Normal"/>
              <w:spacing w:before="0" w:after="0"/>
              <w:ind w:firstLine="137" w:start="136" w:end="142"/>
              <w:jc w:val="both"/>
              <w:rPr/>
            </w:pPr>
            <w:r>
              <w:rPr>
                <w:rFonts w:cs="Times New Roman" w:ascii="Times New Roman" w:hAnsi="Times New Roman"/>
                <w:sz w:val="24"/>
                <w:szCs w:val="24"/>
              </w:rPr>
              <w:t xml:space="preserve">Гарантийный срок законченного строительством объекта капитального строительства, входящих в него объектов, конструктивных элементов, конструкций, материалов, изделий и работ – 2 года с даты подписания акта приемки законченного строительством объекта приемочной комиссией. </w:t>
            </w:r>
          </w:p>
        </w:tc>
      </w:tr>
      <w:tr>
        <w:trPr>
          <w:trHeight w:val="556" w:hRule="atLeast"/>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spacing w:before="0" w:after="0"/>
              <w:ind w:end="284"/>
              <w:jc w:val="both"/>
              <w:rPr>
                <w:rFonts w:ascii="Times New Roman" w:hAnsi="Times New Roman" w:cs="Times New Roman"/>
                <w:sz w:val="24"/>
                <w:szCs w:val="24"/>
              </w:rPr>
            </w:pPr>
            <w:r>
              <w:rPr>
                <w:rFonts w:cs="Times New Roman" w:ascii="Times New Roman" w:hAnsi="Times New Roman"/>
                <w:sz w:val="24"/>
                <w:szCs w:val="24"/>
              </w:rPr>
              <w:t>Особые условия</w:t>
            </w:r>
          </w:p>
        </w:tc>
        <w:tc>
          <w:tcPr>
            <w:tcW w:w="7376" w:type="dxa"/>
            <w:tcBorders>
              <w:top w:val="single" w:sz="4" w:space="0" w:color="000000"/>
              <w:start w:val="single" w:sz="4" w:space="0" w:color="000000"/>
              <w:bottom w:val="single" w:sz="4" w:space="0" w:color="000000"/>
              <w:end w:val="single" w:sz="4" w:space="0" w:color="000000"/>
            </w:tcBorders>
          </w:tcPr>
          <w:p>
            <w:pPr>
              <w:pStyle w:val="Normal"/>
              <w:spacing w:before="0" w:after="0"/>
              <w:ind w:firstLine="137" w:start="136" w:end="142"/>
              <w:jc w:val="both"/>
              <w:rPr>
                <w:rFonts w:ascii="Times New Roman" w:hAnsi="Times New Roman" w:cs="Times New Roman"/>
                <w:sz w:val="24"/>
                <w:szCs w:val="24"/>
              </w:rPr>
            </w:pPr>
            <w:r>
              <w:rPr>
                <w:rFonts w:cs="Times New Roman" w:ascii="Times New Roman" w:hAnsi="Times New Roman"/>
                <w:sz w:val="24"/>
                <w:szCs w:val="24"/>
              </w:rPr>
              <w:t>Работы должны быть выполнены в соответствии с требованиями действующих на территории РФ законодательных актов, норм и правил, в частности экологических, противопожарных, санитарно-гигиенических, и других и обеспечивать безопасную для жизни и здоровья людей эксплуатацию Объекта.</w:t>
            </w:r>
          </w:p>
          <w:p>
            <w:pPr>
              <w:pStyle w:val="Normal"/>
              <w:spacing w:before="0" w:after="0"/>
              <w:ind w:firstLine="137" w:start="136" w:end="142"/>
              <w:jc w:val="both"/>
              <w:rPr>
                <w:rFonts w:ascii="Times New Roman" w:hAnsi="Times New Roman" w:cs="Times New Roman"/>
                <w:sz w:val="24"/>
                <w:szCs w:val="24"/>
              </w:rPr>
            </w:pPr>
            <w:r>
              <w:rPr>
                <w:rFonts w:cs="Times New Roman" w:ascii="Times New Roman" w:hAnsi="Times New Roman"/>
                <w:sz w:val="24"/>
                <w:szCs w:val="24"/>
              </w:rPr>
              <w:t xml:space="preserve">Субподрядчик своими силами в соответствии с требованиями действующего законодательства РФ проводит согласование порядка выполнения работ;; </w:t>
            </w:r>
          </w:p>
          <w:p>
            <w:pPr>
              <w:pStyle w:val="Normal"/>
              <w:spacing w:before="0" w:after="0"/>
              <w:ind w:firstLine="137" w:start="136" w:end="142"/>
              <w:jc w:val="both"/>
              <w:rPr>
                <w:rFonts w:ascii="Times New Roman" w:hAnsi="Times New Roman" w:cs="Times New Roman"/>
                <w:sz w:val="24"/>
                <w:szCs w:val="24"/>
              </w:rPr>
            </w:pPr>
            <w:r>
              <w:rPr>
                <w:rFonts w:cs="Times New Roman" w:ascii="Times New Roman" w:hAnsi="Times New Roman"/>
                <w:sz w:val="24"/>
                <w:szCs w:val="24"/>
              </w:rPr>
              <w:t>Для обеспечения  безопасности движения на дорогах общего пользования и предотвращения возможных происшествий и аварийных ситуаций с искусственными надземными сооружениями  при выезде с территории ОЭЗ ППТ «Пермь» транспортных средств  габариты которых превышают допустимые, Субподрядчик обязан своими силами предусмотреть установку конструкции по устройству ограничения высоты проезда на всех используемых им выездах с территории Особой экономической зоны промышленно-производственного типа «Пермь». Работы по устройству ограничителей габаритного проезда выполнять в соответствии с действующим на территории РФ законодательством, строительными нормами и правилами</w:t>
            </w:r>
            <w:r>
              <w:rPr>
                <w:rStyle w:val="FontStyle20"/>
                <w:rFonts w:eastAsia="" w:eastAsiaTheme="majorEastAsia"/>
                <w:lang w:eastAsia="ar-SA"/>
              </w:rPr>
              <w:t>. Данные мероприятия также необходимо отобразить при разработке проекта производства работ.</w:t>
            </w:r>
          </w:p>
          <w:p>
            <w:pPr>
              <w:pStyle w:val="Normal"/>
              <w:spacing w:before="0" w:after="0"/>
              <w:ind w:firstLine="137" w:start="136" w:end="142"/>
              <w:jc w:val="both"/>
              <w:rPr>
                <w:rFonts w:ascii="Times New Roman" w:hAnsi="Times New Roman" w:cs="Times New Roman"/>
                <w:sz w:val="24"/>
                <w:szCs w:val="24"/>
              </w:rPr>
            </w:pPr>
            <w:r>
              <w:rPr>
                <w:rFonts w:cs="Times New Roman" w:ascii="Times New Roman" w:hAnsi="Times New Roman"/>
                <w:sz w:val="24"/>
                <w:szCs w:val="24"/>
              </w:rPr>
              <w:t>Субподрядчик самостоятельно разрабатывает и согласовывает с Подрядчиком, Строительным контролем проект производства работ, выполненный в соответствии с требованиями действующих на территории РФ законодательных и иных нормативных актов,  в частности: охраны труда, экологии, пожарной безопасности и т.д. и направляет его Подрядчику не позднее, чем за 10 рабочих дней до начала выполнения работ.</w:t>
            </w:r>
          </w:p>
          <w:p>
            <w:pPr>
              <w:pStyle w:val="Normal"/>
              <w:spacing w:before="0" w:after="0"/>
              <w:ind w:firstLine="137" w:start="136" w:end="142"/>
              <w:jc w:val="both"/>
              <w:rPr>
                <w:rFonts w:ascii="Times New Roman" w:hAnsi="Times New Roman" w:cs="Times New Roman"/>
                <w:sz w:val="24"/>
                <w:szCs w:val="24"/>
              </w:rPr>
            </w:pPr>
            <w:r>
              <w:rPr>
                <w:rFonts w:cs="Times New Roman" w:ascii="Times New Roman" w:hAnsi="Times New Roman"/>
                <w:sz w:val="24"/>
                <w:szCs w:val="24"/>
              </w:rPr>
              <w:t>После заключения Договора Субподрядчик самостоятельно инициирует запрос о предоставлении доверенности на представление интересов Подрядчика в уполномоченных органах, организациях, а также перед гражданами, в случае необходимости такой доверенности  для получения информации и документов, которые являются обязательными для выполнения работ, оказания услуг, сопровождения процессов согласований и получения разрешений, необходимых для достижения целей и результатов, установленных заключенным Договором.</w:t>
            </w:r>
          </w:p>
          <w:p>
            <w:pPr>
              <w:pStyle w:val="Normal"/>
              <w:spacing w:before="0" w:after="0"/>
              <w:ind w:firstLine="137" w:start="136" w:end="142"/>
              <w:jc w:val="both"/>
              <w:rPr>
                <w:rFonts w:ascii="Times New Roman" w:hAnsi="Times New Roman" w:cs="Times New Roman"/>
                <w:sz w:val="24"/>
                <w:szCs w:val="24"/>
              </w:rPr>
            </w:pPr>
            <w:r>
              <w:rPr>
                <w:rFonts w:cs="Times New Roman" w:ascii="Times New Roman" w:hAnsi="Times New Roman"/>
                <w:sz w:val="24"/>
                <w:szCs w:val="24"/>
              </w:rPr>
              <w:t>Субподрядчик по запросу Подрядчика, либо Заказчика, в течение 1 (одного) рабочего дня обязан информировать о ходе исполнения Договора. Запрос и ответ на него предоставляются письменно с использованием электронной почты или нарочно.</w:t>
            </w:r>
          </w:p>
          <w:p>
            <w:pPr>
              <w:pStyle w:val="Normal"/>
              <w:tabs>
                <w:tab w:val="clear" w:pos="709"/>
                <w:tab w:val="left" w:pos="548" w:leader="none"/>
              </w:tabs>
              <w:snapToGrid w:val="false"/>
              <w:spacing w:before="0" w:after="0"/>
              <w:ind w:firstLine="137" w:start="136" w:end="142"/>
              <w:jc w:val="both"/>
              <w:rPr>
                <w:rFonts w:ascii="Times New Roman" w:hAnsi="Times New Roman" w:cs="Times New Roman"/>
                <w:sz w:val="24"/>
                <w:szCs w:val="24"/>
              </w:rPr>
            </w:pPr>
            <w:r>
              <w:rPr>
                <w:rFonts w:cs="Times New Roman" w:ascii="Times New Roman" w:hAnsi="Times New Roman"/>
                <w:sz w:val="24"/>
                <w:szCs w:val="24"/>
              </w:rPr>
              <w:t>При предъявлении и сдачи выполненных работ, Субподрядчик передает Подрядчику комплект исполнительной документации в соответствии с техническим заданием, проектной и рабочей документацией. В случае, не предоставления исполнительной документации, работы Подрядчиком не принимаются и не оплачиваются.</w:t>
            </w:r>
          </w:p>
        </w:tc>
      </w:tr>
      <w:tr>
        <w:trPr>
          <w:trHeight w:val="556" w:hRule="atLeast"/>
        </w:trPr>
        <w:tc>
          <w:tcPr>
            <w:tcW w:w="562" w:type="dxa"/>
            <w:tcBorders>
              <w:top w:val="single" w:sz="4" w:space="0" w:color="000000"/>
              <w:start w:val="single" w:sz="4" w:space="0" w:color="000000"/>
              <w:bottom w:val="single" w:sz="4" w:space="0" w:color="000000"/>
            </w:tcBorders>
          </w:tcPr>
          <w:p>
            <w:pPr>
              <w:pStyle w:val="ListParagraph"/>
              <w:numPr>
                <w:ilvl w:val="0"/>
                <w:numId w:val="1"/>
              </w:numPr>
              <w:tabs>
                <w:tab w:val="clear" w:pos="709"/>
                <w:tab w:val="left" w:pos="286" w:leader="none"/>
              </w:tabs>
              <w:snapToGrid w:val="false"/>
              <w:spacing w:lineRule="auto" w:line="240" w:before="0" w:after="0"/>
              <w:ind w:hanging="0" w:start="0"/>
              <w:contextualSpacing/>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start w:val="single" w:sz="4" w:space="0" w:color="000000"/>
              <w:bottom w:val="single" w:sz="4" w:space="0" w:color="000000"/>
            </w:tcBorders>
          </w:tcPr>
          <w:p>
            <w:pPr>
              <w:pStyle w:val="Normal"/>
              <w:spacing w:before="0" w:after="0"/>
              <w:ind w:end="284"/>
              <w:jc w:val="both"/>
              <w:rPr>
                <w:rFonts w:ascii="Times New Roman" w:hAnsi="Times New Roman" w:cs="Times New Roman"/>
                <w:sz w:val="24"/>
                <w:szCs w:val="24"/>
              </w:rPr>
            </w:pPr>
            <w:r>
              <w:rPr>
                <w:rFonts w:cs="Times New Roman" w:ascii="Times New Roman" w:hAnsi="Times New Roman"/>
                <w:sz w:val="24"/>
                <w:szCs w:val="24"/>
              </w:rPr>
              <w:t>Приложения</w:t>
            </w:r>
          </w:p>
        </w:tc>
        <w:tc>
          <w:tcPr>
            <w:tcW w:w="7376" w:type="dxa"/>
            <w:tcBorders>
              <w:top w:val="single" w:sz="4" w:space="0" w:color="000000"/>
              <w:start w:val="single" w:sz="4" w:space="0" w:color="000000"/>
              <w:bottom w:val="single" w:sz="4" w:space="0" w:color="000000"/>
              <w:end w:val="single" w:sz="4" w:space="0" w:color="000000"/>
            </w:tcBorders>
          </w:tcPr>
          <w:p>
            <w:pPr>
              <w:pStyle w:val="Normal"/>
              <w:spacing w:before="0" w:after="0"/>
              <w:ind w:hanging="3" w:start="136" w:end="142"/>
              <w:jc w:val="both"/>
              <w:rPr>
                <w:rFonts w:ascii="Times New Roman" w:hAnsi="Times New Roman" w:cs="Times New Roman"/>
                <w:sz w:val="24"/>
                <w:szCs w:val="24"/>
              </w:rPr>
            </w:pPr>
            <w:r>
              <w:rPr>
                <w:rFonts w:cs="Times New Roman" w:ascii="Times New Roman" w:hAnsi="Times New Roman"/>
                <w:sz w:val="24"/>
                <w:szCs w:val="24"/>
              </w:rPr>
              <w:t>1. Технические отчеты по инженерным изысканиям (шифр 5-1139-2) – 15 томов – размещено по ссылке в документации.</w:t>
            </w:r>
          </w:p>
          <w:p>
            <w:pPr>
              <w:pStyle w:val="Normal"/>
              <w:spacing w:before="0" w:after="0"/>
              <w:ind w:hanging="3" w:start="136" w:end="142"/>
              <w:jc w:val="both"/>
              <w:rPr>
                <w:rFonts w:ascii="Times New Roman" w:hAnsi="Times New Roman" w:cs="Times New Roman"/>
                <w:sz w:val="24"/>
                <w:szCs w:val="24"/>
              </w:rPr>
            </w:pPr>
            <w:r>
              <w:rPr>
                <w:rFonts w:cs="Times New Roman" w:ascii="Times New Roman" w:hAnsi="Times New Roman"/>
                <w:sz w:val="24"/>
                <w:szCs w:val="24"/>
              </w:rPr>
              <w:t xml:space="preserve">2. Проектная документация (шифр 5-1139-2) – 32 тома </w:t>
            </w:r>
          </w:p>
          <w:p>
            <w:pPr>
              <w:pStyle w:val="Normal"/>
              <w:spacing w:before="0" w:after="0"/>
              <w:ind w:hanging="3" w:start="136" w:end="142"/>
              <w:jc w:val="both"/>
              <w:rPr>
                <w:rFonts w:ascii="Times New Roman" w:hAnsi="Times New Roman" w:cs="Times New Roman"/>
                <w:sz w:val="24"/>
                <w:szCs w:val="24"/>
              </w:rPr>
            </w:pPr>
            <w:r>
              <w:rPr>
                <w:rFonts w:cs="Times New Roman" w:ascii="Times New Roman" w:hAnsi="Times New Roman"/>
                <w:sz w:val="24"/>
                <w:szCs w:val="24"/>
              </w:rPr>
              <w:t>3. Рабочая документация (шифр 5-1139-Р/2) – 19 томов</w:t>
            </w:r>
          </w:p>
          <w:p>
            <w:pPr>
              <w:pStyle w:val="Normal"/>
              <w:spacing w:before="0" w:after="0"/>
              <w:ind w:hanging="3" w:start="136" w:end="142"/>
              <w:jc w:val="both"/>
              <w:rPr>
                <w:rFonts w:ascii="Times New Roman" w:hAnsi="Times New Roman" w:cs="Times New Roman"/>
                <w:sz w:val="24"/>
                <w:szCs w:val="24"/>
              </w:rPr>
            </w:pPr>
            <w:r>
              <w:rPr>
                <w:rFonts w:cs="Times New Roman" w:ascii="Times New Roman" w:hAnsi="Times New Roman"/>
                <w:sz w:val="24"/>
                <w:szCs w:val="24"/>
              </w:rPr>
              <w:t>4. Внешний USB-накопитель в 1 экземпляре: с ПД (шифр 5-1139-2) и РД (шифр 5-1139-Р/2) в формате .pdf – скан-копии подлинника и в  форматах .dwg и .mif исполнительные схемы в масштабе 1:500, текстовые и табличные материалы в форматах .xlsx и .word</w:t>
            </w:r>
          </w:p>
          <w:p>
            <w:pPr>
              <w:pStyle w:val="Normal"/>
              <w:spacing w:before="0" w:after="0"/>
              <w:ind w:hanging="3" w:start="136" w:end="142"/>
              <w:jc w:val="both"/>
              <w:rPr>
                <w:rFonts w:ascii="Times New Roman" w:hAnsi="Times New Roman" w:cs="Times New Roman"/>
                <w:sz w:val="24"/>
                <w:szCs w:val="24"/>
              </w:rPr>
            </w:pPr>
            <w:r>
              <w:rPr>
                <w:rFonts w:cs="Times New Roman" w:ascii="Times New Roman" w:hAnsi="Times New Roman"/>
                <w:sz w:val="24"/>
                <w:szCs w:val="24"/>
              </w:rPr>
              <w:t>5. Форма «Еженедельный отчет о ходе выполнения работ» - на 1 л.</w:t>
            </w:r>
          </w:p>
          <w:p>
            <w:pPr>
              <w:pStyle w:val="Normal"/>
              <w:spacing w:before="0" w:after="0"/>
              <w:ind w:hanging="3" w:start="136" w:end="142"/>
              <w:jc w:val="both"/>
              <w:rPr>
                <w:rFonts w:ascii="Times New Roman" w:hAnsi="Times New Roman" w:cs="Times New Roman"/>
                <w:sz w:val="24"/>
                <w:szCs w:val="24"/>
              </w:rPr>
            </w:pPr>
            <w:r>
              <w:rPr>
                <w:rFonts w:cs="Times New Roman" w:ascii="Times New Roman" w:hAnsi="Times New Roman"/>
                <w:sz w:val="24"/>
                <w:szCs w:val="24"/>
              </w:rPr>
              <w:t xml:space="preserve">6. </w:t>
            </w:r>
            <w:bookmarkStart w:id="5" w:name="_Hlk200035052"/>
            <w:r>
              <w:rPr>
                <w:rFonts w:cs="Times New Roman" w:ascii="Times New Roman" w:hAnsi="Times New Roman"/>
                <w:sz w:val="24"/>
                <w:szCs w:val="24"/>
              </w:rPr>
              <w:t>Перечень нормативных документов, обязательных при выполнении работ</w:t>
            </w:r>
            <w:bookmarkEnd w:id="5"/>
            <w:r>
              <w:rPr>
                <w:rFonts w:cs="Times New Roman" w:ascii="Times New Roman" w:hAnsi="Times New Roman"/>
                <w:sz w:val="24"/>
                <w:szCs w:val="24"/>
              </w:rPr>
              <w:t xml:space="preserve"> – на 27 л.</w:t>
            </w:r>
          </w:p>
          <w:p>
            <w:pPr>
              <w:pStyle w:val="Normal"/>
              <w:spacing w:before="0" w:after="0"/>
              <w:ind w:hanging="3" w:start="136" w:end="142"/>
              <w:jc w:val="both"/>
              <w:rPr>
                <w:rFonts w:ascii="Times New Roman" w:hAnsi="Times New Roman" w:cs="Times New Roman"/>
                <w:sz w:val="24"/>
                <w:szCs w:val="24"/>
              </w:rPr>
            </w:pPr>
            <w:r>
              <w:rPr>
                <w:rFonts w:cs="Times New Roman" w:ascii="Times New Roman" w:hAnsi="Times New Roman"/>
                <w:sz w:val="24"/>
                <w:szCs w:val="24"/>
              </w:rPr>
              <w:t>7. Перечень обязательной исполнительной документации – на 27 л.</w:t>
            </w:r>
          </w:p>
          <w:p>
            <w:pPr>
              <w:pStyle w:val="Normal"/>
              <w:spacing w:before="0" w:after="0"/>
              <w:ind w:hanging="3" w:start="136" w:end="142"/>
              <w:jc w:val="both"/>
              <w:rPr>
                <w:rFonts w:ascii="Times New Roman" w:hAnsi="Times New Roman" w:cs="Times New Roman"/>
                <w:sz w:val="24"/>
                <w:szCs w:val="24"/>
              </w:rPr>
            </w:pPr>
            <w:r>
              <w:rPr>
                <w:rFonts w:cs="Times New Roman" w:ascii="Times New Roman" w:hAnsi="Times New Roman"/>
                <w:sz w:val="24"/>
                <w:szCs w:val="24"/>
              </w:rPr>
              <w:t>Все приложения доступны по Интернет-ссылке, URL:</w:t>
            </w:r>
          </w:p>
          <w:p>
            <w:pPr>
              <w:pStyle w:val="Normal"/>
              <w:spacing w:before="0" w:after="0"/>
              <w:ind w:hanging="3" w:start="136" w:end="142"/>
              <w:jc w:val="both"/>
              <w:rPr>
                <w:rFonts w:ascii="Times New Roman" w:hAnsi="Times New Roman" w:cs="Times New Roman"/>
                <w:sz w:val="24"/>
                <w:szCs w:val="24"/>
              </w:rPr>
            </w:pPr>
            <w:r>
              <w:rPr>
                <w:rFonts w:cs="Times New Roman" w:ascii="Times New Roman" w:hAnsi="Times New Roman"/>
                <w:sz w:val="24"/>
                <w:szCs w:val="24"/>
              </w:rPr>
              <w:t xml:space="preserve">https://drive.rt.ru/pbl/d439dff5-923b-11f1-b11a-b026285a8d4e </w:t>
            </w:r>
          </w:p>
        </w:tc>
      </w:tr>
    </w:tbl>
    <w:p>
      <w:pPr>
        <w:pStyle w:val="Normal"/>
        <w:spacing w:lineRule="auto" w:line="240" w:before="0" w:after="0"/>
        <w:ind w:end="284"/>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ind w:end="284"/>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ind w:end="284"/>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ind w:end="284"/>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ind w:end="284"/>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ind w:end="284"/>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ind w:end="284"/>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ind w:end="284"/>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ind w:end="284"/>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ind w:end="284"/>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ind w:end="284"/>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11211"/>
        <w:ind w:firstLine="709"/>
        <w:jc w:val="center"/>
        <w:rPr>
          <w:b/>
          <w:sz w:val="24"/>
          <w:szCs w:val="24"/>
        </w:rPr>
      </w:pPr>
      <w:r>
        <w:rPr>
          <w:b/>
          <w:sz w:val="24"/>
          <w:szCs w:val="24"/>
        </w:rPr>
        <w:t>График исполнения обязательств</w:t>
      </w:r>
    </w:p>
    <w:p>
      <w:pPr>
        <w:pStyle w:val="11211"/>
        <w:ind w:firstLine="709"/>
        <w:jc w:val="center"/>
        <w:rPr>
          <w:b/>
          <w:sz w:val="24"/>
          <w:szCs w:val="24"/>
        </w:rPr>
      </w:pPr>
      <w:r>
        <w:rPr>
          <w:b/>
          <w:sz w:val="24"/>
          <w:szCs w:val="24"/>
        </w:rPr>
      </w:r>
    </w:p>
    <w:tbl>
      <w:tblPr>
        <w:tblStyle w:val="afb"/>
        <w:tblW w:w="9780"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44"/>
        <w:gridCol w:w="2367"/>
        <w:gridCol w:w="2968"/>
        <w:gridCol w:w="4001"/>
      </w:tblGrid>
      <w:tr>
        <w:trPr/>
        <w:tc>
          <w:tcPr>
            <w:tcW w:w="444" w:type="dxa"/>
            <w:tcBorders/>
          </w:tcPr>
          <w:p>
            <w:pPr>
              <w:pStyle w:val="11211"/>
              <w:widowControl/>
              <w:spacing w:before="0" w:after="0"/>
              <w:ind w:firstLine="22"/>
              <w:jc w:val="center"/>
              <w:rPr>
                <w:b/>
                <w:bCs/>
                <w:sz w:val="24"/>
                <w:szCs w:val="24"/>
              </w:rPr>
            </w:pPr>
            <w:r>
              <w:rPr>
                <w:rFonts w:eastAsia="Times New Roman" w:cs="Times New Roman"/>
                <w:b/>
                <w:bCs/>
                <w:color w:val="000000"/>
                <w:kern w:val="0"/>
                <w:sz w:val="24"/>
                <w:szCs w:val="24"/>
                <w:lang w:val="ru-RU" w:eastAsia="ru-RU" w:bidi="ar-SA"/>
              </w:rPr>
              <w:t>№</w:t>
            </w:r>
          </w:p>
        </w:tc>
        <w:tc>
          <w:tcPr>
            <w:tcW w:w="2367" w:type="dxa"/>
            <w:tcBorders/>
          </w:tcPr>
          <w:p>
            <w:pPr>
              <w:pStyle w:val="11211"/>
              <w:widowControl/>
              <w:spacing w:before="0" w:after="0"/>
              <w:ind w:firstLine="22"/>
              <w:jc w:val="center"/>
              <w:rPr>
                <w:b/>
                <w:bCs/>
                <w:sz w:val="24"/>
                <w:szCs w:val="24"/>
              </w:rPr>
            </w:pPr>
            <w:r>
              <w:rPr>
                <w:rFonts w:eastAsia="Times New Roman" w:cs="Times New Roman"/>
                <w:b/>
                <w:bCs/>
                <w:color w:val="000000"/>
                <w:kern w:val="0"/>
                <w:sz w:val="24"/>
                <w:szCs w:val="24"/>
                <w:lang w:val="ru-RU" w:eastAsia="ru-RU" w:bidi="ar-SA"/>
              </w:rPr>
              <w:t>Наименование обязательства</w:t>
            </w:r>
          </w:p>
        </w:tc>
        <w:tc>
          <w:tcPr>
            <w:tcW w:w="2968" w:type="dxa"/>
            <w:tcBorders/>
          </w:tcPr>
          <w:p>
            <w:pPr>
              <w:pStyle w:val="11211"/>
              <w:widowControl/>
              <w:spacing w:before="0" w:after="0"/>
              <w:ind w:firstLine="22"/>
              <w:jc w:val="center"/>
              <w:rPr>
                <w:b/>
                <w:bCs/>
                <w:sz w:val="24"/>
                <w:szCs w:val="24"/>
              </w:rPr>
            </w:pPr>
            <w:r>
              <w:rPr>
                <w:rFonts w:eastAsia="Times New Roman" w:cs="Times New Roman"/>
                <w:b/>
                <w:bCs/>
                <w:color w:val="000000"/>
                <w:kern w:val="0"/>
                <w:sz w:val="24"/>
                <w:szCs w:val="24"/>
                <w:lang w:val="ru-RU" w:eastAsia="ru-RU" w:bidi="ar-SA"/>
              </w:rPr>
              <w:t>Сроки выполнения обязательств</w:t>
            </w:r>
          </w:p>
        </w:tc>
        <w:tc>
          <w:tcPr>
            <w:tcW w:w="4001" w:type="dxa"/>
            <w:tcBorders/>
          </w:tcPr>
          <w:p>
            <w:pPr>
              <w:pStyle w:val="11211"/>
              <w:widowControl/>
              <w:spacing w:before="0" w:after="0"/>
              <w:ind w:firstLine="22"/>
              <w:jc w:val="center"/>
              <w:rPr>
                <w:b/>
                <w:bCs/>
                <w:sz w:val="24"/>
                <w:szCs w:val="24"/>
              </w:rPr>
            </w:pPr>
            <w:r>
              <w:rPr>
                <w:rFonts w:eastAsia="Times New Roman" w:cs="Times New Roman"/>
                <w:b/>
                <w:bCs/>
                <w:color w:val="000000"/>
                <w:kern w:val="0"/>
                <w:sz w:val="24"/>
                <w:szCs w:val="24"/>
                <w:lang w:val="ru-RU" w:eastAsia="ru-RU" w:bidi="ar-SA"/>
              </w:rPr>
              <w:t>Ожидаемый результат/</w:t>
            </w:r>
          </w:p>
          <w:p>
            <w:pPr>
              <w:pStyle w:val="11211"/>
              <w:widowControl/>
              <w:spacing w:before="0" w:after="0"/>
              <w:ind w:firstLine="22"/>
              <w:jc w:val="center"/>
              <w:rPr>
                <w:b/>
                <w:bCs/>
                <w:sz w:val="24"/>
                <w:szCs w:val="24"/>
              </w:rPr>
            </w:pPr>
            <w:r>
              <w:rPr>
                <w:rFonts w:eastAsia="Times New Roman" w:cs="Times New Roman"/>
                <w:b/>
                <w:bCs/>
                <w:color w:val="000000"/>
                <w:kern w:val="0"/>
                <w:sz w:val="24"/>
                <w:szCs w:val="24"/>
                <w:lang w:val="ru-RU" w:eastAsia="ru-RU" w:bidi="ar-SA"/>
              </w:rPr>
              <w:t>отчетные документы</w:t>
            </w:r>
          </w:p>
        </w:tc>
      </w:tr>
      <w:tr>
        <w:trPr/>
        <w:tc>
          <w:tcPr>
            <w:tcW w:w="444" w:type="dxa"/>
            <w:tcBorders/>
          </w:tcPr>
          <w:p>
            <w:pPr>
              <w:pStyle w:val="11211"/>
              <w:widowControl/>
              <w:spacing w:before="0" w:after="0"/>
              <w:ind w:firstLine="22"/>
              <w:jc w:val="center"/>
              <w:rPr>
                <w:sz w:val="24"/>
                <w:szCs w:val="24"/>
              </w:rPr>
            </w:pPr>
            <w:r>
              <w:rPr>
                <w:rFonts w:eastAsia="Times New Roman" w:cs="Times New Roman"/>
                <w:color w:val="000000"/>
                <w:kern w:val="0"/>
                <w:sz w:val="24"/>
                <w:szCs w:val="24"/>
                <w:lang w:val="ru-RU" w:eastAsia="ru-RU" w:bidi="ar-SA"/>
              </w:rPr>
              <w:t>1</w:t>
            </w:r>
          </w:p>
        </w:tc>
        <w:tc>
          <w:tcPr>
            <w:tcW w:w="2367" w:type="dxa"/>
            <w:tcBorders/>
            <w:vAlign w:val="center"/>
          </w:tcPr>
          <w:p>
            <w:pPr>
              <w:pStyle w:val="1111"/>
              <w:widowControl/>
              <w:spacing w:before="0" w:after="0"/>
              <w:ind w:hanging="0"/>
              <w:jc w:val="start"/>
              <w:rPr>
                <w:sz w:val="24"/>
                <w:szCs w:val="24"/>
              </w:rPr>
            </w:pPr>
            <w:r>
              <w:rPr>
                <w:rFonts w:eastAsia="Times New Roman" w:cs="Times New Roman"/>
                <w:color w:val="000000"/>
                <w:kern w:val="0"/>
                <w:sz w:val="24"/>
                <w:szCs w:val="24"/>
                <w:lang w:val="ru-RU" w:eastAsia="ru-RU" w:bidi="ar-SA"/>
              </w:rPr>
              <w:t>Работы, выполняемые в соответствии с Техническим заданием и включающиеся корректировку проектной документации, строительно-монтажные и пусконаладочные работы, обеспечение Работ необходимыми Оборудованием и Материалами и комплектующими.</w:t>
            </w:r>
          </w:p>
        </w:tc>
        <w:tc>
          <w:tcPr>
            <w:tcW w:w="2968" w:type="dxa"/>
            <w:tcBorders/>
            <w:vAlign w:val="center"/>
          </w:tcPr>
          <w:p>
            <w:pPr>
              <w:pStyle w:val="11211"/>
              <w:widowControl/>
              <w:spacing w:before="0" w:after="0"/>
              <w:ind w:firstLine="22"/>
              <w:jc w:val="center"/>
              <w:rPr>
                <w:sz w:val="24"/>
                <w:szCs w:val="24"/>
              </w:rPr>
            </w:pPr>
            <w:r>
              <w:rPr>
                <w:rFonts w:eastAsia="Times New Roman" w:cs="Times New Roman"/>
                <w:color w:val="000000"/>
                <w:kern w:val="0"/>
                <w:sz w:val="24"/>
                <w:szCs w:val="24"/>
                <w:lang w:val="ru-RU" w:eastAsia="ru-RU" w:bidi="ar-SA"/>
              </w:rPr>
              <w:t>30.10.2027</w:t>
            </w:r>
          </w:p>
        </w:tc>
        <w:tc>
          <w:tcPr>
            <w:tcW w:w="4001" w:type="dxa"/>
            <w:tcBorders/>
            <w:vAlign w:val="center"/>
          </w:tcPr>
          <w:p>
            <w:pPr>
              <w:pStyle w:val="Normal"/>
              <w:widowControl/>
              <w:spacing w:before="0" w:after="0"/>
              <w:ind w:firstLine="20"/>
              <w:jc w:val="both"/>
              <w:rPr>
                <w:szCs w:val="24"/>
              </w:rPr>
            </w:pPr>
            <w:r>
              <w:rPr>
                <w:rFonts w:eastAsia="Times New Roman" w:cs="Times New Roman"/>
                <w:color w:val="000000"/>
                <w:kern w:val="0"/>
                <w:szCs w:val="24"/>
                <w:lang w:val="ru-RU" w:eastAsia="ru-RU" w:bidi="ar-SA"/>
              </w:rPr>
              <w:t>Акт по форме КС-2,3</w:t>
            </w:r>
          </w:p>
          <w:p>
            <w:pPr>
              <w:pStyle w:val="Normal"/>
              <w:widowControl/>
              <w:spacing w:before="0" w:after="0"/>
              <w:ind w:firstLine="20"/>
              <w:jc w:val="both"/>
              <w:rPr>
                <w:szCs w:val="24"/>
              </w:rPr>
            </w:pPr>
            <w:r>
              <w:rPr>
                <w:szCs w:val="24"/>
              </w:rPr>
            </w:r>
          </w:p>
          <w:p>
            <w:pPr>
              <w:pStyle w:val="Normal"/>
              <w:widowControl/>
              <w:spacing w:before="0" w:after="0"/>
              <w:ind w:firstLine="20"/>
              <w:jc w:val="start"/>
              <w:rPr>
                <w:szCs w:val="24"/>
              </w:rPr>
            </w:pPr>
            <w:r>
              <w:rPr>
                <w:rFonts w:eastAsia="Times New Roman" w:cs="Times New Roman"/>
                <w:color w:val="000000"/>
                <w:kern w:val="0"/>
                <w:szCs w:val="24"/>
                <w:lang w:val="ru-RU" w:eastAsia="ru-RU" w:bidi="ar-SA"/>
              </w:rPr>
              <w:t>Разрешение (временное) на допуск в эксплуатацию объектов теплоснабжения (и теплопотребляющих) установок</w:t>
            </w:r>
          </w:p>
          <w:p>
            <w:pPr>
              <w:pStyle w:val="Normal"/>
              <w:widowControl/>
              <w:spacing w:before="0" w:after="0"/>
              <w:ind w:firstLine="20"/>
              <w:jc w:val="both"/>
              <w:rPr>
                <w:szCs w:val="24"/>
              </w:rPr>
            </w:pPr>
            <w:r>
              <w:rPr>
                <w:szCs w:val="24"/>
              </w:rPr>
            </w:r>
          </w:p>
        </w:tc>
      </w:tr>
    </w:tbl>
    <w:p>
      <w:pPr>
        <w:pStyle w:val="Title"/>
        <w:jc w:val="start"/>
        <w:rPr>
          <w:caps w:val="false"/>
          <w:smallCaps w:val="false"/>
          <w:sz w:val="24"/>
          <w:szCs w:val="24"/>
        </w:rPr>
      </w:pPr>
      <w:r>
        <w:rPr>
          <w:caps w:val="false"/>
          <w:smallCaps w:val="false"/>
          <w:sz w:val="24"/>
          <w:szCs w:val="24"/>
        </w:rPr>
      </w:r>
    </w:p>
    <w:p>
      <w:pPr>
        <w:pStyle w:val="Normal"/>
        <w:spacing w:lineRule="auto" w:line="240" w:before="0" w:after="0"/>
        <w:ind w:end="284"/>
        <w:rPr>
          <w:rFonts w:ascii="Times New Roman" w:hAnsi="Times New Roman" w:cs="Times New Roman"/>
          <w:sz w:val="24"/>
          <w:szCs w:val="24"/>
        </w:rPr>
      </w:pPr>
      <w:r>
        <w:rPr>
          <w:rFonts w:cs="Times New Roman" w:ascii="Times New Roman" w:hAnsi="Times New Roman"/>
          <w:sz w:val="24"/>
          <w:szCs w:val="24"/>
        </w:rPr>
      </w:r>
    </w:p>
    <w:sectPr>
      <w:footerReference w:type="even" r:id="rId2"/>
      <w:footerReference w:type="default" r:id="rId3"/>
      <w:footerReference w:type="first" r:id="rId4"/>
      <w:type w:val="nextPage"/>
      <w:pgSz w:w="11906" w:h="16838"/>
      <w:pgMar w:left="1701" w:right="850" w:gutter="0" w:header="0"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Futuris">
    <w:charset w:val="01" w:characterSet="utf-8"/>
    <w:family w:val="roman"/>
    <w:pitch w:val="variable"/>
  </w:font>
  <w:font w:name="Segoe UI">
    <w:charset w:val="01" w:characterSet="utf-8"/>
    <w:family w:val="swiss"/>
    <w:pitch w:val="variable"/>
  </w:font>
  <w:font w:name="Liberation Sans">
    <w:altName w:val="Arial"/>
    <w:charset w:val="01" w:characterSet="utf-8"/>
    <w:family w:val="swiss"/>
    <w:pitch w:val="variable"/>
  </w:font>
  <w:font w:name="Arial">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696039764"/>
      <w:docPartObj>
        <w:docPartGallery w:val="Page Numbers (Bottom of Page)"/>
        <w:docPartUnique w:val="true"/>
      </w:docPartObj>
    </w:sdtPr>
    <w:sdtContent>
      <w:p>
        <w:pPr>
          <w:pStyle w:val="Footer"/>
          <w:jc w:val="center"/>
          <w:rPr>
            <w:rFonts w:ascii="Times New Roman" w:hAnsi="Times New Roman" w:cs="Times New Roman"/>
            <w:sz w:val="20"/>
            <w:szCs w:val="20"/>
          </w:rPr>
        </w:pPr>
        <w:r>
          <w:rPr>
            <w:rFonts w:cs="Times New Roman" w:ascii="Times New Roman" w:hAnsi="Times New Roman"/>
            <w:sz w:val="20"/>
            <w:szCs w:val="20"/>
          </w:rPr>
          <w:fldChar w:fldCharType="begin"/>
        </w:r>
        <w:r>
          <w:rPr>
            <w:rFonts w:cs="Times New Roman" w:ascii="Times New Roman" w:hAnsi="Times New Roman"/>
            <w:sz w:val="20"/>
            <w:szCs w:val="20"/>
          </w:rPr>
          <w:instrText xml:space="preserve"> PAGE </w:instrText>
        </w:r>
        <w:r>
          <w:rPr>
            <w:rFonts w:cs="Times New Roman" w:ascii="Times New Roman" w:hAnsi="Times New Roman"/>
            <w:sz w:val="20"/>
            <w:szCs w:val="20"/>
          </w:rPr>
          <w:fldChar w:fldCharType="separate"/>
        </w:r>
        <w:r>
          <w:rPr>
            <w:rFonts w:cs="Times New Roman" w:ascii="Times New Roman" w:hAnsi="Times New Roman"/>
            <w:sz w:val="20"/>
            <w:szCs w:val="20"/>
          </w:rPr>
          <w:t>22</w:t>
        </w:r>
        <w:r>
          <w:rPr>
            <w:rFonts w:cs="Times New Roman" w:ascii="Times New Roman" w:hAnsi="Times New Roman"/>
            <w:sz w:val="20"/>
            <w:szCs w:val="20"/>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696039764"/>
      <w:docPartObj>
        <w:docPartGallery w:val="Page Numbers (Bottom of Page)"/>
        <w:docPartUnique w:val="true"/>
      </w:docPartObj>
    </w:sdtPr>
    <w:sdtContent>
      <w:p>
        <w:pPr>
          <w:pStyle w:val="Footer"/>
          <w:jc w:val="center"/>
          <w:rPr>
            <w:rFonts w:ascii="Times New Roman" w:hAnsi="Times New Roman" w:cs="Times New Roman"/>
            <w:sz w:val="20"/>
            <w:szCs w:val="20"/>
          </w:rPr>
        </w:pPr>
        <w:r>
          <w:rPr>
            <w:rFonts w:cs="Times New Roman" w:ascii="Times New Roman" w:hAnsi="Times New Roman"/>
            <w:sz w:val="20"/>
            <w:szCs w:val="20"/>
          </w:rPr>
          <w:fldChar w:fldCharType="begin"/>
        </w:r>
        <w:r>
          <w:rPr>
            <w:rFonts w:cs="Times New Roman" w:ascii="Times New Roman" w:hAnsi="Times New Roman"/>
            <w:sz w:val="20"/>
            <w:szCs w:val="20"/>
          </w:rPr>
          <w:instrText xml:space="preserve"> PAGE </w:instrText>
        </w:r>
        <w:r>
          <w:rPr>
            <w:rFonts w:cs="Times New Roman" w:ascii="Times New Roman" w:hAnsi="Times New Roman"/>
            <w:sz w:val="20"/>
            <w:szCs w:val="20"/>
          </w:rPr>
          <w:fldChar w:fldCharType="separate"/>
        </w:r>
        <w:r>
          <w:rPr>
            <w:rFonts w:cs="Times New Roman" w:ascii="Times New Roman" w:hAnsi="Times New Roman"/>
            <w:sz w:val="20"/>
            <w:szCs w:val="20"/>
          </w:rPr>
          <w:t>22</w:t>
        </w:r>
        <w:r>
          <w:rPr>
            <w:rFonts w:cs="Times New Roman" w:ascii="Times New Roman" w:hAnsi="Times New Roman"/>
            <w:sz w:val="20"/>
            <w:szCs w:val="20"/>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78" w:hanging="360"/>
      </w:pPr>
      <w:rPr/>
    </w:lvl>
    <w:lvl w:ilvl="1">
      <w:start w:val="1"/>
      <w:numFmt w:val="lowerLetter"/>
      <w:lvlText w:val="%2."/>
      <w:lvlJc w:val="start"/>
      <w:pPr>
        <w:tabs>
          <w:tab w:val="num" w:pos="0"/>
        </w:tabs>
        <w:ind w:start="1498" w:hanging="360"/>
      </w:pPr>
      <w:rPr/>
    </w:lvl>
    <w:lvl w:ilvl="2">
      <w:start w:val="1"/>
      <w:numFmt w:val="lowerRoman"/>
      <w:lvlText w:val="%3."/>
      <w:lvlJc w:val="end"/>
      <w:pPr>
        <w:tabs>
          <w:tab w:val="num" w:pos="0"/>
        </w:tabs>
        <w:ind w:start="2218" w:hanging="180"/>
      </w:pPr>
      <w:rPr/>
    </w:lvl>
    <w:lvl w:ilvl="3">
      <w:start w:val="1"/>
      <w:numFmt w:val="decimal"/>
      <w:lvlText w:val="%4."/>
      <w:lvlJc w:val="start"/>
      <w:pPr>
        <w:tabs>
          <w:tab w:val="num" w:pos="0"/>
        </w:tabs>
        <w:ind w:start="2938" w:hanging="360"/>
      </w:pPr>
      <w:rPr/>
    </w:lvl>
    <w:lvl w:ilvl="4">
      <w:start w:val="1"/>
      <w:numFmt w:val="lowerLetter"/>
      <w:lvlText w:val="%5."/>
      <w:lvlJc w:val="start"/>
      <w:pPr>
        <w:tabs>
          <w:tab w:val="num" w:pos="0"/>
        </w:tabs>
        <w:ind w:start="3658" w:hanging="360"/>
      </w:pPr>
      <w:rPr/>
    </w:lvl>
    <w:lvl w:ilvl="5">
      <w:start w:val="1"/>
      <w:numFmt w:val="lowerRoman"/>
      <w:lvlText w:val="%6."/>
      <w:lvlJc w:val="end"/>
      <w:pPr>
        <w:tabs>
          <w:tab w:val="num" w:pos="0"/>
        </w:tabs>
        <w:ind w:start="4378" w:hanging="180"/>
      </w:pPr>
      <w:rPr/>
    </w:lvl>
    <w:lvl w:ilvl="6">
      <w:start w:val="1"/>
      <w:numFmt w:val="decimal"/>
      <w:lvlText w:val="%7."/>
      <w:lvlJc w:val="start"/>
      <w:pPr>
        <w:tabs>
          <w:tab w:val="num" w:pos="0"/>
        </w:tabs>
        <w:ind w:start="5098" w:hanging="360"/>
      </w:pPr>
      <w:rPr/>
    </w:lvl>
    <w:lvl w:ilvl="7">
      <w:start w:val="1"/>
      <w:numFmt w:val="lowerLetter"/>
      <w:lvlText w:val="%8."/>
      <w:lvlJc w:val="start"/>
      <w:pPr>
        <w:tabs>
          <w:tab w:val="num" w:pos="0"/>
        </w:tabs>
        <w:ind w:start="5818" w:hanging="360"/>
      </w:pPr>
      <w:rPr/>
    </w:lvl>
    <w:lvl w:ilvl="8">
      <w:start w:val="1"/>
      <w:numFmt w:val="lowerRoman"/>
      <w:lvlText w:val="%9."/>
      <w:lvlJc w:val="end"/>
      <w:pPr>
        <w:tabs>
          <w:tab w:val="num" w:pos="0"/>
        </w:tabs>
        <w:ind w:start="6538" w:hanging="18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3">
    <w:lvl w:ilvl="0">
      <w:start w:val="1"/>
      <w:numFmt w:val="bullet"/>
      <w:lvlText w:val=""/>
      <w:lvlJc w:val="start"/>
      <w:pPr>
        <w:tabs>
          <w:tab w:val="num" w:pos="360"/>
        </w:tabs>
        <w:ind w:start="36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800"/>
        </w:tabs>
        <w:ind w:start="1800" w:hanging="360"/>
      </w:pPr>
      <w:rPr>
        <w:rFonts w:ascii="Wingdings" w:hAnsi="Wingdings" w:cs="Wingdings" w:hint="default"/>
      </w:rPr>
    </w:lvl>
    <w:lvl w:ilvl="3">
      <w:start w:val="1"/>
      <w:numFmt w:val="bullet"/>
      <w:lvlText w:val=""/>
      <w:lvlJc w:val="start"/>
      <w:pPr>
        <w:tabs>
          <w:tab w:val="num" w:pos="2520"/>
        </w:tabs>
        <w:ind w:start="2520" w:hanging="360"/>
      </w:pPr>
      <w:rPr>
        <w:rFonts w:ascii="Symbol" w:hAnsi="Symbol" w:cs="Symbol" w:hint="default"/>
      </w:rPr>
    </w:lvl>
    <w:lvl w:ilvl="4">
      <w:start w:val="1"/>
      <w:numFmt w:val="bullet"/>
      <w:lvlText w:val="o"/>
      <w:lvlJc w:val="start"/>
      <w:pPr>
        <w:tabs>
          <w:tab w:val="num" w:pos="3240"/>
        </w:tabs>
        <w:ind w:start="3240" w:hanging="360"/>
      </w:pPr>
      <w:rPr>
        <w:rFonts w:ascii="Courier New" w:hAnsi="Courier New" w:cs="Courier New" w:hint="default"/>
      </w:rPr>
    </w:lvl>
    <w:lvl w:ilvl="5">
      <w:start w:val="1"/>
      <w:numFmt w:val="bullet"/>
      <w:lvlText w:val=""/>
      <w:lvlJc w:val="start"/>
      <w:pPr>
        <w:tabs>
          <w:tab w:val="num" w:pos="3960"/>
        </w:tabs>
        <w:ind w:start="3960" w:hanging="360"/>
      </w:pPr>
      <w:rPr>
        <w:rFonts w:ascii="Wingdings" w:hAnsi="Wingdings" w:cs="Wingdings" w:hint="default"/>
      </w:rPr>
    </w:lvl>
    <w:lvl w:ilvl="6">
      <w:start w:val="1"/>
      <w:numFmt w:val="bullet"/>
      <w:lvlText w:val=""/>
      <w:lvlJc w:val="start"/>
      <w:pPr>
        <w:tabs>
          <w:tab w:val="num" w:pos="4680"/>
        </w:tabs>
        <w:ind w:start="4680" w:hanging="360"/>
      </w:pPr>
      <w:rPr>
        <w:rFonts w:ascii="Symbol" w:hAnsi="Symbol" w:cs="Symbol" w:hint="default"/>
      </w:rPr>
    </w:lvl>
    <w:lvl w:ilvl="7">
      <w:start w:val="1"/>
      <w:numFmt w:val="bullet"/>
      <w:lvlText w:val="o"/>
      <w:lvlJc w:val="start"/>
      <w:pPr>
        <w:tabs>
          <w:tab w:val="num" w:pos="5400"/>
        </w:tabs>
        <w:ind w:start="5400" w:hanging="360"/>
      </w:pPr>
      <w:rPr>
        <w:rFonts w:ascii="Courier New" w:hAnsi="Courier New" w:cs="Courier New" w:hint="default"/>
      </w:rPr>
    </w:lvl>
    <w:lvl w:ilvl="8">
      <w:start w:val="1"/>
      <w:numFmt w:val="bullet"/>
      <w:lvlText w:val=""/>
      <w:lvlJc w:val="start"/>
      <w:pPr>
        <w:tabs>
          <w:tab w:val="num" w:pos="6120"/>
        </w:tabs>
        <w:ind w:start="612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bullet"/>
      <w:lvlText w:val=""/>
      <w:lvlJc w:val="start"/>
      <w:pPr>
        <w:tabs>
          <w:tab w:val="num" w:pos="0"/>
        </w:tabs>
        <w:ind w:start="1000" w:hanging="360"/>
      </w:pPr>
      <w:rPr>
        <w:rFonts w:ascii="Wingdings" w:hAnsi="Wingdings" w:cs="Wingdings" w:hint="default"/>
      </w:rPr>
    </w:lvl>
    <w:lvl w:ilvl="1">
      <w:start w:val="1"/>
      <w:numFmt w:val="bullet"/>
      <w:lvlText w:val="o"/>
      <w:lvlJc w:val="start"/>
      <w:pPr>
        <w:tabs>
          <w:tab w:val="num" w:pos="0"/>
        </w:tabs>
        <w:ind w:start="1720" w:hanging="360"/>
      </w:pPr>
      <w:rPr>
        <w:rFonts w:ascii="Courier New" w:hAnsi="Courier New" w:cs="Courier New" w:hint="default"/>
      </w:rPr>
    </w:lvl>
    <w:lvl w:ilvl="2">
      <w:start w:val="1"/>
      <w:numFmt w:val="bullet"/>
      <w:lvlText w:val=""/>
      <w:lvlJc w:val="start"/>
      <w:pPr>
        <w:tabs>
          <w:tab w:val="num" w:pos="0"/>
        </w:tabs>
        <w:ind w:start="2440" w:hanging="360"/>
      </w:pPr>
      <w:rPr>
        <w:rFonts w:ascii="Wingdings" w:hAnsi="Wingdings" w:cs="Wingdings" w:hint="default"/>
      </w:rPr>
    </w:lvl>
    <w:lvl w:ilvl="3">
      <w:start w:val="1"/>
      <w:numFmt w:val="bullet"/>
      <w:lvlText w:val=""/>
      <w:lvlJc w:val="start"/>
      <w:pPr>
        <w:tabs>
          <w:tab w:val="num" w:pos="0"/>
        </w:tabs>
        <w:ind w:start="3160" w:hanging="360"/>
      </w:pPr>
      <w:rPr>
        <w:rFonts w:ascii="Symbol" w:hAnsi="Symbol" w:cs="Symbol" w:hint="default"/>
      </w:rPr>
    </w:lvl>
    <w:lvl w:ilvl="4">
      <w:start w:val="1"/>
      <w:numFmt w:val="bullet"/>
      <w:lvlText w:val="o"/>
      <w:lvlJc w:val="start"/>
      <w:pPr>
        <w:tabs>
          <w:tab w:val="num" w:pos="0"/>
        </w:tabs>
        <w:ind w:start="3880" w:hanging="360"/>
      </w:pPr>
      <w:rPr>
        <w:rFonts w:ascii="Courier New" w:hAnsi="Courier New" w:cs="Courier New" w:hint="default"/>
      </w:rPr>
    </w:lvl>
    <w:lvl w:ilvl="5">
      <w:start w:val="1"/>
      <w:numFmt w:val="bullet"/>
      <w:lvlText w:val=""/>
      <w:lvlJc w:val="start"/>
      <w:pPr>
        <w:tabs>
          <w:tab w:val="num" w:pos="0"/>
        </w:tabs>
        <w:ind w:start="4600" w:hanging="360"/>
      </w:pPr>
      <w:rPr>
        <w:rFonts w:ascii="Wingdings" w:hAnsi="Wingdings" w:cs="Wingdings" w:hint="default"/>
      </w:rPr>
    </w:lvl>
    <w:lvl w:ilvl="6">
      <w:start w:val="1"/>
      <w:numFmt w:val="bullet"/>
      <w:lvlText w:val=""/>
      <w:lvlJc w:val="start"/>
      <w:pPr>
        <w:tabs>
          <w:tab w:val="num" w:pos="0"/>
        </w:tabs>
        <w:ind w:start="5320" w:hanging="360"/>
      </w:pPr>
      <w:rPr>
        <w:rFonts w:ascii="Symbol" w:hAnsi="Symbol" w:cs="Symbol" w:hint="default"/>
      </w:rPr>
    </w:lvl>
    <w:lvl w:ilvl="7">
      <w:start w:val="1"/>
      <w:numFmt w:val="bullet"/>
      <w:lvlText w:val="o"/>
      <w:lvlJc w:val="start"/>
      <w:pPr>
        <w:tabs>
          <w:tab w:val="num" w:pos="0"/>
        </w:tabs>
        <w:ind w:start="6040" w:hanging="360"/>
      </w:pPr>
      <w:rPr>
        <w:rFonts w:ascii="Courier New" w:hAnsi="Courier New" w:cs="Courier New" w:hint="default"/>
      </w:rPr>
    </w:lvl>
    <w:lvl w:ilvl="8">
      <w:start w:val="1"/>
      <w:numFmt w:val="bullet"/>
      <w:lvlText w:val=""/>
      <w:lvlJc w:val="start"/>
      <w:pPr>
        <w:tabs>
          <w:tab w:val="num" w:pos="0"/>
        </w:tabs>
        <w:ind w:start="676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8">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9">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440"/>
        </w:tabs>
        <w:ind w:start="1440" w:hanging="360"/>
      </w:pPr>
      <w:rPr>
        <w:rFonts w:ascii="Symbol" w:hAnsi="Symbol" w:cs="Symbol"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10">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1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2">
    <w:lvl w:ilvl="0">
      <w:start w:val="1"/>
      <w:numFmt w:val="bullet"/>
      <w:lvlText w:val=""/>
      <w:lvlJc w:val="start"/>
      <w:pPr>
        <w:tabs>
          <w:tab w:val="num" w:pos="720"/>
        </w:tabs>
        <w:ind w:start="720" w:hanging="360"/>
      </w:pPr>
      <w:rPr>
        <w:rFonts w:ascii="Symbol" w:hAnsi="Symbol" w:cs="Symbol" w:hint="default"/>
        <w:b/>
        <w:i w:val="false"/>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13">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4">
    <w:lvl w:ilvl="0">
      <w:start w:val="1"/>
      <w:numFmt w:val="bullet"/>
      <w:lvlText w:val=""/>
      <w:lvlJc w:val="start"/>
      <w:pPr>
        <w:tabs>
          <w:tab w:val="num" w:pos="0"/>
        </w:tabs>
        <w:ind w:start="700" w:hanging="360"/>
      </w:pPr>
      <w:rPr>
        <w:rFonts w:ascii="Symbol" w:hAnsi="Symbol" w:cs="Symbol" w:hint="default"/>
      </w:rPr>
    </w:lvl>
    <w:lvl w:ilvl="1">
      <w:start w:val="1"/>
      <w:numFmt w:val="bullet"/>
      <w:lvlText w:val="o"/>
      <w:lvlJc w:val="start"/>
      <w:pPr>
        <w:tabs>
          <w:tab w:val="num" w:pos="0"/>
        </w:tabs>
        <w:ind w:start="1420" w:hanging="360"/>
      </w:pPr>
      <w:rPr>
        <w:rFonts w:ascii="Courier New" w:hAnsi="Courier New" w:cs="Courier New" w:hint="default"/>
      </w:rPr>
    </w:lvl>
    <w:lvl w:ilvl="2">
      <w:start w:val="1"/>
      <w:numFmt w:val="bullet"/>
      <w:lvlText w:val=""/>
      <w:lvlJc w:val="start"/>
      <w:pPr>
        <w:tabs>
          <w:tab w:val="num" w:pos="0"/>
        </w:tabs>
        <w:ind w:start="2140" w:hanging="360"/>
      </w:pPr>
      <w:rPr>
        <w:rFonts w:ascii="Wingdings" w:hAnsi="Wingdings" w:cs="Wingdings" w:hint="default"/>
      </w:rPr>
    </w:lvl>
    <w:lvl w:ilvl="3">
      <w:start w:val="1"/>
      <w:numFmt w:val="bullet"/>
      <w:lvlText w:val=""/>
      <w:lvlJc w:val="start"/>
      <w:pPr>
        <w:tabs>
          <w:tab w:val="num" w:pos="0"/>
        </w:tabs>
        <w:ind w:start="2860" w:hanging="360"/>
      </w:pPr>
      <w:rPr>
        <w:rFonts w:ascii="Symbol" w:hAnsi="Symbol" w:cs="Symbol" w:hint="default"/>
      </w:rPr>
    </w:lvl>
    <w:lvl w:ilvl="4">
      <w:start w:val="1"/>
      <w:numFmt w:val="bullet"/>
      <w:lvlText w:val="o"/>
      <w:lvlJc w:val="start"/>
      <w:pPr>
        <w:tabs>
          <w:tab w:val="num" w:pos="0"/>
        </w:tabs>
        <w:ind w:start="3580" w:hanging="360"/>
      </w:pPr>
      <w:rPr>
        <w:rFonts w:ascii="Courier New" w:hAnsi="Courier New" w:cs="Courier New" w:hint="default"/>
      </w:rPr>
    </w:lvl>
    <w:lvl w:ilvl="5">
      <w:start w:val="1"/>
      <w:numFmt w:val="bullet"/>
      <w:lvlText w:val=""/>
      <w:lvlJc w:val="start"/>
      <w:pPr>
        <w:tabs>
          <w:tab w:val="num" w:pos="0"/>
        </w:tabs>
        <w:ind w:start="4300" w:hanging="360"/>
      </w:pPr>
      <w:rPr>
        <w:rFonts w:ascii="Wingdings" w:hAnsi="Wingdings" w:cs="Wingdings" w:hint="default"/>
      </w:rPr>
    </w:lvl>
    <w:lvl w:ilvl="6">
      <w:start w:val="1"/>
      <w:numFmt w:val="bullet"/>
      <w:lvlText w:val=""/>
      <w:lvlJc w:val="start"/>
      <w:pPr>
        <w:tabs>
          <w:tab w:val="num" w:pos="0"/>
        </w:tabs>
        <w:ind w:start="5020" w:hanging="360"/>
      </w:pPr>
      <w:rPr>
        <w:rFonts w:ascii="Symbol" w:hAnsi="Symbol" w:cs="Symbol" w:hint="default"/>
      </w:rPr>
    </w:lvl>
    <w:lvl w:ilvl="7">
      <w:start w:val="1"/>
      <w:numFmt w:val="bullet"/>
      <w:lvlText w:val="o"/>
      <w:lvlJc w:val="start"/>
      <w:pPr>
        <w:tabs>
          <w:tab w:val="num" w:pos="0"/>
        </w:tabs>
        <w:ind w:start="5740" w:hanging="360"/>
      </w:pPr>
      <w:rPr>
        <w:rFonts w:ascii="Courier New" w:hAnsi="Courier New" w:cs="Courier New" w:hint="default"/>
      </w:rPr>
    </w:lvl>
    <w:lvl w:ilvl="8">
      <w:start w:val="1"/>
      <w:numFmt w:val="bullet"/>
      <w:lvlText w:val=""/>
      <w:lvlJc w:val="start"/>
      <w:pPr>
        <w:tabs>
          <w:tab w:val="num" w:pos="0"/>
        </w:tabs>
        <w:ind w:start="6460" w:hanging="360"/>
      </w:pPr>
      <w:rPr>
        <w:rFonts w:ascii="Wingdings" w:hAnsi="Wingdings" w:cs="Wingdings" w:hint="default"/>
      </w:rPr>
    </w:lvl>
  </w:abstractNum>
  <w:abstractNum w:abstractNumId="15">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6">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7">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8">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9">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CommentReference">
    <w:name w:val="annotation reference"/>
    <w:basedOn w:val="DefaultParagraphFont"/>
    <w:unhideWhenUsed/>
    <w:qFormat/>
    <w:rsid w:val="002f3b6e"/>
    <w:rPr>
      <w:sz w:val="16"/>
      <w:szCs w:val="16"/>
    </w:rPr>
  </w:style>
  <w:style w:type="character" w:styleId="Style14" w:customStyle="1">
    <w:name w:val="Текст примечания Знак"/>
    <w:basedOn w:val="DefaultParagraphFont"/>
    <w:qFormat/>
    <w:rsid w:val="002f3b6e"/>
    <w:rPr>
      <w:sz w:val="20"/>
      <w:szCs w:val="20"/>
    </w:rPr>
  </w:style>
  <w:style w:type="character" w:styleId="Style15" w:customStyle="1">
    <w:name w:val="Тема примечания Знак"/>
    <w:basedOn w:val="Style14"/>
    <w:link w:val="annotationsubject"/>
    <w:uiPriority w:val="99"/>
    <w:semiHidden/>
    <w:qFormat/>
    <w:rsid w:val="002f3b6e"/>
    <w:rPr>
      <w:b/>
      <w:bCs/>
      <w:sz w:val="20"/>
      <w:szCs w:val="20"/>
    </w:rPr>
  </w:style>
  <w:style w:type="character" w:styleId="Style16" w:customStyle="1">
    <w:name w:val="Верхний колонтитул Знак"/>
    <w:basedOn w:val="DefaultParagraphFont"/>
    <w:qFormat/>
    <w:rsid w:val="00515c92"/>
    <w:rPr/>
  </w:style>
  <w:style w:type="character" w:styleId="Style17" w:customStyle="1">
    <w:name w:val="Нижний колонтитул Знак"/>
    <w:basedOn w:val="DefaultParagraphFont"/>
    <w:uiPriority w:val="99"/>
    <w:qFormat/>
    <w:rsid w:val="00515c92"/>
    <w:rPr/>
  </w:style>
  <w:style w:type="character" w:styleId="Style18" w:customStyle="1">
    <w:name w:val="Основной текст Знак"/>
    <w:basedOn w:val="DefaultParagraphFont"/>
    <w:qFormat/>
    <w:rsid w:val="007228e1"/>
    <w:rPr>
      <w:rFonts w:ascii="Times New Roman" w:hAnsi="Times New Roman" w:eastAsia="Times New Roman" w:cs="Times New Roman"/>
      <w:sz w:val="24"/>
      <w:szCs w:val="24"/>
      <w:lang w:eastAsia="ar-SA"/>
    </w:rPr>
  </w:style>
  <w:style w:type="character" w:styleId="3" w:customStyle="1">
    <w:name w:val="Основной текст с отступом 3 Знак"/>
    <w:basedOn w:val="DefaultParagraphFont"/>
    <w:link w:val="BodyTextIndent3"/>
    <w:qFormat/>
    <w:rsid w:val="007228e1"/>
    <w:rPr>
      <w:rFonts w:ascii="Futuris" w:hAnsi="Futuris" w:eastAsia="Times New Roman" w:cs="Times New Roman"/>
      <w:color w:val="000000"/>
      <w:sz w:val="24"/>
      <w:szCs w:val="20"/>
      <w:lang w:val="en-US" w:eastAsia="ru-RU"/>
    </w:rPr>
  </w:style>
  <w:style w:type="character" w:styleId="Style19" w:customStyle="1">
    <w:name w:val="Абзац списка Знак"/>
    <w:link w:val="ListParagraph"/>
    <w:uiPriority w:val="34"/>
    <w:qFormat/>
    <w:locked/>
    <w:rsid w:val="007228e1"/>
    <w:rPr/>
  </w:style>
  <w:style w:type="character" w:styleId="FontStyle20" w:customStyle="1">
    <w:name w:val="Font Style20"/>
    <w:uiPriority w:val="99"/>
    <w:qFormat/>
    <w:rsid w:val="007228e1"/>
    <w:rPr>
      <w:rFonts w:ascii="Times New Roman" w:hAnsi="Times New Roman" w:cs="Times New Roman"/>
      <w:sz w:val="24"/>
      <w:szCs w:val="24"/>
    </w:rPr>
  </w:style>
  <w:style w:type="character" w:styleId="Hyperlink">
    <w:name w:val="Hyperlink"/>
    <w:basedOn w:val="DefaultParagraphFont"/>
    <w:uiPriority w:val="99"/>
    <w:unhideWhenUsed/>
    <w:rsid w:val="00781dd8"/>
    <w:rPr>
      <w:color w:val="0000FF"/>
      <w:u w:val="single"/>
    </w:rPr>
  </w:style>
  <w:style w:type="character" w:styleId="wmi-callto" w:customStyle="1">
    <w:name w:val="wmi-callto"/>
    <w:basedOn w:val="DefaultParagraphFont"/>
    <w:qFormat/>
    <w:rsid w:val="00a463f7"/>
    <w:rPr/>
  </w:style>
  <w:style w:type="character" w:styleId="Style20" w:customStyle="1">
    <w:name w:val="Текст концевой сноски Знак"/>
    <w:basedOn w:val="DefaultParagraphFont"/>
    <w:uiPriority w:val="99"/>
    <w:semiHidden/>
    <w:qFormat/>
    <w:rsid w:val="00f2313c"/>
    <w:rPr>
      <w:rFonts w:ascii="Times New Roman" w:hAnsi="Times New Roman" w:eastAsia="Times New Roman" w:cs="Times New Roman"/>
      <w:sz w:val="20"/>
      <w:szCs w:val="20"/>
      <w:lang w:eastAsia="ru-RU"/>
      <w14:ligatures w14:val="standardContextual"/>
    </w:rPr>
  </w:style>
  <w:style w:type="character" w:styleId="user" w:customStyle="1">
    <w:name w:val="Символ концевой сноски (user)"/>
    <w:uiPriority w:val="99"/>
    <w:semiHidden/>
    <w:unhideWhenUsed/>
    <w:qFormat/>
    <w:rsid w:val="00f2313c"/>
    <w:rPr>
      <w:vertAlign w:val="superscript"/>
    </w:rPr>
  </w:style>
  <w:style w:type="character" w:styleId="Style21">
    <w:name w:val="Символ концевой сноски"/>
    <w:qFormat/>
    <w:rPr>
      <w:vertAlign w:val="superscript"/>
    </w:rPr>
  </w:style>
  <w:style w:type="character" w:styleId="EndnoteReference">
    <w:name w:val="endnote reference"/>
    <w:rPr>
      <w:vertAlign w:val="superscript"/>
    </w:rPr>
  </w:style>
  <w:style w:type="character" w:styleId="Style22" w:customStyle="1">
    <w:name w:val="Текст выноски Знак"/>
    <w:basedOn w:val="DefaultParagraphFont"/>
    <w:link w:val="BalloonText"/>
    <w:uiPriority w:val="99"/>
    <w:semiHidden/>
    <w:qFormat/>
    <w:rsid w:val="00134124"/>
    <w:rPr>
      <w:rFonts w:ascii="Segoe UI" w:hAnsi="Segoe UI" w:cs="Segoe UI"/>
      <w:sz w:val="18"/>
      <w:szCs w:val="18"/>
    </w:rPr>
  </w:style>
  <w:style w:type="character" w:styleId="LineNumber">
    <w:name w:val="line number"/>
    <w:rPr/>
  </w:style>
  <w:style w:type="paragraph" w:styleId="Style23">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link w:val="Style18"/>
    <w:rsid w:val="007228e1"/>
    <w:pPr>
      <w:spacing w:lineRule="auto" w:line="240" w:before="0" w:after="120"/>
    </w:pPr>
    <w:rPr>
      <w:rFonts w:ascii="Times New Roman" w:hAnsi="Times New Roman" w:eastAsia="Times New Roman" w:cs="Times New Roman"/>
      <w:sz w:val="24"/>
      <w:szCs w:val="24"/>
      <w:lang w:eastAsia="ar-SA"/>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24">
    <w:name w:val="Указатель"/>
    <w:basedOn w:val="Normal"/>
    <w:qFormat/>
    <w:pPr>
      <w:suppressLineNumbers/>
    </w:pPr>
    <w:rPr>
      <w:rFonts w:cs="Noto Sans"/>
    </w:rPr>
  </w:style>
  <w:style w:type="paragraph" w:styleId="user1">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2">
    <w:name w:val="Указатель (user)"/>
    <w:basedOn w:val="Normal"/>
    <w:qFormat/>
    <w:pPr>
      <w:suppressLineNumbers/>
    </w:pPr>
    <w:rPr>
      <w:rFonts w:cs="Noto Sans"/>
    </w:rPr>
  </w:style>
  <w:style w:type="paragraph" w:styleId="Title">
    <w:name w:val="Title"/>
    <w:basedOn w:val="Normal"/>
    <w:next w:val="BodyText"/>
    <w:qFormat/>
    <w:pPr>
      <w:keepNext w:val="true"/>
      <w:spacing w:before="240" w:after="120"/>
    </w:pPr>
    <w:rPr>
      <w:rFonts w:ascii="Liberation Sans" w:hAnsi="Liberation Sans" w:eastAsia="Tahoma" w:cs="Noto Sans"/>
      <w:sz w:val="28"/>
      <w:szCs w:val="28"/>
    </w:rPr>
  </w:style>
  <w:style w:type="paragraph" w:styleId="IndexHeading">
    <w:name w:val="index heading"/>
    <w:basedOn w:val="Normal"/>
    <w:qFormat/>
    <w:pPr>
      <w:suppressLineNumbers/>
    </w:pPr>
    <w:rPr>
      <w:rFonts w:cs="Noto Sans"/>
    </w:rPr>
  </w:style>
  <w:style w:type="paragraph" w:styleId="ListParagraph">
    <w:name w:val="List Paragraph"/>
    <w:basedOn w:val="Normal"/>
    <w:link w:val="Style19"/>
    <w:uiPriority w:val="34"/>
    <w:qFormat/>
    <w:rsid w:val="009d4896"/>
    <w:pPr>
      <w:spacing w:before="0" w:after="200"/>
      <w:ind w:start="720"/>
      <w:contextualSpacing/>
    </w:pPr>
    <w:rPr/>
  </w:style>
  <w:style w:type="paragraph" w:styleId="Revision">
    <w:name w:val="Revision"/>
    <w:uiPriority w:val="99"/>
    <w:semiHidden/>
    <w:qFormat/>
    <w:rsid w:val="002f3b6e"/>
    <w:pPr>
      <w:widowControl/>
      <w:suppressAutoHyphens w:val="true"/>
      <w:bidi w:val="0"/>
      <w:spacing w:before="0" w:after="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CommentText">
    <w:name w:val="annotation text"/>
    <w:basedOn w:val="Normal"/>
    <w:link w:val="Style14"/>
    <w:unhideWhenUsed/>
    <w:rsid w:val="002f3b6e"/>
    <w:pPr>
      <w:spacing w:lineRule="auto" w:line="240"/>
    </w:pPr>
    <w:rPr>
      <w:sz w:val="20"/>
      <w:szCs w:val="20"/>
    </w:rPr>
  </w:style>
  <w:style w:type="paragraph" w:styleId="annotationsubject">
    <w:name w:val="annotation subject"/>
    <w:basedOn w:val="CommentText"/>
    <w:next w:val="CommentText"/>
    <w:link w:val="Style15"/>
    <w:uiPriority w:val="99"/>
    <w:semiHidden/>
    <w:unhideWhenUsed/>
    <w:qFormat/>
    <w:rsid w:val="002f3b6e"/>
    <w:pPr/>
    <w:rPr>
      <w:b/>
      <w:bCs/>
    </w:rPr>
  </w:style>
  <w:style w:type="paragraph" w:styleId="user3" w:customStyle="1">
    <w:name w:val="Колонтитулы (user)"/>
    <w:basedOn w:val="Normal"/>
    <w:qFormat/>
    <w:pPr/>
    <w:rPr/>
  </w:style>
  <w:style w:type="paragraph" w:styleId="Style25">
    <w:name w:val="Колонтитулы"/>
    <w:basedOn w:val="Normal"/>
    <w:qFormat/>
    <w:pPr/>
    <w:rPr/>
  </w:style>
  <w:style w:type="paragraph" w:styleId="Header">
    <w:name w:val="header"/>
    <w:basedOn w:val="Normal"/>
    <w:link w:val="Style16"/>
    <w:unhideWhenUsed/>
    <w:rsid w:val="00515c92"/>
    <w:pPr>
      <w:tabs>
        <w:tab w:val="clear" w:pos="709"/>
        <w:tab w:val="center" w:pos="4677" w:leader="none"/>
        <w:tab w:val="right" w:pos="9355" w:leader="none"/>
      </w:tabs>
      <w:spacing w:lineRule="auto" w:line="240" w:before="0" w:after="0"/>
    </w:pPr>
    <w:rPr/>
  </w:style>
  <w:style w:type="paragraph" w:styleId="Footer">
    <w:name w:val="footer"/>
    <w:basedOn w:val="Normal"/>
    <w:link w:val="Style17"/>
    <w:uiPriority w:val="99"/>
    <w:unhideWhenUsed/>
    <w:rsid w:val="00515c92"/>
    <w:pPr>
      <w:tabs>
        <w:tab w:val="clear" w:pos="709"/>
        <w:tab w:val="center" w:pos="4677" w:leader="none"/>
        <w:tab w:val="right" w:pos="9355" w:leader="none"/>
      </w:tabs>
      <w:spacing w:lineRule="auto" w:line="240" w:before="0" w:after="0"/>
    </w:pPr>
    <w:rPr/>
  </w:style>
  <w:style w:type="paragraph" w:styleId="BodyTextIndent3">
    <w:name w:val="Body Text Indent 3"/>
    <w:basedOn w:val="Normal"/>
    <w:link w:val="3"/>
    <w:qFormat/>
    <w:rsid w:val="007228e1"/>
    <w:pPr>
      <w:spacing w:lineRule="auto" w:line="240" w:before="0" w:after="0"/>
      <w:ind w:hanging="459" w:start="459"/>
    </w:pPr>
    <w:rPr>
      <w:rFonts w:ascii="Futuris" w:hAnsi="Futuris" w:eastAsia="Times New Roman" w:cs="Times New Roman"/>
      <w:color w:val="000000"/>
      <w:sz w:val="24"/>
      <w:szCs w:val="20"/>
      <w:lang w:val="en-US" w:eastAsia="ru-RU"/>
    </w:rPr>
  </w:style>
  <w:style w:type="paragraph" w:styleId="formattext" w:customStyle="1">
    <w:name w:val="formattext"/>
    <w:qFormat/>
    <w:rsid w:val="007228e1"/>
    <w:pPr>
      <w:widowControl w:val="false"/>
      <w:suppressAutoHyphens w:val="true"/>
      <w:bidi w:val="0"/>
      <w:spacing w:before="0" w:after="0"/>
      <w:jc w:val="start"/>
    </w:pPr>
    <w:rPr>
      <w:rFonts w:ascii="Times New Roman" w:hAnsi="Times New Roman" w:eastAsia="Times New Roman" w:cs="Times New Roman"/>
      <w:color w:val="auto"/>
      <w:kern w:val="0"/>
      <w:sz w:val="18"/>
      <w:szCs w:val="18"/>
      <w:lang w:val="ru-RU" w:eastAsia="ru-RU" w:bidi="ar-SA"/>
    </w:rPr>
  </w:style>
  <w:style w:type="paragraph" w:styleId="ConsPlusNormal" w:customStyle="1">
    <w:name w:val="ConsPlusNormal"/>
    <w:qFormat/>
    <w:rsid w:val="007228e1"/>
    <w:pPr>
      <w:widowControl w:val="false"/>
      <w:suppressAutoHyphens w:val="true"/>
      <w:bidi w:val="0"/>
      <w:spacing w:before="0" w:after="0"/>
      <w:jc w:val="start"/>
    </w:pPr>
    <w:rPr>
      <w:rFonts w:ascii="Arial" w:hAnsi="Arial" w:eastAsia="Times New Roman" w:cs="Arial"/>
      <w:color w:val="auto"/>
      <w:kern w:val="0"/>
      <w:sz w:val="20"/>
      <w:szCs w:val="20"/>
      <w:lang w:val="ru-RU" w:eastAsia="ru-RU" w:bidi="ar-SA"/>
    </w:rPr>
  </w:style>
  <w:style w:type="paragraph" w:styleId="Style81" w:customStyle="1">
    <w:name w:val="Style8"/>
    <w:basedOn w:val="Normal"/>
    <w:uiPriority w:val="99"/>
    <w:qFormat/>
    <w:rsid w:val="007228e1"/>
    <w:pPr>
      <w:widowControl w:val="false"/>
      <w:spacing w:lineRule="exact" w:line="274" w:before="0" w:after="0"/>
      <w:ind w:firstLine="274"/>
      <w:jc w:val="both"/>
    </w:pPr>
    <w:rPr>
      <w:rFonts w:ascii="Times New Roman" w:hAnsi="Times New Roman" w:eastAsia="Times New Roman" w:cs="Times New Roman"/>
      <w:sz w:val="24"/>
      <w:szCs w:val="24"/>
      <w:lang w:eastAsia="ru-RU"/>
    </w:rPr>
  </w:style>
  <w:style w:type="paragraph" w:styleId="228bf8a64b8551e1msonormal" w:customStyle="1">
    <w:name w:val="228bf8a64b8551e1msonormal"/>
    <w:basedOn w:val="Normal"/>
    <w:qFormat/>
    <w:rsid w:val="006f6002"/>
    <w:pPr>
      <w:spacing w:lineRule="auto" w:line="240" w:beforeAutospacing="1" w:afterAutospacing="1"/>
    </w:pPr>
    <w:rPr>
      <w:rFonts w:ascii="Times New Roman" w:hAnsi="Times New Roman" w:eastAsia="Times New Roman" w:cs="Times New Roman"/>
      <w:sz w:val="24"/>
      <w:szCs w:val="24"/>
      <w:lang w:eastAsia="ru-RU"/>
    </w:rPr>
  </w:style>
  <w:style w:type="paragraph" w:styleId="EndnoteText">
    <w:name w:val="endnote text"/>
    <w:basedOn w:val="Normal"/>
    <w:link w:val="Style20"/>
    <w:uiPriority w:val="99"/>
    <w:semiHidden/>
    <w:unhideWhenUsed/>
    <w:rsid w:val="00f2313c"/>
    <w:pPr>
      <w:spacing w:lineRule="auto" w:line="240" w:before="0" w:after="0"/>
    </w:pPr>
    <w:rPr>
      <w:rFonts w:ascii="Times New Roman" w:hAnsi="Times New Roman" w:eastAsia="Times New Roman" w:cs="Times New Roman"/>
      <w:sz w:val="20"/>
      <w:szCs w:val="20"/>
      <w:lang w:eastAsia="ru-RU"/>
      <w14:ligatures w14:val="standardContextual"/>
    </w:rPr>
  </w:style>
  <w:style w:type="paragraph" w:styleId="ConsPlusTitle" w:customStyle="1">
    <w:name w:val="ConsPlusTitle"/>
    <w:uiPriority w:val="99"/>
    <w:qFormat/>
    <w:rsid w:val="001d0d19"/>
    <w:pPr>
      <w:widowControl w:val="false"/>
      <w:suppressAutoHyphens w:val="true"/>
      <w:bidi w:val="0"/>
      <w:spacing w:before="0" w:after="0"/>
      <w:jc w:val="start"/>
    </w:pPr>
    <w:rPr>
      <w:rFonts w:ascii="Arial" w:hAnsi="Arial" w:eastAsia="" w:cs="Arial" w:eastAsiaTheme="minorEastAsia"/>
      <w:b/>
      <w:bCs/>
      <w:color w:val="auto"/>
      <w:kern w:val="0"/>
      <w:sz w:val="24"/>
      <w:szCs w:val="24"/>
      <w:lang w:val="ru-RU" w:eastAsia="ru-RU" w:bidi="ar-SA"/>
      <w14:ligatures w14:val="standardContextual"/>
    </w:rPr>
  </w:style>
  <w:style w:type="paragraph" w:styleId="BalloonText">
    <w:name w:val="Balloon Text"/>
    <w:basedOn w:val="Normal"/>
    <w:link w:val="Style22"/>
    <w:uiPriority w:val="99"/>
    <w:semiHidden/>
    <w:unhideWhenUsed/>
    <w:qFormat/>
    <w:rsid w:val="00134124"/>
    <w:pPr>
      <w:spacing w:lineRule="auto" w:line="240" w:before="0" w:after="0"/>
    </w:pPr>
    <w:rPr>
      <w:rFonts w:ascii="Segoe UI" w:hAnsi="Segoe UI" w:cs="Segoe UI"/>
      <w:sz w:val="18"/>
      <w:szCs w:val="18"/>
    </w:rPr>
  </w:style>
  <w:style w:type="paragraph" w:styleId="Style26" w:customStyle="1">
    <w:name w:val="Текст таб центр"/>
    <w:basedOn w:val="Normal"/>
    <w:qFormat/>
    <w:rsid w:val="00fc4151"/>
    <w:pPr>
      <w:keepLines/>
      <w:spacing w:lineRule="auto" w:line="240" w:before="60" w:after="60"/>
      <w:jc w:val="center"/>
    </w:pPr>
    <w:rPr>
      <w:rFonts w:ascii="Times New Roman" w:hAnsi="Times New Roman" w:eastAsia="Calibri" w:cs="Times New Roman"/>
      <w:sz w:val="24"/>
      <w:szCs w:val="20"/>
      <w:lang w:eastAsia="ru-RU"/>
    </w:rPr>
  </w:style>
  <w:style w:type="paragraph" w:styleId="msolistparagraph" w:customStyle="1">
    <w:name w:val="msolistparagraph"/>
    <w:qFormat/>
    <w:rsid w:val="006a775a"/>
    <w:pPr>
      <w:widowControl/>
      <w:suppressAutoHyphens w:val="true"/>
      <w:bidi w:val="0"/>
      <w:spacing w:before="0" w:after="0"/>
      <w:ind w:start="720"/>
      <w:contextualSpacing/>
      <w:jc w:val="start"/>
    </w:pPr>
    <w:rPr>
      <w:rFonts w:ascii="Times New Roman" w:hAnsi="Times New Roman" w:eastAsia="Times New Roman" w:cs="Times New Roman"/>
      <w:color w:val="auto"/>
      <w:kern w:val="0"/>
      <w:sz w:val="24"/>
      <w:szCs w:val="24"/>
      <w:lang w:val="en-US" w:eastAsia="zh-CN" w:bidi="ar-SA"/>
    </w:rPr>
  </w:style>
  <w:style w:type="paragraph" w:styleId="user4" w:customStyle="1">
    <w:name w:val="Содержимое врезки (user)"/>
    <w:basedOn w:val="Normal"/>
    <w:qFormat/>
    <w:pPr/>
    <w:rPr/>
  </w:style>
  <w:style w:type="paragraph" w:styleId="user5" w:customStyle="1">
    <w:name w:val="Комментарий (user)"/>
    <w:basedOn w:val="Normal"/>
    <w:qFormat/>
    <w:pPr>
      <w:spacing w:lineRule="auto" w:line="240" w:before="56" w:after="0"/>
      <w:ind w:start="57" w:end="57"/>
    </w:pPr>
    <w:rPr>
      <w:sz w:val="20"/>
      <w:szCs w:val="20"/>
    </w:rPr>
  </w:style>
  <w:style w:type="paragraph" w:styleId="Style27">
    <w:name w:val="Содержимое врезки"/>
    <w:basedOn w:val="Normal"/>
    <w:qFormat/>
    <w:pPr/>
    <w:rPr/>
  </w:style>
  <w:style w:type="paragraph" w:styleId="11211">
    <w:name w:val="Обычный11211"/>
    <w:qFormat/>
    <w:pPr>
      <w:widowControl/>
      <w:suppressAutoHyphens w:val="true"/>
      <w:bidi w:val="0"/>
      <w:spacing w:before="0" w:after="0"/>
      <w:jc w:val="start"/>
    </w:pPr>
    <w:rPr>
      <w:rFonts w:ascii="Times New Roman" w:hAnsi="Times New Roman" w:eastAsia="Calibri" w:cs="" w:cstheme="minorBidi" w:eastAsiaTheme="minorHAnsi"/>
      <w:color w:val="auto"/>
      <w:kern w:val="0"/>
      <w:sz w:val="20"/>
      <w:szCs w:val="22"/>
      <w:lang w:val="ru-RU" w:eastAsia="en-US" w:bidi="ar-SA"/>
    </w:rPr>
  </w:style>
  <w:style w:type="paragraph" w:styleId="1111">
    <w:name w:val="Пункт договора1111"/>
    <w:basedOn w:val="Normal"/>
    <w:qFormat/>
    <w:pPr>
      <w:tabs>
        <w:tab w:val="clear" w:pos="709"/>
        <w:tab w:val="left" w:pos="2552" w:leader="none"/>
      </w:tabs>
      <w:ind w:firstLine="709"/>
      <w:jc w:val="both"/>
    </w:pPr>
    <w:rPr>
      <w:sz w:val="26"/>
    </w:rPr>
  </w:style>
  <w:style w:type="numbering" w:styleId="Style28" w:default="1">
    <w:name w:val="Без списка"/>
    <w:uiPriority w:val="99"/>
    <w:semiHidden/>
    <w:unhideWhenUsed/>
    <w:qFormat/>
  </w:style>
  <w:style w:type="numbering" w:styleId="user6" w:customStyle="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2">
    <w:name w:val="Table Grid"/>
    <w:basedOn w:val="a1"/>
    <w:uiPriority w:val="59"/>
    <w:rsid w:val="0071484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4936F-FFF7-4263-8691-402C1FE66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Application>LibreOffice/25.8.7.3$Linux_X86_64 LibreOffice_project/30742500f2d3eb4366ac312fa33d3dcabdb3eba5</Application>
  <AppVersion>15.0000</AppVersion>
  <Pages>22</Pages>
  <Words>5671</Words>
  <Characters>40974</Characters>
  <CharactersWithSpaces>46141</CharactersWithSpaces>
  <Paragraphs>632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2026-08-04T13:16:00Z</dcterms:created>
  <dc:creator>astr5</dc:creator>
  <dc:description/>
  <dc:language>ru-RU</dc:language>
  <cp:lastModifiedBy/>
  <cp:lastPrinted>2025-06-06T07:35:00Z</cp:lastPrinted>
  <dcterms:modified xsi:type="dcterms:W3CDTF">2026-08-24T16:02:47Z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