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/>
      </w:pPr>
      <w:r>
        <w:rPr>
          <w:bCs/>
          <w:shd w:fill="FFFFFF" w:val="clear"/>
        </w:rPr>
        <w:t>УТВЕРЖДАЮ</w:t>
      </w:r>
    </w:p>
    <w:p>
      <w:pPr>
        <w:pStyle w:val="Normal"/>
        <w:keepNext w:val="true"/>
        <w:keepLines/>
        <w:jc w:val="right"/>
        <w:rPr/>
      </w:pPr>
      <w:r>
        <w:rPr>
          <w:bCs/>
          <w:shd w:fill="FFFFFF" w:val="clear"/>
        </w:rPr>
        <w:t xml:space="preserve"> </w:t>
      </w:r>
      <w:r>
        <w:rPr>
          <w:bCs/>
          <w:shd w:fill="FFFFFF" w:val="clear"/>
        </w:rPr>
        <w:t xml:space="preserve">Первый заместитель директора -                                                                                                              </w:t>
      </w:r>
    </w:p>
    <w:p>
      <w:pPr>
        <w:pStyle w:val="Normal"/>
        <w:keepNext w:val="true"/>
        <w:keepLines/>
        <w:jc w:val="right"/>
        <w:rPr/>
      </w:pPr>
      <w:r>
        <w:rPr>
          <w:bCs/>
          <w:shd w:fill="FFFFFF" w:val="clear"/>
        </w:rPr>
        <w:t>- Главный инженер</w:t>
      </w:r>
    </w:p>
    <w:p>
      <w:pPr>
        <w:pStyle w:val="Normal"/>
        <w:keepNext w:val="true"/>
        <w:keepLines/>
        <w:jc w:val="right"/>
        <w:rPr/>
      </w:pPr>
      <w:r>
        <w:rPr>
          <w:bCs/>
          <w:shd w:fill="FFFFFF" w:val="clear"/>
        </w:rPr>
        <w:t>Филиала ПАО «РусГидро»</w:t>
      </w:r>
    </w:p>
    <w:p>
      <w:pPr>
        <w:pStyle w:val="Normal"/>
        <w:keepNext w:val="true"/>
        <w:keepLines/>
        <w:jc w:val="right"/>
        <w:rPr/>
      </w:pPr>
      <w:r>
        <w:rPr>
          <w:bCs/>
          <w:shd w:fill="FFFFFF" w:val="clear"/>
        </w:rPr>
        <w:t xml:space="preserve">      </w:t>
      </w:r>
      <w:r>
        <w:rPr>
          <w:bCs/>
          <w:shd w:fill="FFFFFF" w:val="clear"/>
        </w:rPr>
        <w:t>«Жигулевская ГЭС»</w:t>
      </w:r>
    </w:p>
    <w:p>
      <w:pPr>
        <w:pStyle w:val="Normal"/>
        <w:keepNext w:val="true"/>
        <w:keepLines/>
        <w:jc w:val="right"/>
        <w:rPr/>
      </w:pPr>
      <w:r>
        <w:rPr>
          <w:bCs/>
          <w:shd w:fill="FFFFFF" w:val="clear"/>
        </w:rPr>
        <w:t xml:space="preserve">                                                                                  </w:t>
      </w:r>
      <w:r>
        <w:rPr>
          <w:bCs/>
          <w:shd w:fill="FFFFFF" w:val="clear"/>
        </w:rPr>
        <w:t xml:space="preserve">___________ А.И. Богданов </w:t>
      </w:r>
    </w:p>
    <w:p>
      <w:pPr>
        <w:pStyle w:val="Normal"/>
        <w:keepNext w:val="true"/>
        <w:keepLines/>
        <w:jc w:val="right"/>
        <w:rPr/>
      </w:pPr>
      <w:r>
        <w:rPr>
          <w:bCs/>
          <w:shd w:fill="FFFFFF" w:val="clear"/>
        </w:rPr>
        <w:t xml:space="preserve">              </w:t>
      </w:r>
      <w:r>
        <w:rPr>
          <w:bCs/>
          <w:shd w:fill="FFFFFF" w:val="clear"/>
        </w:rPr>
        <w:t>«</w:t>
      </w:r>
      <w:r>
        <w:rPr>
          <w:bCs/>
          <w:u w:val="single"/>
          <w:shd w:fill="FFFFFF" w:val="clear"/>
        </w:rPr>
        <w:t xml:space="preserve">     </w:t>
      </w:r>
      <w:r>
        <w:rPr>
          <w:bCs/>
          <w:shd w:fill="FFFFFF" w:val="clear"/>
        </w:rPr>
        <w:t>»  ____________  2026 г</w:t>
      </w:r>
      <w:r>
        <w:rPr>
          <w:b/>
          <w:bCs/>
          <w:shd w:fill="FFFFFF" w:val="clear"/>
        </w:rPr>
        <w:t>.</w:t>
      </w:r>
    </w:p>
    <w:p>
      <w:pPr>
        <w:pStyle w:val="Normal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</w:t>
      </w:r>
    </w:p>
    <w:p>
      <w:pPr>
        <w:pStyle w:val="Normal"/>
        <w:jc w:val="center"/>
        <w:rPr>
          <w:sz w:val="26"/>
          <w:szCs w:val="26"/>
        </w:rPr>
      </w:pPr>
      <w:r>
        <w:rPr>
          <w:rFonts w:eastAsia="Calibri"/>
          <w:b/>
        </w:rPr>
        <w:t>ОКПД2</w:t>
      </w:r>
      <w:r>
        <w:rPr>
          <w:rFonts w:eastAsia="Calibri"/>
          <w:b/>
          <w:shd w:fill="auto" w:val="clear"/>
        </w:rPr>
        <w:t xml:space="preserve"> 28.11.32.000</w:t>
      </w:r>
      <w:r>
        <w:rPr>
          <w:rFonts w:eastAsia="Calibri"/>
          <w:b/>
        </w:rPr>
        <w:t xml:space="preserve"> Поставка маслоохладительных установок для модернизации маслонапорных установок гидроагрегатов </w:t>
      </w:r>
    </w:p>
    <w:p>
      <w:pPr>
        <w:pStyle w:val="Normal"/>
        <w:jc w:val="center"/>
        <w:rPr>
          <w:sz w:val="26"/>
          <w:szCs w:val="26"/>
        </w:rPr>
      </w:pPr>
      <w:r>
        <w:rPr>
          <w:rFonts w:eastAsia="Calibri"/>
          <w:b/>
        </w:rPr>
        <w:t>Филиала ПАО «РусГидро» - «Жигулевская ГЭС»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327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80575053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80575054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80575055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Товара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80575056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использования закупаемой Товара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80575057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Существующее положение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80575058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80575059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поставки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80575060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Перечень и объем закупаемой Товара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8057506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_Toc180575061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 Перечень и объем закупаемой Товара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80575062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Товара и оказания сопутствующих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8057506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_Toc180575063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2.1 Требования по срокам поставки Товара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80575064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_Toc180575064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Товара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8057506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_Toc180575065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Товара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80575066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80575067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80575068">
            <w:r>
              <w:rPr>
                <w:webHidden/>
                <w:rStyle w:val="Style14"/>
                <w:iCs/>
                <w:vanish w:val="false"/>
              </w:rPr>
              <w:t>Приложение №1: Спецификация поставляемой 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80575069">
            <w:r>
              <w:rPr>
                <w:webHidden/>
                <w:rStyle w:val="Style14"/>
                <w:iCs/>
                <w:vanish w:val="false"/>
              </w:rPr>
              <w:t>Приложение №2: Перечень и объем закупаемой 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_Toc180575069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327"/>
          <w:tab w:val="right" w:pos="9921" w:leader="dot"/>
        </w:tabs>
        <w:rPr/>
      </w:pPr>
      <w:r>
        <w:rPr/>
      </w:r>
    </w:p>
    <w:p>
      <w:pPr>
        <w:pStyle w:val="TOC1"/>
        <w:tabs>
          <w:tab w:val="clear" w:pos="327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color w:val="auto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color w:val="auto"/>
          <w:sz w:val="22"/>
          <w:szCs w:val="22"/>
        </w:rPr>
      </w:r>
    </w:p>
    <w:p>
      <w:pPr>
        <w:pStyle w:val="Heading2"/>
        <w:rPr>
          <w:b w:val="false"/>
          <w:i/>
          <w:i/>
        </w:rPr>
      </w:pPr>
      <w:r>
        <w:rPr>
          <w:b w:val="false"/>
          <w:i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caps/>
          <w:lang w:val="ru-RU"/>
        </w:rPr>
      </w:pPr>
      <w:bookmarkStart w:id="0" w:name="_Toc145404801"/>
      <w:bookmarkStart w:id="1" w:name="_Toc180575053"/>
      <w:bookmarkStart w:id="2" w:name="_Toc51339692"/>
      <w:bookmarkEnd w:id="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1"/>
        </w:numPr>
        <w:rPr/>
      </w:pPr>
      <w:bookmarkStart w:id="3" w:name="_Toc180575054"/>
      <w:bookmarkStart w:id="4" w:name="_Toc145404802"/>
      <w:bookmarkStart w:id="5" w:name="_Toc46743505"/>
      <w:bookmarkEnd w:id="5"/>
      <w:r>
        <w:rPr/>
        <w:t>Обозначения и сокращения</w:t>
      </w:r>
      <w:bookmarkEnd w:id="3"/>
      <w:bookmarkEnd w:id="4"/>
    </w:p>
    <w:p>
      <w:pPr>
        <w:pStyle w:val="Normal"/>
        <w:rPr>
          <w:rStyle w:val="Style8"/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>
                <w:rStyle w:val="Style8"/>
                <w:b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>
                <w:rStyle w:val="Style8"/>
                <w:b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ФАС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Федеральная антимонопольная служба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>
                <w:rStyle w:val="Style8"/>
                <w:b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>
                <w:rStyle w:val="Style8"/>
                <w:b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гидроагрегат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>
                <w:rStyle w:val="Style8"/>
                <w:b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>
                <w:rStyle w:val="Style8"/>
                <w:b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нормативно-техническая документация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1"/>
        </w:numPr>
        <w:rPr/>
      </w:pPr>
      <w:bookmarkStart w:id="6" w:name="_Toc145404803"/>
      <w:bookmarkStart w:id="7" w:name="_Toc180575055"/>
      <w:bookmarkStart w:id="8" w:name="_Toc46743506"/>
      <w:bookmarkEnd w:id="8"/>
      <w:r>
        <w:rPr/>
        <w:t>Наименование закупаемого Товара</w:t>
      </w:r>
      <w:bookmarkEnd w:id="6"/>
      <w:bookmarkEnd w:id="7"/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120"/>
        <w:ind w:right="-144" w:hanging="0"/>
        <w:rPr>
          <w:sz w:val="24"/>
          <w:szCs w:val="24"/>
        </w:rPr>
      </w:pPr>
      <w:r>
        <w:rPr>
          <w:sz w:val="24"/>
          <w:szCs w:val="24"/>
        </w:rPr>
        <w:tab/>
        <w:t>ОКПД2 28.11.32.000 Поставка маслоохладительных установок для модернизации маслонапорных установок гидроагрегатов Филиала ПАО «РусГидро» - «Жигулевская ГЭС»»</w:t>
      </w:r>
    </w:p>
    <w:p>
      <w:pPr>
        <w:pStyle w:val="Heading4"/>
        <w:numPr>
          <w:ilvl w:val="1"/>
          <w:numId w:val="1"/>
        </w:numPr>
        <w:spacing w:before="240" w:after="60"/>
        <w:ind w:left="431" w:hanging="431"/>
        <w:rPr/>
      </w:pPr>
      <w:bookmarkStart w:id="9" w:name="_Toc180575056"/>
      <w:bookmarkStart w:id="10" w:name="_Toc145404804"/>
      <w:bookmarkStart w:id="11" w:name="_Toc46743507"/>
      <w:r>
        <w:rPr/>
        <w:t xml:space="preserve">Цель </w:t>
      </w:r>
      <w:bookmarkEnd w:id="11"/>
      <w:r>
        <w:rPr>
          <w:lang w:val="ru-RU"/>
        </w:rPr>
        <w:t>использования закупаемого Товара</w:t>
      </w:r>
      <w:bookmarkEnd w:id="9"/>
      <w:bookmarkEnd w:id="10"/>
    </w:p>
    <w:p>
      <w:pPr>
        <w:pStyle w:val="Normal"/>
        <w:ind w:firstLine="567"/>
        <w:jc w:val="both"/>
        <w:rPr/>
      </w:pPr>
      <w:r>
        <w:rPr>
          <w:rFonts w:eastAsia="Calibri"/>
          <w:sz w:val="24"/>
          <w:szCs w:val="24"/>
          <w:lang w:eastAsia="x-none"/>
        </w:rPr>
        <w:t xml:space="preserve">Модернизация маслонапорных установок (Далее - МНУ) гидроагрегатов путем оснащения сливных баков маслоохладительными установками для снижения температуры масла в системе регулирования и улучшения циклов работы маслонасосов МНУ. </w:t>
      </w:r>
    </w:p>
    <w:p>
      <w:pPr>
        <w:pStyle w:val="Heading4"/>
        <w:numPr>
          <w:ilvl w:val="1"/>
          <w:numId w:val="1"/>
        </w:numPr>
        <w:rPr/>
      </w:pPr>
      <w:bookmarkStart w:id="12" w:name="_Toc180575057"/>
      <w:bookmarkStart w:id="13" w:name="_Toc145404805"/>
      <w:bookmarkStart w:id="14" w:name="_Toc46743508"/>
      <w:r>
        <w:rPr/>
        <w:t>Существующее положение</w:t>
      </w:r>
      <w:bookmarkEnd w:id="12"/>
      <w:bookmarkEnd w:id="13"/>
      <w:bookmarkEnd w:id="14"/>
      <w:r>
        <w:rPr>
          <w:lang w:val="ru-RU"/>
        </w:rPr>
        <w:t xml:space="preserve"> </w:t>
      </w:r>
    </w:p>
    <w:p>
      <w:pPr>
        <w:pStyle w:val="Normal"/>
        <w:ind w:firstLine="567"/>
        <w:jc w:val="both"/>
        <w:rPr/>
      </w:pPr>
      <w:r>
        <w:rPr>
          <w:sz w:val="24"/>
          <w:szCs w:val="24"/>
        </w:rPr>
        <w:t>Жигулёвская ГЭС расположена по адресу: Российская Федерация, 445350, Самарская область, город Жигулевск, Московское шоссе, дом 2.</w:t>
      </w:r>
    </w:p>
    <w:p>
      <w:pPr>
        <w:pStyle w:val="Normal"/>
        <w:ind w:firstLine="567"/>
        <w:jc w:val="both"/>
        <w:rPr/>
      </w:pPr>
      <w:r>
        <w:rPr>
          <w:sz w:val="24"/>
          <w:szCs w:val="24"/>
        </w:rPr>
        <w:t xml:space="preserve">На гидроагрегатах ст.№№ 4, 7, 8, 14 в ходе реконструкции в период с 2013г по 2017г была произведена замена гидротурбинного оборудования, МНУ, системы регулирования, механической части генераторов. Изменение параметров оборудования (давление, объем масла, параметры исполнительных устройств системы регулирования) привело к повышению температуры масла в системе регулирования и ухудшению режимов работы маслонасосов МНУ. 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327"/>
          <w:tab w:val="left" w:pos="426" w:leader="none"/>
        </w:tabs>
        <w:spacing w:before="120" w:after="240"/>
        <w:contextualSpacing/>
        <w:jc w:val="both"/>
        <w:rPr>
          <w:b/>
        </w:rPr>
      </w:pPr>
      <w:r>
        <w:rPr>
          <w:b/>
        </w:rPr>
        <w:t>Требования к участнику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  <w:t>Требования к Поставщику: отсутствие в реестре недобросовестных поставщиков (подрядчиков) ФАС России.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iCs/>
          <w:caps/>
          <w:lang w:val="ru-RU"/>
        </w:rPr>
      </w:pPr>
      <w:bookmarkStart w:id="15" w:name="_Toc180575058"/>
      <w:bookmarkStart w:id="16" w:name="_Toc145404806"/>
      <w:bookmarkStart w:id="17" w:name="_Toc51339693"/>
      <w:bookmarkEnd w:id="17"/>
      <w:r>
        <w:rPr>
          <w:iCs/>
        </w:rPr>
        <w:t>Требования к Товар</w:t>
      </w:r>
      <w:bookmarkEnd w:id="15"/>
      <w:bookmarkEnd w:id="16"/>
      <w:r>
        <w:rPr>
          <w:iCs/>
        </w:rPr>
        <w:t>у</w:t>
      </w:r>
    </w:p>
    <w:p>
      <w:pPr>
        <w:pStyle w:val="Heading4"/>
        <w:numPr>
          <w:ilvl w:val="1"/>
          <w:numId w:val="1"/>
        </w:numPr>
        <w:rPr/>
      </w:pPr>
      <w:bookmarkStart w:id="18" w:name="_Toc180575059"/>
      <w:bookmarkStart w:id="19" w:name="_Toc145404807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8"/>
      <w:bookmarkEnd w:id="19"/>
    </w:p>
    <w:p>
      <w:pPr>
        <w:pStyle w:val="Heading3"/>
        <w:numPr>
          <w:ilvl w:val="2"/>
          <w:numId w:val="1"/>
        </w:numPr>
        <w:rPr/>
      </w:pPr>
      <w:bookmarkStart w:id="20" w:name="_Toc180575060"/>
      <w:bookmarkStart w:id="21" w:name="_Toc145404808"/>
      <w:r>
        <w:rPr>
          <w:lang w:val="ru-RU"/>
        </w:rPr>
        <w:t>Перечень и объем закупаемого Товара</w:t>
      </w:r>
      <w:bookmarkEnd w:id="20"/>
      <w:bookmarkEnd w:id="2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22" w:name="_Toc180575061"/>
      <w:bookmarkStart w:id="23" w:name="_Toc145404809"/>
      <w:bookmarkStart w:id="2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4"/>
      <w:r>
        <w:rPr>
          <w:sz w:val="24"/>
          <w:szCs w:val="24"/>
          <w:lang w:val="ru-RU"/>
        </w:rPr>
        <w:t>и объем закупаемого Товара</w:t>
      </w:r>
      <w:bookmarkEnd w:id="22"/>
      <w:bookmarkEnd w:id="23"/>
    </w:p>
    <w:tbl>
      <w:tblPr>
        <w:tblW w:w="9765" w:type="dxa"/>
        <w:jc w:val="left"/>
        <w:tblInd w:w="300" w:type="dxa"/>
        <w:tblLayout w:type="fixed"/>
        <w:tblCellMar>
          <w:top w:w="0" w:type="dxa"/>
          <w:left w:w="83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86"/>
        <w:gridCol w:w="4657"/>
        <w:gridCol w:w="2884"/>
        <w:gridCol w:w="629"/>
        <w:gridCol w:w="609"/>
      </w:tblGrid>
      <w:tr>
        <w:trPr>
          <w:tblHeader w:val="true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2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>
        <w:trPr>
          <w:tblHeader w:val="true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2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5</w:t>
            </w:r>
          </w:p>
        </w:tc>
      </w:tr>
      <w:tr>
        <w:trPr/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Установка маслоохладительная</w:t>
            </w:r>
          </w:p>
        </w:tc>
        <w:tc>
          <w:tcPr>
            <w:tcW w:w="2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2317229 СБ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4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В состав каждой установки маслоохладительной п.1 входят: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Термопреобразователь сопротивления ТП-9208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2317229 Э4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Рама из швеллера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2317230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Насос в сборе с электродвигателем 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КММ-ВЕ 65-50-160б/2-У3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Аппарат теплообменный пластинчатый разборный, ЗАО «Ридан»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Тип НН№19-А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Кронштейн лубрикатора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Лубрикатор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Манометр, корпус ф100 мм, штуцер радиальный, резьба М20х1,5, без фланца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МП3-У-1МПа-1,5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>
          <w:trHeight w:val="326" w:hRule="atLeast"/>
        </w:trPr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Термометр РОСМА (0-60С) ДК100 L=64, G1/2, общетехн., гильза латунь, кл. точности 1.5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БТ-51.211, арт.D070-02097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Клапан с электромагнитом, DN50, PN10, ARI-armaturen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Тип 5282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Затвор дисковый поворотный, ARI-ZESA, DN65, PN10, тип привода - рукоятка с фиксирующим пазом Gr.1, уплотнения - NBR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Затвор дисковый поворотный с термометром биметалическим 0-60 </w:t>
            </w:r>
            <w:r>
              <w:rPr>
                <w:rFonts w:ascii="Liberation Sans" w:hAnsi="Liberation Sans"/>
                <w:color w:val="000000"/>
                <w:sz w:val="24"/>
                <w:szCs w:val="24"/>
                <w:shd w:fill="auto" w:val="clear"/>
              </w:rPr>
              <w:t>°</w:t>
            </w:r>
            <w:r>
              <w:rPr>
                <w:color w:val="000000"/>
                <w:sz w:val="24"/>
                <w:szCs w:val="24"/>
                <w:shd w:fill="auto" w:val="clear"/>
              </w:rPr>
              <w:t>C, ARI-ZESA, DN65, PN10, тип привода - рукоятка с фиксирующим пазом Gr.1, уплотнения - NBR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Пускатель двигателя 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ПМЛ-121002В, 220В, 50Гц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Реле пускателя двигателя 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РТЛ-1012 0*4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Расходомер Eletta 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FM-S25-FA65-L-150012065L 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Фильтр сетчатый (грязеуловитель), сетка 1,25 мм из нерж. стали, DN65, ARI-Strainer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фигура (рисунок) 52.059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327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Блок управления, ООО «Проэлтех» г.Череповец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МО-1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Каждый блок управления п.1.16. содержит: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Шкаф навесной 3D с платой 4х4х2, Schneider Electric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NSYS3D4420P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Комплект проушин (4 проушины)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NSYAEFPFSC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Автоматический выключатель 2-полюсный, 2А,  Siemens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5SY5202-7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Импульсный блок питания, вход 220 В AC, выход 24В DC, MeanWell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MDR-60-24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Логический модуль Siemens LOGO! , 24В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6ED1052-1HB00-0BA6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Модуль расширения термосопротивления Siemens LOGO! , 12/24В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6ED1055-1MD00-0BA1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Кабель Siemens LOGO!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6ED1057-1AA01-0BA0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Программное обеспечение Siemens LOGO! Soft Comfort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6ED1058-1BA01-0YA0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Переключатель кулачковый (3 положения)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4G 10-51-U-R014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Лампа со встроенным светодиодом зеленая, 24В, ABB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CL-502G, арт.1SF A619402R5022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Лампа со встроенным светодиодом красная, 24В, ABB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CL-502R, арт.1SF A619402R5021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Реле, 24В, ABB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CR-M024DC2L, арт.1SVR405611R1100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Цоколь для реле CR-M, ABB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CR-M4LS, арт.1SVR405651R3100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Фиксатор для реле CR-M, ABB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CR-MH, арт.1SVR405659R1000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Светодиод зеленый для реле CR, ABB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CR-P/M-62V, арт.1SVR405654R1000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Реле, 24В, ABB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CR-P024DC2, арт. 1SVR405601R1000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Цоколь, раздельные контакты, ABB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CR-PLS, арт. 1SVR405650R0000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Фиксатор, ABB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CR-PH, арт. 1SVR405659R0000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Светодиод зеленый для реле CR, ABB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CR-P/M-62V арт. 1SVR405654R1000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Клемма пружинная 4-проводная, Phoenix Contact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ST 2,5-QUATTRO, арт.3031306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28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Крышка клеммы пружинной 4-проводной, Phoenix Contact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D-ST 2,5-QUATTRO, арт.3030514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Маркировка на стопор, Phoenix Contact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KLM-A, арт.1004348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к-кт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Клемма пружинная 4-проводная заземляющая, Phoenix Contact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ST 2,5-QUATTRO-PE, арт.3031322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Стопор, Phoenix Contact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E/UK, арт.1201442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7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Мостик штекерный (2-пол.), Phoenix Contact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FBS 2-5, арт.3030161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Мостик штекерный (3-пол.), Phoenix Contact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FBS 3-5, арт.3030174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Профиль, толщина 1мм, L=2000мм, ДКС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OMEGA 3 F 35x7,5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Кабель-канал перфорированный 40х40, ДКС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Кабель-канал перфорированный 25х40, ДКС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RL6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Сальник IP54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PG16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ind w:left="0" w:hanging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ind w:left="654" w:hanging="0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Сальник IP54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PG11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</w:t>
            </w:r>
          </w:p>
        </w:tc>
      </w:tr>
      <w:tr>
        <w:trPr/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0" w:hanging="0"/>
              <w:rPr>
                <w:rFonts w:eastAsia="Times New Roman"/>
                <w:color w:val="000000"/>
                <w:highlight w:val="none"/>
                <w:shd w:fill="auto" w:val="clear"/>
              </w:rPr>
            </w:pPr>
            <w:r>
              <w:rPr>
                <w:rFonts w:eastAsia="Times New Roman"/>
                <w:color w:val="000000"/>
                <w:shd w:fill="auto" w:val="clear"/>
              </w:rPr>
            </w:r>
          </w:p>
        </w:tc>
        <w:tc>
          <w:tcPr>
            <w:tcW w:w="4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Трубопровод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ы </w:t>
            </w:r>
            <w:r>
              <w:rPr>
                <w:color w:val="000000"/>
                <w:sz w:val="24"/>
                <w:szCs w:val="24"/>
                <w:shd w:fill="auto" w:val="clear"/>
              </w:rPr>
              <w:t>маслоохладител</w:t>
            </w:r>
            <w:r>
              <w:rPr>
                <w:color w:val="000000"/>
                <w:sz w:val="24"/>
                <w:szCs w:val="24"/>
                <w:shd w:fill="auto" w:val="clear"/>
              </w:rPr>
              <w:t>ьной установки</w:t>
            </w:r>
          </w:p>
        </w:tc>
        <w:tc>
          <w:tcPr>
            <w:tcW w:w="288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ПР.19.00.00 СБ, ПР 19.01.00 МЧ</w:t>
            </w:r>
          </w:p>
        </w:tc>
        <w:tc>
          <w:tcPr>
            <w:tcW w:w="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4</w:t>
            </w:r>
          </w:p>
        </w:tc>
      </w:tr>
    </w:tbl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25" w:name="_Toc51339695_Копия_1"/>
      <w:bookmarkStart w:id="26" w:name="_Toc180575061_Копия_1"/>
      <w:bookmarkStart w:id="27" w:name="_Toc145404809_Копия_1"/>
      <w:r>
        <w:rPr>
          <w:sz w:val="24"/>
          <w:szCs w:val="24"/>
          <w:lang w:val="ru-RU"/>
        </w:rPr>
        <w:t xml:space="preserve">Таблица 1.2 </w:t>
      </w:r>
      <w:bookmarkEnd w:id="25"/>
      <w:bookmarkEnd w:id="26"/>
      <w:bookmarkEnd w:id="27"/>
      <w:r>
        <w:rPr>
          <w:sz w:val="24"/>
          <w:szCs w:val="24"/>
          <w:lang w:val="ru-RU"/>
        </w:rPr>
        <w:t>Требуемые технические характеристики основных узлов Товара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238"/>
        <w:gridCol w:w="5654"/>
        <w:gridCol w:w="3029"/>
      </w:tblGrid>
      <w:tr>
        <w:trPr/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Насос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Типа насоса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центробежный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насоса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КММ-ВЕ 65-50-160б/2-У3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насоса, Q, м3/ч, не менее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напор насоса, м , не менее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частота вращения насоса, об/мин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среда насоса*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Турбинное масло ТП-30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Электродвигатель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Маркировка типа электродвигателя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АИМЛ 90 L 2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электродвигателя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Асинхронный, взрывозащищенный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Маркировка взрывозащиты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1ExdIIBT4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электродвигателя, кВт, не менее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частота вращения электродвигателя, об/мин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питания электродвигателя, В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электрической сети питания электродвигателя, Гц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электродвигателя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3кВт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 электродвигателя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климат, категория размещения 2.5 под навесом, без прямого попадания воды;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Аппарат теплообменный пластинчатый разборный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Тип аппарата 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НН№19-А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Количество пластин, шт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134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Тепловая нагрузка, ккал/ч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97000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Размер стяжки, мм, не менее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342</w:t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Расходомер Eletta FM-S25-FA65-L-150012065L 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расхода рабочей среды, л/мин</w:t>
            </w:r>
          </w:p>
        </w:tc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100-500</w:t>
            </w:r>
          </w:p>
        </w:tc>
      </w:tr>
    </w:tbl>
    <w:p>
      <w:pPr>
        <w:pStyle w:val="Heading1"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3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1"/>
        </w:numPr>
        <w:rPr>
          <w:lang w:val="ru-RU"/>
        </w:rPr>
      </w:pPr>
      <w:bookmarkStart w:id="28" w:name="_Toc180575062"/>
      <w:bookmarkStart w:id="29" w:name="_Toc145404818"/>
      <w:bookmarkStart w:id="30" w:name="_Toc51339696"/>
      <w:r>
        <w:rPr>
          <w:lang w:val="ru-RU"/>
        </w:rPr>
        <w:t xml:space="preserve">Требования </w:t>
      </w:r>
      <w:bookmarkEnd w:id="30"/>
      <w:r>
        <w:rPr>
          <w:lang w:val="ru-RU"/>
        </w:rPr>
        <w:t>к срокам поставки Товара и оказания сопутствующих услуг</w:t>
      </w:r>
      <w:bookmarkEnd w:id="28"/>
      <w:bookmarkEnd w:id="2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31" w:name="_Toc180575063"/>
      <w:bookmarkStart w:id="32" w:name="_Toc145404819"/>
      <w:bookmarkStart w:id="33" w:name="_Toc51339697"/>
      <w:bookmarkStart w:id="34" w:name="_Toc50125127"/>
      <w:bookmarkStart w:id="35" w:name="_Toc501251261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3"/>
      <w:bookmarkEnd w:id="34"/>
      <w:bookmarkEnd w:id="36"/>
      <w:r>
        <w:rPr>
          <w:sz w:val="24"/>
          <w:szCs w:val="24"/>
          <w:lang w:val="ru-RU"/>
        </w:rPr>
        <w:t>поставки Товара</w:t>
      </w:r>
      <w:bookmarkEnd w:id="31"/>
      <w:bookmarkEnd w:id="32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51" w:type="dxa"/>
        <w:tblLayout w:type="fixed"/>
        <w:tblCellMar>
          <w:top w:w="0" w:type="dxa"/>
          <w:left w:w="8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1"/>
        <w:gridCol w:w="2539"/>
        <w:gridCol w:w="1473"/>
        <w:gridCol w:w="2263"/>
        <w:gridCol w:w="2890"/>
      </w:tblGrid>
      <w:tr>
        <w:trPr>
          <w:tblHeader w:val="true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 / партии Товара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работ</w:t>
            </w:r>
          </w:p>
        </w:tc>
        <w:tc>
          <w:tcPr>
            <w:tcW w:w="2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Товара</w:t>
            </w:r>
          </w:p>
        </w:tc>
      </w:tr>
      <w:tr>
        <w:trPr>
          <w:tblHeader w:val="true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Установка маслоохладительная черт.2317229 СБ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10.12.2028г.</w:t>
            </w:r>
          </w:p>
        </w:tc>
      </w:tr>
      <w:tr>
        <w:trPr/>
        <w:tc>
          <w:tcPr>
            <w:tcW w:w="6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Трубопровод</w:t>
            </w:r>
            <w:r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маслоохладител</w:t>
            </w:r>
            <w:r>
              <w:rPr>
                <w:color w:val="000000"/>
                <w:sz w:val="24"/>
                <w:szCs w:val="24"/>
              </w:rPr>
              <w:t>ьной</w:t>
            </w:r>
            <w:r>
              <w:rPr>
                <w:color w:val="000000"/>
                <w:sz w:val="24"/>
                <w:szCs w:val="24"/>
              </w:rPr>
              <w:t xml:space="preserve"> установки </w:t>
            </w:r>
            <w:r>
              <w:rPr>
                <w:color w:val="000000"/>
                <w:sz w:val="24"/>
                <w:szCs w:val="24"/>
              </w:rPr>
              <w:t xml:space="preserve">черт. </w:t>
            </w:r>
            <w:r>
              <w:rPr>
                <w:color w:val="000000"/>
                <w:sz w:val="24"/>
                <w:szCs w:val="24"/>
                <w:shd w:fill="auto" w:val="clear"/>
              </w:rPr>
              <w:t>ПР.19.00.00 СБ, ПР 19.01.00 МЧ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10.12.2028г.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1"/>
        </w:numPr>
        <w:rPr/>
      </w:pPr>
      <w:bookmarkStart w:id="37" w:name="_Toc51339698"/>
      <w:bookmarkStart w:id="38" w:name="_Toc180575064"/>
      <w:bookmarkStart w:id="39" w:name="_Toc145404820"/>
      <w:bookmarkStart w:id="40" w:name="_Toc46743511"/>
      <w:r>
        <w:rPr/>
        <w:t xml:space="preserve">Требования к </w:t>
      </w:r>
      <w:bookmarkEnd w:id="40"/>
      <w:r>
        <w:rPr>
          <w:lang w:val="ru-RU"/>
        </w:rPr>
        <w:t>качеству Товара</w:t>
      </w:r>
      <w:bookmarkEnd w:id="38"/>
      <w:bookmarkEnd w:id="3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41" w:name="_Toc180575065"/>
      <w:bookmarkStart w:id="42" w:name="_Toc1454048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Товар</w:t>
      </w:r>
      <w:bookmarkEnd w:id="37"/>
      <w:bookmarkEnd w:id="41"/>
      <w:bookmarkEnd w:id="42"/>
      <w:r>
        <w:rPr>
          <w:sz w:val="24"/>
          <w:szCs w:val="24"/>
          <w:lang w:val="ru-RU"/>
        </w:rPr>
        <w:t>у</w:t>
      </w:r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8"/>
        </w:rPr>
      </w:pPr>
      <w:r>
        <w:rPr/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Товара: ОКПД2 28.11.32.000 Поставка маслоохладительных установок для модернизации маслонапорных установок гидроагрегатов Филиала ПАО «РусГидро» - «Жигулевская ГЭС»</w:t>
      </w:r>
    </w:p>
    <w:p>
      <w:pPr>
        <w:pStyle w:val="Normal"/>
        <w:jc w:val="both"/>
        <w:rPr>
          <w:b/>
        </w:rPr>
      </w:pPr>
      <w:r>
        <w:rPr>
          <w:b/>
        </w:rPr>
      </w:r>
    </w:p>
    <w:tbl>
      <w:tblPr>
        <w:tblStyle w:val="affff9"/>
        <w:tblW w:w="15309" w:type="dxa"/>
        <w:jc w:val="left"/>
        <w:tblInd w:w="146" w:type="dxa"/>
        <w:tblLayout w:type="fixed"/>
        <w:tblCellMar>
          <w:top w:w="0" w:type="dxa"/>
          <w:left w:w="8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1995"/>
        <w:gridCol w:w="32"/>
        <w:gridCol w:w="12"/>
        <w:gridCol w:w="461"/>
        <w:gridCol w:w="2500"/>
        <w:gridCol w:w="2927"/>
        <w:gridCol w:w="3201"/>
        <w:gridCol w:w="3334"/>
      </w:tblGrid>
      <w:tr>
        <w:trPr/>
        <w:tc>
          <w:tcPr>
            <w:tcW w:w="84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п/п</w:t>
            </w:r>
          </w:p>
        </w:tc>
        <w:tc>
          <w:tcPr>
            <w:tcW w:w="2039" w:type="dxa"/>
            <w:gridSpan w:val="3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61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Требование Покупателя</w:t>
            </w:r>
          </w:p>
        </w:tc>
        <w:tc>
          <w:tcPr>
            <w:tcW w:w="612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3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039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961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9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3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2039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</w:t>
            </w:r>
          </w:p>
        </w:tc>
        <w:tc>
          <w:tcPr>
            <w:tcW w:w="296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29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4</w:t>
            </w:r>
          </w:p>
        </w:tc>
        <w:tc>
          <w:tcPr>
            <w:tcW w:w="32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5</w:t>
            </w:r>
          </w:p>
        </w:tc>
        <w:tc>
          <w:tcPr>
            <w:tcW w:w="33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03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Использование эквивалентов</w:t>
            </w:r>
          </w:p>
        </w:tc>
        <w:tc>
          <w:tcPr>
            <w:tcW w:w="296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Возможно использование эквивалентов составных частей Товара при условии письменного согласования с Покупателем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02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1066" w:leader="none"/>
              </w:tabs>
              <w:suppressAutoHyphens w:val="true"/>
              <w:spacing w:lineRule="auto" w:line="276" w:before="0" w:after="20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информационной безопасности результата оказания услуг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973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1066" w:leader="none"/>
              </w:tabs>
              <w:suppressAutoHyphens w:val="true"/>
              <w:spacing w:before="0" w:after="200"/>
              <w:ind w:left="74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информационной безопасности должны обеспечиваться на всех стадиях жизненного цикла Систем с учетом всех сторон, вовлеченных в процессы жизненного цикла (разработчиков, покупателей, поставщиков продуктов и услуг, эксплуатирующих и надзорных подразделений Общества).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02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1066" w:leader="none"/>
              </w:tabs>
              <w:suppressAutoHyphens w:val="true"/>
              <w:spacing w:before="0" w:after="200"/>
              <w:contextualSpacing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973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1066" w:leader="none"/>
              </w:tabs>
              <w:suppressAutoHyphens w:val="true"/>
              <w:spacing w:before="0" w:after="200"/>
              <w:ind w:left="74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Въезд автотранспорта на территорию филиала ПАО «РусГидро» - «Жигулевская ГЭС» допускается только без попутного груза, либо пустым.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199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Требования к конструкции</w:t>
            </w:r>
          </w:p>
        </w:tc>
        <w:tc>
          <w:tcPr>
            <w:tcW w:w="3005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Конструкция поставляемого Товара должна соответствовать требованиям чертежей согласно табл.1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199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005" w:type="dxa"/>
            <w:gridSpan w:val="4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Внутренние поверхности всех труб, фланцев, отводов, уголков поставляемых в комплекте должны быть гладкими, чистыми, без следов окалины, коррозии песка, грязи.</w:t>
            </w:r>
          </w:p>
        </w:tc>
        <w:tc>
          <w:tcPr>
            <w:tcW w:w="29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199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en-US" w:eastAsia="ru-RU" w:bidi="ar-SA"/>
              </w:rPr>
              <w:t xml:space="preserve">Требования к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материалам</w:t>
            </w:r>
          </w:p>
        </w:tc>
        <w:tc>
          <w:tcPr>
            <w:tcW w:w="3005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При оказании услуг должны применяться продукция, материалы и вещества, соответствие которых подтверждено декларацией о соответствии или сертификатом соответствия.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199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005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Все применяемые материалы должны быть новыми и не использоваться ранее.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039" w:type="dxa"/>
            <w:gridSpan w:val="3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Доставка, разгрузка и перемещение Товара</w:t>
            </w:r>
          </w:p>
        </w:tc>
        <w:tc>
          <w:tcPr>
            <w:tcW w:w="296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Транспортировка до склада Покупателя выполняется силами и средствами Поставщика. Выгрузка Товара на складе Покупателя выполняется силами и средствами Покупателя. Погрузка и выгрузка Товара вне территории склада Покупателя выполняется силами и средствами Поставщика.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039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96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Товар в упаковке может транспортироваться любым видом транспорта с верхним типом погрузки/выгрузки.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039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96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Продукция должна быть доставлена поставщиком по адресу: Российская Федерация, 445350, Самарская область, город Жигулевск, Московское шоссе, дом 2. Разгрузка осуществляется за счёт поставщика. Приемка Товара в рабочие дни с 08:00 до 15:00 по местному времени. Информация о транспорте (марка, гос.номер), на котором осуществляется доставка, а также Ф.И.О., дата рождения и номер водительского удостоверения водителя и сопровождающих лиц (при наличии) для оформления допуска на территорию предоставляется не позднее предыдущего рабочего дня до прибытия транспорта, до 15:00.</w:t>
            </w:r>
          </w:p>
        </w:tc>
        <w:tc>
          <w:tcPr>
            <w:tcW w:w="29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>
              <w:top w:val="nil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 истечении 72 часов непрерывной работы с момента наступления режима эксплуатации и отсутствии отклонений в работе гидротурбины зап. части и материалы принимаются в эксплуатацию.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03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Срок гарантии</w:t>
            </w:r>
          </w:p>
        </w:tc>
        <w:tc>
          <w:tcPr>
            <w:tcW w:w="296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Гарантийный срок эксплуатации не менее 36 месяцев с момента ввода в эксплуатацию (указан в п.6.1.).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uppressAutoHyphens w:val="true"/>
              <w:spacing w:before="4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039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96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Cs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039" w:type="dxa"/>
            <w:gridSpan w:val="3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Cs/>
                <w:color w:val="00000A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961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Cs/>
                <w:color w:val="00000A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00000A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Средства измерения (манометры, термометры) входящие в состав Товара должны иметь действительную поверку на момент поставки Товара Покупателю.</w:t>
            </w:r>
          </w:p>
        </w:tc>
        <w:tc>
          <w:tcPr>
            <w:tcW w:w="29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039" w:type="dxa"/>
            <w:gridSpan w:val="3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Документы, передаваемые вместе с оборудованием</w:t>
            </w:r>
          </w:p>
        </w:tc>
        <w:tc>
          <w:tcPr>
            <w:tcW w:w="2961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 (на каждое изделие, либо на каждый комплект изделий):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сертификаты качества,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технические паспорта,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руководства по эксплуатации,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протоколы заводских испытаний (измерений), товарную накладную унифицированной формы ТОРГ 12 в 2 экз. Все документы на русском языке (обязательно).</w:t>
            </w:r>
          </w:p>
        </w:tc>
        <w:tc>
          <w:tcPr>
            <w:tcW w:w="29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экономическим параметрам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500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Назначенный срок службы, не менее</w:t>
            </w:r>
          </w:p>
        </w:tc>
        <w:tc>
          <w:tcPr>
            <w:tcW w:w="250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40 лет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сопутствующим услугам: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шефмонтажу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шефналадке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прочим услугам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000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Прочие (дополнительные) требования к Товару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lang w:val="ru-RU"/>
        </w:rPr>
      </w:pPr>
      <w:bookmarkStart w:id="43" w:name="_Toc180575066"/>
      <w:bookmarkStart w:id="44" w:name="_Toc145404822"/>
      <w:bookmarkStart w:id="45" w:name="_Toc53393312"/>
      <w:r>
        <w:rPr>
          <w:lang w:val="ru-RU"/>
        </w:rPr>
        <w:t>Требования к документации по ценообразованию</w:t>
      </w:r>
      <w:bookmarkEnd w:id="45"/>
      <w:r>
        <w:rPr>
          <w:lang w:val="ru-RU"/>
        </w:rPr>
        <w:t xml:space="preserve"> на этапе закупки</w:t>
      </w:r>
      <w:bookmarkEnd w:id="43"/>
      <w:bookmarkEnd w:id="44"/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60" w:after="0"/>
        <w:jc w:val="both"/>
        <w:rPr>
          <w:rStyle w:val="Style8"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numPr>
          <w:ilvl w:val="1"/>
          <w:numId w:val="5"/>
        </w:numPr>
        <w:spacing w:before="0" w:after="120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 xml:space="preserve">В обоснование стоимости своей заявки Поставщик предоставляет Коммерческое предложение по форме </w:t>
      </w:r>
      <w:bookmarkStart w:id="46" w:name="_Hlk88325985"/>
      <w:r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46"/>
      <w:r>
        <w:rPr>
          <w:bCs/>
          <w:iCs/>
          <w:sz w:val="24"/>
          <w:szCs w:val="24"/>
          <w:lang w:eastAsia="x-none"/>
        </w:rPr>
        <w:t>, приведенной в Документации о закупке.</w:t>
      </w:r>
    </w:p>
    <w:p>
      <w:pPr>
        <w:pStyle w:val="Normal"/>
        <w:numPr>
          <w:ilvl w:val="1"/>
          <w:numId w:val="5"/>
        </w:numPr>
        <w:spacing w:before="0" w:after="120"/>
        <w:jc w:val="both"/>
        <w:rPr>
          <w:sz w:val="24"/>
          <w:szCs w:val="24"/>
        </w:rPr>
      </w:pPr>
      <w:r>
        <w:rPr>
          <w:rFonts w:eastAsia="Calibri"/>
          <w:bCs/>
          <w:iCs/>
          <w:sz w:val="24"/>
          <w:szCs w:val="24"/>
          <w:lang w:val="x-none" w:eastAsia="x-none"/>
        </w:rPr>
        <w:t>Вместе с Коммерческим предложением Поставщик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iCs/>
          <w:caps/>
        </w:rPr>
      </w:pPr>
      <w:bookmarkStart w:id="47" w:name="_Toc180575067"/>
      <w:bookmarkStart w:id="48" w:name="_Toc145404823"/>
      <w:r>
        <w:rPr>
          <w:iCs/>
        </w:rPr>
        <w:t>Приложения</w:t>
      </w:r>
      <w:bookmarkEnd w:id="47"/>
      <w:bookmarkEnd w:id="48"/>
    </w:p>
    <w:p>
      <w:pPr>
        <w:pStyle w:val="Heading1"/>
        <w:keepLines/>
        <w:tabs>
          <w:tab w:val="clear" w:pos="0"/>
        </w:tabs>
        <w:ind w:left="1134" w:hanging="425"/>
        <w:rPr>
          <w:b w:val="false"/>
          <w:iCs/>
          <w:sz w:val="24"/>
          <w:szCs w:val="24"/>
          <w:lang w:val="ru-RU"/>
        </w:rPr>
      </w:pPr>
      <w:bookmarkStart w:id="49" w:name="_Toc180575068"/>
      <w:bookmarkStart w:id="50" w:name="_Toc143854335"/>
      <w:bookmarkStart w:id="51" w:name="_Toc130454102"/>
      <w:r>
        <w:rPr>
          <w:b w:val="false"/>
          <w:iCs/>
          <w:sz w:val="24"/>
          <w:szCs w:val="24"/>
        </w:rPr>
        <w:t>Приложение №1</w:t>
      </w:r>
      <w:r>
        <w:rPr>
          <w:b w:val="false"/>
          <w:iCs/>
          <w:sz w:val="24"/>
          <w:szCs w:val="24"/>
          <w:lang w:val="ru-RU"/>
        </w:rPr>
        <w:t xml:space="preserve">: </w:t>
      </w:r>
      <w:bookmarkStart w:id="52" w:name="_Toc130454103"/>
      <w:bookmarkEnd w:id="51"/>
      <w:r>
        <w:rPr>
          <w:b w:val="false"/>
          <w:iCs/>
          <w:sz w:val="24"/>
          <w:szCs w:val="24"/>
          <w:lang w:val="ru-RU"/>
        </w:rPr>
        <w:t>Спецификация поставляемого Товара</w:t>
      </w:r>
      <w:bookmarkEnd w:id="49"/>
      <w:bookmarkEnd w:id="50"/>
      <w:bookmarkEnd w:id="52"/>
    </w:p>
    <w:p>
      <w:pPr>
        <w:pStyle w:val="Heading1"/>
        <w:keepLines/>
        <w:tabs>
          <w:tab w:val="clear" w:pos="0"/>
        </w:tabs>
        <w:ind w:left="1134" w:hanging="425"/>
        <w:rPr>
          <w:b w:val="false"/>
          <w:iCs/>
          <w:sz w:val="24"/>
          <w:szCs w:val="24"/>
          <w:lang w:val="ru-RU"/>
        </w:rPr>
      </w:pPr>
      <w:bookmarkStart w:id="53" w:name="_Toc180575069"/>
      <w:bookmarkStart w:id="54" w:name="_Toc130454105"/>
      <w:bookmarkStart w:id="55" w:name="_Toc143854337"/>
      <w:r>
        <w:rPr>
          <w:b w:val="false"/>
          <w:iCs/>
          <w:sz w:val="24"/>
          <w:szCs w:val="24"/>
          <w:lang w:val="ru-RU"/>
        </w:rPr>
        <w:t>Приложение №2: Перечень и объем закупаемого Товара</w:t>
      </w:r>
      <w:bookmarkEnd w:id="53"/>
      <w:bookmarkEnd w:id="54"/>
      <w:bookmarkEnd w:id="55"/>
    </w:p>
    <w:p>
      <w:pPr>
        <w:pStyle w:val="Heading1"/>
        <w:keepLines/>
        <w:tabs>
          <w:tab w:val="clear" w:pos="0"/>
        </w:tabs>
        <w:ind w:left="1134" w:hanging="425"/>
        <w:rPr>
          <w:b w:val="false"/>
          <w:iCs/>
          <w:sz w:val="24"/>
          <w:szCs w:val="24"/>
          <w:lang w:val="ru-RU"/>
        </w:rPr>
      </w:pPr>
      <w:r>
        <w:rPr>
          <w:b w:val="false"/>
          <w:iCs/>
          <w:sz w:val="24"/>
          <w:szCs w:val="24"/>
          <w:lang w:val="ru-RU"/>
        </w:rPr>
      </w:r>
    </w:p>
    <w:p>
      <w:pPr>
        <w:pStyle w:val="Normal"/>
        <w:suppressAutoHyphens w:val="false"/>
        <w:jc w:val="both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Контактный телефон специалиста станции, ответственного за ответы на вопросы по ТТ:</w:t>
      </w:r>
    </w:p>
    <w:p>
      <w:pPr>
        <w:pStyle w:val="Normal"/>
        <w:suppressAutoHyphens w:val="false"/>
        <w:rPr>
          <w:b/>
          <w:color w:val="auto"/>
        </w:rPr>
      </w:pPr>
      <w:r>
        <w:rPr>
          <w:bCs/>
          <w:color w:val="auto"/>
          <w:sz w:val="24"/>
          <w:szCs w:val="24"/>
          <w:u w:val="single"/>
        </w:rPr>
        <w:t>Ф.И.О. Базин Сергей Павлович</w:t>
      </w:r>
      <w:r>
        <w:rPr>
          <w:bCs/>
          <w:color w:val="auto"/>
          <w:sz w:val="24"/>
          <w:szCs w:val="24"/>
        </w:rPr>
        <w:t xml:space="preserve">  </w:t>
      </w:r>
      <w:r>
        <w:rPr>
          <w:bCs/>
          <w:color w:val="auto"/>
          <w:sz w:val="24"/>
          <w:szCs w:val="24"/>
          <w:u w:val="single"/>
        </w:rPr>
        <w:t>тел. +7(84862) 75-1-22.</w:t>
      </w:r>
      <w:r>
        <w:rPr>
          <w:b/>
          <w:color w:val="auto"/>
        </w:rPr>
        <w:t xml:space="preserve"> </w:t>
      </w:r>
    </w:p>
    <w:p>
      <w:pPr>
        <w:pStyle w:val="Normal"/>
        <w:suppressAutoHyphens w:val="false"/>
        <w:ind w:right="-2" w:hanging="0"/>
        <w:jc w:val="both"/>
        <w:rPr>
          <w:bCs/>
          <w:iCs/>
          <w:color w:val="auto"/>
          <w:sz w:val="24"/>
          <w:szCs w:val="24"/>
          <w:lang w:eastAsia="en-US"/>
        </w:rPr>
      </w:pPr>
      <w:r>
        <w:rPr>
          <w:bCs/>
          <w:iCs/>
          <w:color w:val="auto"/>
          <w:sz w:val="24"/>
          <w:szCs w:val="24"/>
          <w:lang w:eastAsia="en-US"/>
        </w:rPr>
      </w:r>
    </w:p>
    <w:p>
      <w:pPr>
        <w:pStyle w:val="Normal"/>
        <w:suppressAutoHyphens w:val="false"/>
        <w:spacing w:lineRule="auto" w:line="216" w:before="0" w:after="120"/>
        <w:jc w:val="both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ТТ РАЗРАБОТАНЫ:</w:t>
      </w:r>
    </w:p>
    <w:p>
      <w:pPr>
        <w:pStyle w:val="Normal"/>
        <w:suppressAutoHyphens w:val="false"/>
        <w:spacing w:lineRule="auto" w:line="216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Инженер группы ТиГМО ПТС</w:t>
        <w:tab/>
        <w:tab/>
        <w:tab/>
        <w:t>______________ С.П. Базин</w:t>
      </w:r>
    </w:p>
    <w:p>
      <w:pPr>
        <w:pStyle w:val="Normal"/>
        <w:suppressAutoHyphens w:val="false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</w:r>
    </w:p>
    <w:p>
      <w:pPr>
        <w:pStyle w:val="Normal"/>
        <w:suppressAutoHyphens w:val="false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</w:r>
    </w:p>
    <w:p>
      <w:pPr>
        <w:pStyle w:val="Normal"/>
        <w:suppressAutoHyphens w:val="false"/>
        <w:spacing w:lineRule="auto" w:line="216" w:before="0" w:after="120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СОГЛАСОВАНО:</w:t>
      </w:r>
    </w:p>
    <w:tbl>
      <w:tblPr>
        <w:tblW w:w="935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8"/>
        <w:gridCol w:w="1414"/>
        <w:gridCol w:w="2132"/>
        <w:gridCol w:w="278"/>
        <w:gridCol w:w="851"/>
        <w:gridCol w:w="1842"/>
        <w:gridCol w:w="1985"/>
      </w:tblGrid>
      <w:tr>
        <w:trPr/>
        <w:tc>
          <w:tcPr>
            <w:tcW w:w="4394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Зам. гл. инженера по технической части</w:t>
            </w:r>
          </w:p>
        </w:tc>
        <w:tc>
          <w:tcPr>
            <w:tcW w:w="2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4678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Зам. гл. инженера по эксплуатации</w:t>
            </w:r>
          </w:p>
        </w:tc>
      </w:tr>
      <w:tr>
        <w:trPr>
          <w:trHeight w:val="288" w:hRule="atLeast"/>
        </w:trPr>
        <w:tc>
          <w:tcPr>
            <w:tcW w:w="2262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13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/ М.В. Блинов</w:t>
            </w:r>
          </w:p>
        </w:tc>
        <w:tc>
          <w:tcPr>
            <w:tcW w:w="2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 А.А. Катайцев</w:t>
            </w:r>
          </w:p>
        </w:tc>
      </w:tr>
      <w:tr>
        <w:trPr/>
        <w:tc>
          <w:tcPr>
            <w:tcW w:w="2262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13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color w:val="auto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213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  <w:tc>
          <w:tcPr>
            <w:tcW w:w="2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</w:tr>
    </w:tbl>
    <w:p>
      <w:pPr>
        <w:pStyle w:val="Normal"/>
        <w:suppressAutoHyphens w:val="false"/>
        <w:rPr>
          <w:b/>
          <w:color w:val="auto"/>
        </w:rPr>
      </w:pPr>
      <w:r>
        <w:rPr>
          <w:b/>
          <w:color w:val="auto"/>
        </w:rPr>
      </w:r>
    </w:p>
    <w:tbl>
      <w:tblPr>
        <w:tblW w:w="941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8"/>
        <w:gridCol w:w="1417"/>
        <w:gridCol w:w="1982"/>
        <w:gridCol w:w="491"/>
        <w:gridCol w:w="852"/>
        <w:gridCol w:w="1838"/>
        <w:gridCol w:w="1985"/>
      </w:tblGrid>
      <w:tr>
        <w:trPr/>
        <w:tc>
          <w:tcPr>
            <w:tcW w:w="424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ПТС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46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СОТиПК</w:t>
            </w:r>
          </w:p>
        </w:tc>
      </w:tr>
      <w:tr>
        <w:trPr>
          <w:trHeight w:val="288" w:hRule="atLeast"/>
        </w:trPr>
        <w:tc>
          <w:tcPr>
            <w:tcW w:w="226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9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  <w:t>/</w:t>
            </w:r>
            <w:r>
              <w:rPr>
                <w:color w:val="auto"/>
                <w:sz w:val="24"/>
                <w:szCs w:val="24"/>
              </w:rPr>
              <w:t xml:space="preserve"> Р.Е. Лессик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90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</w:rPr>
              <w:t>/</w:t>
            </w:r>
            <w:r>
              <w:rPr>
                <w:color w:val="auto"/>
                <w:sz w:val="24"/>
                <w:szCs w:val="24"/>
              </w:rPr>
              <w:t xml:space="preserve"> С.Л. Михайлов</w:t>
            </w:r>
          </w:p>
        </w:tc>
      </w:tr>
      <w:tr>
        <w:trPr/>
        <w:tc>
          <w:tcPr>
            <w:tcW w:w="2265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color w:val="auto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  <w:tr>
        <w:trPr>
          <w:trHeight w:val="62" w:hRule="atLeast"/>
        </w:trPr>
        <w:tc>
          <w:tcPr>
            <w:tcW w:w="8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</w:tr>
    </w:tbl>
    <w:p>
      <w:pPr>
        <w:pStyle w:val="Normal"/>
        <w:suppressAutoHyphens w:val="false"/>
        <w:rPr>
          <w:b/>
          <w:color w:val="auto"/>
        </w:rPr>
      </w:pPr>
      <w:r>
        <w:rPr>
          <w:b/>
          <w:color w:val="auto"/>
        </w:rPr>
      </w:r>
    </w:p>
    <w:tbl>
      <w:tblPr>
        <w:tblW w:w="941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8"/>
        <w:gridCol w:w="1417"/>
        <w:gridCol w:w="1982"/>
        <w:gridCol w:w="491"/>
        <w:gridCol w:w="852"/>
        <w:gridCol w:w="1838"/>
        <w:gridCol w:w="1985"/>
      </w:tblGrid>
      <w:tr>
        <w:trPr/>
        <w:tc>
          <w:tcPr>
            <w:tcW w:w="424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отдела закупок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46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СПСР, ТП и Р</w:t>
            </w:r>
          </w:p>
        </w:tc>
      </w:tr>
      <w:tr>
        <w:trPr>
          <w:trHeight w:val="288" w:hRule="atLeast"/>
        </w:trPr>
        <w:tc>
          <w:tcPr>
            <w:tcW w:w="226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9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/ А.В. Ефремов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90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 Т.И. Лукоянова</w:t>
            </w:r>
          </w:p>
        </w:tc>
      </w:tr>
      <w:tr>
        <w:trPr/>
        <w:tc>
          <w:tcPr>
            <w:tcW w:w="2265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color w:val="auto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</w:tr>
    </w:tbl>
    <w:p>
      <w:pPr>
        <w:pStyle w:val="Normal"/>
        <w:suppressAutoHyphens w:val="false"/>
        <w:rPr>
          <w:b/>
          <w:color w:val="auto"/>
        </w:rPr>
      </w:pPr>
      <w:r>
        <w:rPr>
          <w:b/>
          <w:color w:val="auto"/>
        </w:rPr>
      </w:r>
    </w:p>
    <w:p>
      <w:pPr>
        <w:pStyle w:val="Normal"/>
        <w:suppressAutoHyphens w:val="false"/>
        <w:rPr>
          <w:b/>
          <w:color w:val="auto"/>
        </w:rPr>
      </w:pPr>
      <w:r>
        <w:rPr>
          <w:b/>
          <w:color w:val="auto"/>
        </w:rPr>
      </w:r>
    </w:p>
    <w:p>
      <w:pPr>
        <w:pStyle w:val="Normal"/>
        <w:suppressAutoHyphens w:val="false"/>
        <w:rPr>
          <w:b/>
          <w:color w:val="auto"/>
        </w:rPr>
      </w:pPr>
      <w:r>
        <w:rPr>
          <w:b/>
          <w:color w:val="auto"/>
        </w:rPr>
      </w:r>
    </w:p>
    <w:p>
      <w:pPr>
        <w:pStyle w:val="Normal"/>
        <w:suppressAutoHyphens w:val="false"/>
        <w:rPr>
          <w:b/>
          <w:color w:val="auto"/>
        </w:rPr>
      </w:pPr>
      <w:r>
        <w:rPr>
          <w:b/>
          <w:color w:val="auto"/>
        </w:rPr>
      </w:r>
    </w:p>
    <w:p>
      <w:pPr>
        <w:pStyle w:val="Normal"/>
        <w:suppressAutoHyphens w:val="false"/>
        <w:rPr>
          <w:b/>
          <w:color w:val="auto"/>
        </w:rPr>
      </w:pPr>
      <w:r>
        <w:rPr>
          <w:b/>
          <w:color w:val="auto"/>
        </w:rPr>
      </w:r>
    </w:p>
    <w:p>
      <w:pPr>
        <w:pStyle w:val="Normal"/>
        <w:suppressAutoHyphens w:val="false"/>
        <w:rPr>
          <w:b/>
          <w:color w:val="auto"/>
        </w:rPr>
      </w:pPr>
      <w:r>
        <w:rPr>
          <w:b/>
          <w:color w:val="auto"/>
        </w:rPr>
      </w:r>
    </w:p>
    <w:tbl>
      <w:tblPr>
        <w:tblW w:w="941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8"/>
        <w:gridCol w:w="1417"/>
        <w:gridCol w:w="1982"/>
        <w:gridCol w:w="491"/>
        <w:gridCol w:w="852"/>
        <w:gridCol w:w="1838"/>
        <w:gridCol w:w="1985"/>
      </w:tblGrid>
      <w:tr>
        <w:trPr/>
        <w:tc>
          <w:tcPr>
            <w:tcW w:w="424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отдела МТО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46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службы</w:t>
            </w:r>
          </w:p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безопасности</w:t>
            </w:r>
          </w:p>
        </w:tc>
      </w:tr>
      <w:tr>
        <w:trPr>
          <w:trHeight w:val="288" w:hRule="atLeast"/>
        </w:trPr>
        <w:tc>
          <w:tcPr>
            <w:tcW w:w="226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9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/ Д.А. Ганин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90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 А.Н. Пуртов</w:t>
            </w:r>
          </w:p>
        </w:tc>
      </w:tr>
      <w:tr>
        <w:trPr/>
        <w:tc>
          <w:tcPr>
            <w:tcW w:w="2265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color w:val="auto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</w:tr>
    </w:tbl>
    <w:p>
      <w:pPr>
        <w:pStyle w:val="Normal"/>
        <w:suppressAutoHyphens w:val="false"/>
        <w:rPr>
          <w:b/>
          <w:color w:val="auto"/>
        </w:rPr>
      </w:pPr>
      <w:r>
        <w:rPr>
          <w:b/>
          <w:color w:val="auto"/>
        </w:rPr>
      </w:r>
    </w:p>
    <w:p>
      <w:pPr>
        <w:pStyle w:val="Normal"/>
        <w:suppressAutoHyphens w:val="false"/>
        <w:rPr>
          <w:b/>
          <w:color w:val="auto"/>
        </w:rPr>
      </w:pPr>
      <w:r>
        <w:rPr>
          <w:b/>
          <w:color w:val="auto"/>
        </w:rPr>
      </w:r>
    </w:p>
    <w:tbl>
      <w:tblPr>
        <w:tblW w:w="941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8"/>
        <w:gridCol w:w="1417"/>
        <w:gridCol w:w="1982"/>
        <w:gridCol w:w="491"/>
        <w:gridCol w:w="852"/>
        <w:gridCol w:w="1838"/>
        <w:gridCol w:w="1985"/>
      </w:tblGrid>
      <w:tr>
        <w:trPr/>
        <w:tc>
          <w:tcPr>
            <w:tcW w:w="424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Руководитель юридической группы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46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Руководитель группы ТиГМО ПТС</w:t>
            </w:r>
          </w:p>
        </w:tc>
      </w:tr>
      <w:tr>
        <w:trPr>
          <w:trHeight w:val="288" w:hRule="atLeast"/>
        </w:trPr>
        <w:tc>
          <w:tcPr>
            <w:tcW w:w="226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9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/ Д.В. Давыдов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90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 А.В. Писчасов</w:t>
            </w:r>
          </w:p>
        </w:tc>
      </w:tr>
      <w:tr>
        <w:trPr/>
        <w:tc>
          <w:tcPr>
            <w:tcW w:w="2265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color w:val="auto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  <w:tc>
          <w:tcPr>
            <w:tcW w:w="4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</w:tr>
    </w:tbl>
    <w:p>
      <w:pPr>
        <w:pStyle w:val="Normal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</w:p>
    <w:tbl>
      <w:tblPr>
        <w:tblW w:w="941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8"/>
        <w:gridCol w:w="1417"/>
        <w:gridCol w:w="1981"/>
        <w:gridCol w:w="492"/>
        <w:gridCol w:w="851"/>
        <w:gridCol w:w="1838"/>
        <w:gridCol w:w="1986"/>
      </w:tblGrid>
      <w:tr>
        <w:trPr/>
        <w:tc>
          <w:tcPr>
            <w:tcW w:w="424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Начальник СРЗАиМ</w:t>
            </w:r>
          </w:p>
        </w:tc>
        <w:tc>
          <w:tcPr>
            <w:tcW w:w="4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46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Руководитель группы ЭТО ПТС</w:t>
            </w:r>
          </w:p>
        </w:tc>
      </w:tr>
      <w:tr>
        <w:trPr>
          <w:trHeight w:val="288" w:hRule="atLeast"/>
        </w:trPr>
        <w:tc>
          <w:tcPr>
            <w:tcW w:w="226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98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/ Н.Н. Чернов</w:t>
            </w:r>
          </w:p>
        </w:tc>
        <w:tc>
          <w:tcPr>
            <w:tcW w:w="4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89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98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spacing w:lineRule="auto" w:line="2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/ Л.Н. Муратов</w:t>
            </w:r>
          </w:p>
        </w:tc>
      </w:tr>
      <w:tr>
        <w:trPr/>
        <w:tc>
          <w:tcPr>
            <w:tcW w:w="2265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16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198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4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color w:val="auto"/>
              </w:rPr>
            </w:pPr>
            <w:r>
              <w:rPr>
                <w:color w:val="auto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98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  <w:tc>
          <w:tcPr>
            <w:tcW w:w="4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     »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2026г.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992" w:gutter="0" w:header="680" w:top="851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327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rsid w:val="00ea61a8"/>
    <w:pPr>
      <w:tabs>
        <w:tab w:val="clear" w:pos="0"/>
      </w:tabs>
      <w:ind w:left="0" w:hanging="0"/>
      <w:outlineLvl w:val="1"/>
    </w:pPr>
    <w:rPr/>
  </w:style>
  <w:style w:type="paragraph" w:styleId="Heading3">
    <w:name w:val="Heading 3"/>
    <w:basedOn w:val="Normal"/>
    <w:link w:val="31"/>
    <w:autoRedefine/>
    <w:qFormat/>
    <w:rsid w:val="00035e96"/>
    <w:pPr>
      <w:keepNext w:val="true"/>
      <w:tabs>
        <w:tab w:val="clear" w:pos="327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072b3a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Заголовок 1 Знак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Заголовок 3 Знак1"/>
    <w:qFormat/>
    <w:rsid w:val="00b56f46"/>
    <w:rPr>
      <w:rFonts w:eastAsia="Calibri"/>
      <w:b/>
      <w:color w:val="00000A"/>
      <w:sz w:val="24"/>
      <w:szCs w:val="24"/>
      <w:lang w:val="x-none" w:eastAsia="x-none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главление 3 Знак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ы концевой сноски"/>
    <w:qFormat/>
    <w:rPr/>
  </w:style>
  <w:style w:type="character" w:styleId="WW8Num25z0" w:customStyle="1">
    <w:name w:val="WW8Num25z0"/>
    <w:qFormat/>
    <w:rPr>
      <w:b/>
    </w:rPr>
  </w:style>
  <w:style w:type="character" w:styleId="Style16" w:customStyle="1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pPr/>
    <w:rPr/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Заголовок 2 Знак1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327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327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qFormat/>
    <w:rsid w:val="0076353a"/>
    <w:pPr>
      <w:tabs>
        <w:tab w:val="clear" w:pos="327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3" w:customStyle="1">
    <w:name w:val="Пункт2"/>
    <w:basedOn w:val="Normal"/>
    <w:qFormat/>
    <w:rsid w:val="0076353a"/>
    <w:pPr>
      <w:keepNext w:val="true"/>
      <w:tabs>
        <w:tab w:val="clear" w:pos="327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link w:val="32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4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uiPriority w:val="39"/>
    <w:qFormat/>
    <w:rsid w:val="00d22f6d"/>
    <w:pPr>
      <w:keepLines/>
      <w:tabs>
        <w:tab w:val="clear" w:pos="0"/>
      </w:tabs>
      <w:spacing w:before="480" w:after="60"/>
      <w:ind w:left="0" w:hanging="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Основной текст с отступом 3 Знак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5" w:customStyle="1">
    <w:name w:val="Нумерованный список ур2"/>
    <w:basedOn w:val="Normal"/>
    <w:link w:val="22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327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6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qFormat/>
    <w:rsid w:val="003879d4"/>
    <w:pPr/>
    <w:rPr>
      <w:sz w:val="20"/>
      <w:szCs w:val="20"/>
    </w:rPr>
  </w:style>
  <w:style w:type="paragraph" w:styleId="27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таблицы"/>
    <w:basedOn w:val="Normal"/>
    <w:qFormat/>
    <w:pPr/>
    <w:rPr/>
  </w:style>
  <w:style w:type="paragraph" w:styleId="Style36" w:customStyle="1">
    <w:name w:val="Заголовок таблицы"/>
    <w:basedOn w:val="Style35"/>
    <w:qFormat/>
    <w:pPr/>
    <w:rPr/>
  </w:style>
  <w:style w:type="paragraph" w:styleId="Style37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8" w:customStyle="1">
    <w:name w:val="Стиль2"/>
    <w:uiPriority w:val="99"/>
    <w:qFormat/>
    <w:rsid w:val="006629c9"/>
  </w:style>
  <w:style w:type="numbering" w:styleId="WW8Num25" w:customStyle="1">
    <w:name w:val="WW8Num25"/>
    <w:qFormat/>
  </w:style>
  <w:style w:type="numbering" w:styleId="38663623551" w:customStyle="1">
    <w:name w:val="38663623551"/>
    <w:qFormat/>
  </w:style>
  <w:style w:type="numbering" w:styleId="22682231091" w:customStyle="1">
    <w:name w:val="22682231091"/>
    <w:qFormat/>
  </w:style>
  <w:style w:type="numbering" w:styleId="8778471891" w:customStyle="1">
    <w:name w:val="8778471891"/>
    <w:qFormat/>
  </w:style>
  <w:style w:type="numbering" w:styleId="9658959231" w:customStyle="1">
    <w:name w:val="9658959231"/>
    <w:qFormat/>
  </w:style>
  <w:style w:type="numbering" w:styleId="11214935411" w:customStyle="1">
    <w:name w:val="11214935411"/>
    <w:qFormat/>
  </w:style>
  <w:style w:type="numbering" w:styleId="33215876061" w:customStyle="1">
    <w:name w:val="3321587606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E0A3E-FD59-43CC-ACCB-5BD55645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Application>AlterOffice/3.4.0.9$Linux_X86_64 LibreOffice_project/b8daf9e823b1a5463a2f48435ddc2e8696e7d4fc</Application>
  <AppVersion>15.0000</AppVersion>
  <Pages>15</Pages>
  <Words>1973</Words>
  <Characters>12647</Characters>
  <CharactersWithSpaces>14282</CharactersWithSpaces>
  <Paragraphs>617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2026-08-20T03:10:00Z</dcterms:created>
  <dc:creator>Быстров Олег Геннадьевич</dc:creator>
  <dc:description/>
  <dc:language>ru-RU</dc:language>
  <cp:lastModifiedBy>bazinspa@corp.gidroogk.com</cp:lastModifiedBy>
  <dcterms:modified xsi:type="dcterms:W3CDTF">2026-08-24T13:53:51Z</dcterms:modified>
  <cp:revision>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