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«ОКПД2 03.22.90.120 Выполнение комплекса мероприятий по взращиванию и выпуску рыбной молоди (малька) с целью устранения последствий негативного воздействия на водные биологические ресурсы (ВБР) и среду их обитания, наносимого при строительстве Нихалойской ГЭС»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/>
              <w:iCs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sz w:val="22"/>
              <w:szCs w:val="22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sz w:val="22"/>
              <w:szCs w:val="22"/>
              <w:vanish w:val="false"/>
            </w:rPr>
            <w:fldChar w:fldCharType="separate"/>
          </w:r>
          <w:hyperlink w:anchor="_Toc54643453">
            <w:r>
              <w:rPr>
                <w:webHidden/>
                <w:rStyle w:val="Style15"/>
                <w:vanish w:val="false"/>
                <w:sz w:val="22"/>
                <w:szCs w:val="22"/>
              </w:rPr>
              <w:t>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Общие сведения                  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54643454">
            <w:r>
              <w:rPr>
                <w:webHidden/>
                <w:rStyle w:val="Style15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Обозначения и сокращения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54643455">
            <w:r>
              <w:rPr>
                <w:webHidden/>
                <w:rStyle w:val="Style15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Наименование закупаемой продукции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54643456">
            <w:r>
              <w:rPr>
                <w:webHidden/>
                <w:rStyle w:val="Style15"/>
                <w:iCs/>
                <w:vanish w:val="false"/>
                <w:sz w:val="22"/>
                <w:szCs w:val="22"/>
              </w:rPr>
              <w:t>1.3.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Цель оказания услуг            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  <w:sz w:val="22"/>
              <w:szCs w:val="22"/>
            </w:rPr>
          </w:pPr>
          <w:hyperlink w:anchor="_Toc5464345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  <w:sz w:val="22"/>
                <w:szCs w:val="22"/>
              </w:rPr>
              <w:t>Таблица 1. Перечень объектов заказчика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/>
              <w:iCs/>
              <w:sz w:val="22"/>
              <w:szCs w:val="22"/>
            </w:rPr>
          </w:pPr>
          <w:hyperlink w:anchor="_Toc54643461">
            <w:r>
              <w:rPr>
                <w:webHidden/>
                <w:rStyle w:val="Style15"/>
                <w:vanish w:val="false"/>
                <w:sz w:val="22"/>
                <w:szCs w:val="22"/>
              </w:rPr>
              <w:t>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Требования к продукции    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54643462">
            <w:r>
              <w:rPr>
                <w:webHidden/>
                <w:rStyle w:val="Style15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Требования к объемам и срокам оказания услуг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54643463">
            <w:r>
              <w:rPr>
                <w:webHidden/>
                <w:rStyle w:val="Style15"/>
                <w:vanish w:val="false"/>
                <w:sz w:val="22"/>
                <w:szCs w:val="22"/>
              </w:rPr>
              <w:t>2.1.1.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5"/>
                <w:sz w:val="22"/>
                <w:szCs w:val="22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 xml:space="preserve">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/>
              <w:iCs/>
              <w:sz w:val="22"/>
              <w:szCs w:val="22"/>
            </w:rPr>
          </w:pPr>
          <w:hyperlink w:anchor="_Toc54643464">
            <w:r>
              <w:rPr>
                <w:webHidden/>
                <w:rStyle w:val="Style15"/>
                <w:vanish w:val="false"/>
                <w:sz w:val="22"/>
                <w:szCs w:val="22"/>
              </w:rPr>
              <w:t xml:space="preserve">Таблица 2. Перечень и объем оказываемых услуг                                                                               </w:t>
            </w:r>
          </w:hyperlink>
          <w:r>
            <w:rPr>
              <w:sz w:val="22"/>
              <w:szCs w:val="22"/>
            </w:rPr>
            <w:t>4</w:t>
          </w:r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54643465">
            <w:r>
              <w:rPr>
                <w:webHidden/>
                <w:rStyle w:val="Style15"/>
                <w:vanish w:val="false"/>
                <w:sz w:val="22"/>
                <w:szCs w:val="22"/>
              </w:rPr>
              <w:t>2.1.2.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5"/>
                <w:sz w:val="22"/>
                <w:szCs w:val="22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 xml:space="preserve">                 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/>
              <w:iCs/>
              <w:sz w:val="22"/>
              <w:szCs w:val="22"/>
            </w:rPr>
          </w:pPr>
          <w:hyperlink w:anchor="_Toc5464346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  <w:sz w:val="22"/>
                <w:szCs w:val="22"/>
              </w:rPr>
              <w:t>Таблица 3. Требования к срокам оказания услуг    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54643467">
            <w:r>
              <w:rPr>
                <w:webHidden/>
                <w:rStyle w:val="Style15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Требования к качеству услуг                                                                                                   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/>
              <w:iCs/>
              <w:sz w:val="22"/>
              <w:szCs w:val="22"/>
            </w:rPr>
          </w:pPr>
          <w:hyperlink w:anchor="_Toc5464346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  <w:sz w:val="22"/>
                <w:szCs w:val="22"/>
              </w:rPr>
              <w:t>Таблица 4. Требования к качеству услуг                                                                                               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/>
              <w:iCs/>
              <w:sz w:val="22"/>
              <w:szCs w:val="22"/>
            </w:rPr>
          </w:pPr>
          <w:hyperlink w:anchor="_Toc54643469">
            <w:r>
              <w:rPr>
                <w:webHidden/>
                <w:rStyle w:val="Style15"/>
                <w:vanish w:val="false"/>
                <w:sz w:val="22"/>
                <w:szCs w:val="22"/>
              </w:rPr>
              <w:t>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Требования к документации по ценообразованию на этапе закупки                                  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/>
              <w:iCs/>
              <w:sz w:val="22"/>
              <w:szCs w:val="22"/>
            </w:rPr>
          </w:pPr>
          <w:hyperlink w:anchor="_Toc54643470">
            <w:r>
              <w:rPr>
                <w:webHidden/>
                <w:rStyle w:val="Style15"/>
                <w:vanish w:val="false"/>
                <w:sz w:val="22"/>
                <w:szCs w:val="22"/>
              </w:rPr>
              <w:t>4.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sz w:val="22"/>
                <w:szCs w:val="22"/>
              </w:rPr>
              <w:t>Требования к документации по ценообразованию на этапе заключения (исполнения) договора</w:t>
              <w:tab/>
              <w:t xml:space="preserve">                                                                                                                                                   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sz w:val="22"/>
              <w:szCs w:val="22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>
          <w:rFonts w:cs="Calibri Light" w:cstheme="majorHAnsi"/>
          <w:bCs w:val="false"/>
          <w:i/>
          <w:i/>
        </w:rPr>
      </w:pPr>
      <w:r>
        <w:rPr>
          <w:rFonts w:cs="Calibri Light" w:cstheme="majorHAnsi"/>
          <w:bCs w:val="false"/>
          <w:i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left"/>
        <w:rPr>
          <w:sz w:val="24"/>
          <w:szCs w:val="24"/>
        </w:rPr>
      </w:pPr>
      <w:bookmarkStart w:id="0" w:name="_Toc51339692"/>
      <w:bookmarkStart w:id="1" w:name="_Toc54646395"/>
      <w:r>
        <w:rPr>
          <w:sz w:val="24"/>
          <w:szCs w:val="24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709" w:hanging="6"/>
        <w:rPr>
          <w:sz w:val="24"/>
          <w:szCs w:val="24"/>
        </w:rPr>
      </w:pPr>
      <w:bookmarkStart w:id="2" w:name="_Toc46743505"/>
      <w:bookmarkStart w:id="3" w:name="_Toc54646396"/>
      <w:r>
        <w:rPr>
          <w:sz w:val="24"/>
          <w:szCs w:val="24"/>
        </w:rPr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ВБР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водные биологические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spacing w:lineRule="auto" w:line="24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spacing w:lineRule="auto" w:line="24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</w:t>
            </w:r>
            <w:r>
              <w:rPr>
                <w:sz w:val="24"/>
                <w:szCs w:val="24"/>
                <w:lang w:val="ru-RU"/>
              </w:rPr>
              <w:t>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ind w:left="0" w:firstLine="709"/>
        <w:rPr>
          <w:sz w:val="24"/>
          <w:szCs w:val="24"/>
        </w:rPr>
      </w:pPr>
      <w:bookmarkStart w:id="4" w:name="_Toc46743506"/>
      <w:bookmarkStart w:id="5" w:name="_Toc54646397"/>
      <w:r>
        <w:rPr>
          <w:sz w:val="24"/>
          <w:szCs w:val="24"/>
        </w:rPr>
        <w:t>Наименование закупаемой продукции</w:t>
      </w:r>
      <w:bookmarkEnd w:id="4"/>
      <w:bookmarkEnd w:id="5"/>
      <w:r>
        <w:rPr>
          <w:sz w:val="24"/>
          <w:szCs w:val="24"/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709"/>
        <w:jc w:val="both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ОКПД2 03.22.90.120 </w:t>
      </w:r>
      <w:r>
        <w:rPr>
          <w:rFonts w:eastAsia="Calibri"/>
          <w:sz w:val="24"/>
          <w:szCs w:val="24"/>
        </w:rPr>
        <w:t xml:space="preserve">Выполнение комплекса мероприятий по взращиванию и выпуску рыбной молоди (малька) с целью устранения последствий негативного воздействия на водные биологические ресурсы (ВБР) и среду их обитания, наносимого при строительстве Нихалойской ГЭС. </w:t>
      </w:r>
    </w:p>
    <w:p>
      <w:pPr>
        <w:pStyle w:val="Heading4"/>
        <w:numPr>
          <w:ilvl w:val="1"/>
          <w:numId w:val="3"/>
        </w:numPr>
        <w:spacing w:before="240" w:after="60"/>
        <w:ind w:left="0" w:firstLine="709"/>
        <w:rPr>
          <w:sz w:val="24"/>
          <w:szCs w:val="24"/>
        </w:rPr>
      </w:pPr>
      <w:bookmarkStart w:id="6" w:name="_Toc54646398"/>
      <w:bookmarkStart w:id="7" w:name="_Toc46743507"/>
      <w:r>
        <w:rPr>
          <w:sz w:val="24"/>
          <w:szCs w:val="24"/>
        </w:rPr>
        <w:t xml:space="preserve">Цель </w:t>
      </w:r>
      <w:bookmarkEnd w:id="7"/>
      <w:r>
        <w:rPr>
          <w:sz w:val="24"/>
          <w:szCs w:val="24"/>
          <w:lang w:val="ru-RU"/>
        </w:rPr>
        <w:t xml:space="preserve">выполнения </w:t>
      </w:r>
      <w:bookmarkEnd w:id="6"/>
      <w:r>
        <w:rPr>
          <w:sz w:val="24"/>
          <w:szCs w:val="24"/>
          <w:lang w:val="ru-RU"/>
        </w:rPr>
        <w:t>Услуг</w:t>
      </w:r>
      <w:r>
        <w:rPr>
          <w:sz w:val="24"/>
          <w:szCs w:val="24"/>
        </w:rPr>
        <w:t>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является осуществление Услуг по искусственному воспроизводству водных биоресурсов и выпуск в среду их обитания в водных объектах рыбохозяйственного значения в связи с компенсацией ущерба наносимого при строительстве Нихалойской ГЭС</w:t>
      </w:r>
      <w:r>
        <w:rPr>
          <w:i/>
          <w:sz w:val="24"/>
          <w:szCs w:val="24"/>
        </w:rPr>
        <w:t>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firstLine="709"/>
        <w:rPr>
          <w:sz w:val="24"/>
          <w:szCs w:val="24"/>
        </w:rPr>
      </w:pPr>
      <w:bookmarkStart w:id="8" w:name="_Toc54646400"/>
      <w:r>
        <w:rPr>
          <w:sz w:val="24"/>
          <w:szCs w:val="24"/>
        </w:rPr>
        <w:t>Та</w:t>
      </w:r>
      <w:bookmarkStart w:id="9" w:name="_GoBack"/>
      <w:bookmarkEnd w:id="9"/>
      <w:r>
        <w:rPr>
          <w:sz w:val="24"/>
          <w:szCs w:val="24"/>
        </w:rPr>
        <w:t>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1977"/>
        <w:gridCol w:w="2314"/>
        <w:gridCol w:w="3498"/>
        <w:gridCol w:w="1567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Услуги)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Строительство объекта Нихалойская ГЭС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водные объекты: в верхнее течение р.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Аргун и верховья рр. Хачаройахк, Хэлдихойэрк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взращивание и выпуск молоди русского осетра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навеской 3 г.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в количестве 2 317 экз.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ind w:firstLine="709"/>
        <w:jc w:val="both"/>
        <w:rPr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0" w:hanging="0"/>
        <w:jc w:val="center"/>
        <w:rPr>
          <w:sz w:val="24"/>
          <w:szCs w:val="24"/>
        </w:rPr>
      </w:pPr>
      <w:r>
        <w:rPr>
          <w:iCs/>
          <w:sz w:val="24"/>
          <w:szCs w:val="24"/>
        </w:rPr>
        <w:t>Требования к продукции</w:t>
      </w:r>
    </w:p>
    <w:p>
      <w:pPr>
        <w:pStyle w:val="Heading4"/>
        <w:numPr>
          <w:ilvl w:val="1"/>
          <w:numId w:val="3"/>
        </w:numPr>
        <w:ind w:left="0" w:firstLine="709"/>
        <w:rPr>
          <w:sz w:val="24"/>
          <w:szCs w:val="24"/>
        </w:rPr>
      </w:pPr>
      <w:bookmarkStart w:id="10" w:name="_Toc54646404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 xml:space="preserve">выполнения </w:t>
      </w:r>
      <w:bookmarkEnd w:id="10"/>
      <w:r>
        <w:rPr>
          <w:sz w:val="24"/>
          <w:szCs w:val="24"/>
          <w:lang w:val="ru-RU"/>
        </w:rPr>
        <w:t>Услуг</w:t>
      </w:r>
    </w:p>
    <w:p>
      <w:pPr>
        <w:pStyle w:val="Heading3"/>
        <w:numPr>
          <w:ilvl w:val="2"/>
          <w:numId w:val="3"/>
        </w:numPr>
        <w:ind w:left="0" w:firstLine="709"/>
        <w:rPr>
          <w:sz w:val="24"/>
          <w:szCs w:val="24"/>
        </w:rPr>
      </w:pPr>
      <w:bookmarkStart w:id="11" w:name="_Toc54646405"/>
      <w:r>
        <w:rPr>
          <w:sz w:val="24"/>
          <w:szCs w:val="24"/>
          <w:lang w:val="ru-RU"/>
        </w:rPr>
        <w:t xml:space="preserve">Требования к видам и объемам </w:t>
      </w:r>
      <w:bookmarkEnd w:id="11"/>
      <w:r>
        <w:rPr>
          <w:sz w:val="24"/>
          <w:szCs w:val="24"/>
          <w:lang w:val="ru-RU"/>
        </w:rPr>
        <w:t>Услуг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Выполняемый объем Услуг должен охватывать весь комплекс мероприятий в соответствии с Заключением</w:t>
      </w:r>
      <w:r>
        <w:rPr>
          <w:sz w:val="24"/>
          <w:szCs w:val="24"/>
          <w:shd w:fill="FFFFFF" w:val="clear"/>
        </w:rPr>
        <w:t xml:space="preserve"> от 25.04.2024 №1147/08 </w:t>
      </w:r>
      <w:r>
        <w:rPr>
          <w:sz w:val="24"/>
          <w:szCs w:val="24"/>
        </w:rPr>
        <w:t>о согласовании осуществления деятельности в рамках проектной документации: «</w:t>
      </w:r>
      <w:r>
        <w:rPr>
          <w:bCs/>
          <w:sz w:val="24"/>
          <w:szCs w:val="24"/>
        </w:rPr>
        <w:t>Нихалойская ГЭС</w:t>
      </w:r>
      <w:r>
        <w:rPr>
          <w:sz w:val="24"/>
          <w:szCs w:val="24"/>
        </w:rPr>
        <w:t>», выданным Северо-Кавказским территориальным управлением Федерального агентства рыболовства.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 требование является Технической частью Договора, согласно которого выполняются Услуги, указанные в разделе 1.2 настоящих ТТ на основании:</w:t>
      </w:r>
    </w:p>
    <w:p>
      <w:pPr>
        <w:pStyle w:val="NoSpacing"/>
        <w:spacing w:lineRule="auto" w:line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20.12.2004 №166-ФЗ «О рыболовстве и сохранении водных биологических ресурсов»;</w:t>
      </w:r>
    </w:p>
    <w:p>
      <w:pPr>
        <w:pStyle w:val="NoSpacing"/>
        <w:spacing w:lineRule="auto" w:line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Приказа Федерального агентства по рыболовству от 23.01.2009 №36 «Об искусственном воспроизводстве водных биоресурсов»;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соответствии с Правилами организации искусственного воспроизводства водных биологических ресурсов, утвержденными постановлением Правительства Российской Федерации от 12.02.2014 №99, а также в соответствии с государственными стандартами, правилами технической эксплуатации, охраны труда, пожарной безопасности и другими нормативными документами, действующими на территории Российской Федерации.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firstLine="709"/>
        <w:rPr>
          <w:sz w:val="24"/>
          <w:szCs w:val="24"/>
        </w:rPr>
      </w:pPr>
      <w:bookmarkStart w:id="12" w:name="_Toc54646406"/>
      <w:bookmarkStart w:id="1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3"/>
      <w:r>
        <w:rPr>
          <w:sz w:val="24"/>
          <w:szCs w:val="24"/>
          <w:lang w:val="ru-RU"/>
        </w:rPr>
        <w:t xml:space="preserve">и объем выполняемых </w:t>
      </w:r>
      <w:bookmarkEnd w:id="12"/>
      <w:r>
        <w:rPr>
          <w:sz w:val="24"/>
          <w:szCs w:val="24"/>
          <w:lang w:val="ru-RU"/>
        </w:rPr>
        <w:t>Услуг.</w:t>
      </w:r>
    </w:p>
    <w:tbl>
      <w:tblPr>
        <w:tblW w:w="95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96"/>
        <w:gridCol w:w="4849"/>
        <w:gridCol w:w="1984"/>
        <w:gridCol w:w="2126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Выполнение комплекса мероприятий по взращиванию и выпуску рыбной молоди (малька) с целью устранения последствий негативного воздействия на водные биологические ресурсы (ВБР) и среду их обитания, наносимого при строительстве Нихалойской ГЭС путем </w:t>
            </w:r>
            <w:r>
              <w:rPr>
                <w:sz w:val="24"/>
                <w:szCs w:val="24"/>
              </w:rPr>
              <w:t xml:space="preserve">взращивания и выпуска </w:t>
            </w:r>
            <w:r>
              <w:rPr>
                <w:sz w:val="24"/>
                <w:szCs w:val="24"/>
                <w:lang w:eastAsia="zh-CN"/>
              </w:rPr>
              <w:t xml:space="preserve">молоди русского осетра навеской 3 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2 317</w:t>
            </w:r>
          </w:p>
        </w:tc>
      </w:tr>
    </w:tbl>
    <w:p>
      <w:pPr>
        <w:pStyle w:val="Heading3"/>
        <w:numPr>
          <w:ilvl w:val="2"/>
          <w:numId w:val="3"/>
        </w:numPr>
        <w:ind w:left="0" w:firstLine="709"/>
        <w:rPr>
          <w:sz w:val="24"/>
          <w:szCs w:val="24"/>
        </w:rPr>
      </w:pPr>
      <w:bookmarkStart w:id="14" w:name="_Toc54646407"/>
      <w:bookmarkStart w:id="15" w:name="_Toc51339696"/>
      <w:r>
        <w:rPr>
          <w:sz w:val="24"/>
          <w:szCs w:val="24"/>
          <w:lang w:val="ru-RU"/>
        </w:rPr>
        <w:t xml:space="preserve">Требования </w:t>
      </w:r>
      <w:bookmarkEnd w:id="15"/>
      <w:r>
        <w:rPr>
          <w:sz w:val="24"/>
          <w:szCs w:val="24"/>
          <w:lang w:val="ru-RU"/>
        </w:rPr>
        <w:t xml:space="preserve">к срокам выполнения </w:t>
      </w:r>
      <w:bookmarkEnd w:id="14"/>
      <w:r>
        <w:rPr>
          <w:sz w:val="24"/>
          <w:szCs w:val="24"/>
          <w:lang w:val="ru-RU"/>
        </w:rPr>
        <w:t>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firstLine="709"/>
        <w:rPr>
          <w:sz w:val="24"/>
          <w:szCs w:val="24"/>
        </w:rPr>
      </w:pPr>
      <w:bookmarkStart w:id="16" w:name="_Toc54646408"/>
      <w:bookmarkStart w:id="17" w:name="_Toc50125127"/>
      <w:bookmarkStart w:id="18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19"/>
      <w:r>
        <w:rPr>
          <w:sz w:val="24"/>
          <w:szCs w:val="24"/>
          <w:lang w:val="ru-RU"/>
        </w:rPr>
        <w:t xml:space="preserve">выполнения </w:t>
      </w:r>
      <w:bookmarkEnd w:id="16"/>
      <w:r>
        <w:rPr>
          <w:sz w:val="24"/>
          <w:szCs w:val="24"/>
          <w:lang w:val="ru-RU"/>
        </w:rPr>
        <w:t>Услуг</w:t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6"/>
        <w:gridCol w:w="3835"/>
        <w:gridCol w:w="2407"/>
        <w:gridCol w:w="2835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ind w:left="0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ind w:left="0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Выполнение комплекса мероприятий по взращиванию и выпуску рыбной молоди (малька) с целью устранения последствий негативного воздействия на водные биологические ресурсы (ВБР) и среду их обитания, наносимого при строительстве Нихалойской ГЭС путем взращивания и выпуска 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молоди русского осетра навеской 3 г.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0" w:firstLine="709"/>
        <w:rPr>
          <w:sz w:val="24"/>
          <w:szCs w:val="24"/>
        </w:rPr>
      </w:pPr>
      <w:bookmarkStart w:id="20" w:name="_Toc54646410"/>
      <w:bookmarkStart w:id="21" w:name="_Toc51339698"/>
      <w:r>
        <w:rPr>
          <w:sz w:val="24"/>
          <w:szCs w:val="24"/>
        </w:rPr>
        <w:t xml:space="preserve">Требования к </w:t>
      </w:r>
      <w:r>
        <w:rPr>
          <w:sz w:val="24"/>
          <w:szCs w:val="24"/>
          <w:lang w:val="ru-RU"/>
        </w:rPr>
        <w:t>качеству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firstLine="709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1"/>
      <w:r>
        <w:rPr>
          <w:sz w:val="24"/>
          <w:szCs w:val="24"/>
          <w:lang w:val="ru-RU"/>
        </w:rPr>
        <w:t xml:space="preserve">качеству </w:t>
      </w:r>
      <w:bookmarkEnd w:id="20"/>
      <w:r>
        <w:rPr>
          <w:sz w:val="24"/>
          <w:szCs w:val="24"/>
          <w:lang w:val="ru-RU"/>
        </w:rPr>
        <w:t>Услуг</w:t>
      </w:r>
    </w:p>
    <w:tbl>
      <w:tblPr>
        <w:tblStyle w:val="affff8"/>
        <w:tblW w:w="1508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7"/>
        <w:gridCol w:w="2128"/>
        <w:gridCol w:w="5671"/>
        <w:gridCol w:w="1870"/>
        <w:gridCol w:w="2701"/>
        <w:gridCol w:w="2004"/>
      </w:tblGrid>
      <w:tr>
        <w:trPr>
          <w:tblHeader w:val="true"/>
        </w:trPr>
        <w:tc>
          <w:tcPr>
            <w:tcW w:w="7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2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5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7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65" w:hRule="atLeast"/>
        </w:trPr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Услугам</w:t>
            </w:r>
          </w:p>
        </w:tc>
        <w:tc>
          <w:tcPr>
            <w:tcW w:w="56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Услуги должны быть выполнены в соответствии с Правилами организации искусственного воспроизводства водных биологических ресурсов, утвержденными постановлением Правительства Российской Федерации от 12.02.2014 №99.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Учет выпускаемых ВБР осуществляется комиссией в составе уполномоченных представителей Заказчика и Исполнителя в соответствии с методикой учета водных биологических ресурсов, выпускаемых в водные объекты рыбохозяйственного значения, утвержденной приказом Минсельхоза России от 07.05.2015 №176.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Услуга считается выполненной после выпуска Исполнителем искусственно воспроизведенной молоди ВБР в водный объект рыбохозяйственного значения, который подтверждается Актом выпуска ВБР, подписанным уполномоченным представителем территориального управления Росрыболовства, на территории которого выполняется Услуга, и Заказчиком, в соответствии с приложением к приказу Минсельхоза России от 07.11.2014 №434 «Об утверждении формы акта выпуска водных биологических ресурсов в водный объект рыбохозяйственного значения».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выполняет комплекс Услуг в полном объеме, в том числе доставку ВБР до места выпуска молоди в водный объект.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Услуг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месту выпуска</w:t>
            </w:r>
          </w:p>
        </w:tc>
        <w:tc>
          <w:tcPr>
            <w:tcW w:w="567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Осуществить выпуск в водные объекты: верхнее течение р. Аргун, верховья рр. Хачаройахк, Хэлдихойэрк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Услуг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02" w:hRule="atLeast"/>
        </w:trPr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 документов по окончании выполнения Услуг:</w:t>
            </w:r>
          </w:p>
        </w:tc>
        <w:tc>
          <w:tcPr>
            <w:tcW w:w="567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Акт выпуска водных биоресурсов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Акт о выращивании или приобретении водных биоресурсов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Акт сдачи-приемки выполненных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Акт о выращивании или приобретении водных биоресурсов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Форма предоставление документов, указанных в п.1.3</w:t>
            </w:r>
          </w:p>
        </w:tc>
        <w:tc>
          <w:tcPr>
            <w:tcW w:w="5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бумажном носителе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электронном носителе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7799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документам, подтверждающим соответствие Участника установленным требованиям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1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1.5.1</w:t>
            </w:r>
          </w:p>
        </w:tc>
        <w:tc>
          <w:tcPr>
            <w:tcW w:w="212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разрешений и лицензий</w:t>
            </w:r>
          </w:p>
        </w:tc>
        <w:tc>
          <w:tcPr>
            <w:tcW w:w="567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8" w:leader="none"/>
                <w:tab w:val="left" w:pos="426" w:leader="none"/>
              </w:tabs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 Приказом Росприроднадзора от 22.06.2020 №717 «Об утверждении Административного регламента Федеральной службы по надзору в сфере природопользования предоставления государственной услуги по выдаче разрешений на содержание и разведение объектов животного мира в полувольных условиях и искусственно созданной среде обитания на особо охраняемых природных территориях федерального значения» (Зарегистрировано в Минюсте России 14.01.2021 №62089);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 Законом Российской Федерации от 14.05.1993 №4979-1 (ред. от 14.07.2022) «О ветеринарии»;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 Приказом Минтруда России от 04.12.2020  №858н «Об утверждении Правил по охране труда при добыче (вылове), переработке водных биоресурсов и производстве отдельных видов продукции из водных биоресурсов» (Зарегистрировано в Минюсте России 15.12.2020 №61474);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 Приказом Минсельхоза России от 23.12.2020 №782 «Об утверждении Ветеринарных правил содержания рыб и иных водных животных в искусственно созданной среде обитания в целях их разведения, выращивания, реализации и акклиматизации» (Зарегистрировано в Минюсте России 14.05.2021 №63415);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с Приказом Минсельхоза России от 14.01.2022 №15 (ред. от 02.12.2022) «Об утверждении порядка включения сельскохозяйственных товаропроизводителей (за исключением сельскохозяйственных кредитных потребительских кооперативов), организаций и индивидуальных предпринимателей, осуществляющих производство, первичную и (или) последующую (промышленную) переработку сельскохозяйственной продукции и ее реализацию, содержащихся в реестре потенциальных заемщиков, в реестр заемщиков и исключения из него, а также форм документов, предусмотренных постановлением Правительства Российской Федерации от 29 декабря 2016г. №1528» (Зарегистрировано в Минюсте России 18.02.2022 №67367);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18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 Приказ Россельхознадзора от 17.01.2022 №28 «Об утверждении форм документов, используемых Федеральной службой по ветеринарному и фитосанитарному надзору и ее территориальными органами при осуществлении федерального государственного контроля (надзора) в области обращения с животными» (Зарегистрировано в Минюсте России 15.03.2022 №67756).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В составе ТКП Участник должен предоставить копии следующих документов: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6" w:leader="none"/>
              </w:tabs>
              <w:suppressAutoHyphens w:val="true"/>
              <w:spacing w:before="120" w:after="120"/>
              <w:ind w:left="74" w:hanging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 xml:space="preserve">- разрешение Федерального агентства по надзору в сфере природопользования на содержание и разведение краснокнижных видов объектов животного мира в полувольных и вольных условиях;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6" w:leader="none"/>
              </w:tabs>
              <w:suppressAutoHyphens w:val="true"/>
              <w:bidi w:val="0"/>
              <w:spacing w:before="120" w:after="120"/>
              <w:ind w:left="113" w:right="0" w:hanging="57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 xml:space="preserve">- подтверждающий документ о регистрации в </w:t>
            </w:r>
            <w:r>
              <w:rPr>
                <w:rStyle w:val="Strong"/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«Цербер»</w:t>
            </w: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 xml:space="preserve"> (хозяйст</w:t>
            </w:r>
            <w:bookmarkStart w:id="22" w:name="_GoBack_Копия_1_Копия_2"/>
            <w:bookmarkEnd w:id="22"/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вующий субъект);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6" w:leader="none"/>
              </w:tabs>
              <w:suppressAutoHyphens w:val="true"/>
              <w:spacing w:before="120" w:after="120"/>
              <w:ind w:left="74" w:hanging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- утвержденную организацией инструкцию по безопасности и охране труда для работников предприятия по выращиванию рыбы;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6" w:leader="none"/>
              </w:tabs>
              <w:suppressAutoHyphens w:val="true"/>
              <w:spacing w:before="120" w:after="120"/>
              <w:ind w:left="74" w:hanging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- утвержденную организацией инструкцию по безопасности рыбы при содержании;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16" w:leader="none"/>
              </w:tabs>
              <w:suppressAutoHyphens w:val="true"/>
              <w:spacing w:before="120" w:after="120"/>
              <w:ind w:left="74" w:hanging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- приказ о включении в реестр сельхозтоваропроизводителей России;</w:t>
            </w:r>
          </w:p>
          <w:p>
            <w:pPr>
              <w:pStyle w:val="Annotationtext"/>
              <w:widowControl w:val="false"/>
              <w:tabs>
                <w:tab w:val="clear" w:pos="708"/>
                <w:tab w:val="left" w:pos="216" w:leader="none"/>
              </w:tabs>
              <w:suppressAutoHyphens w:val="true"/>
              <w:spacing w:before="120" w:after="120"/>
              <w:ind w:left="74" w:hanging="0"/>
              <w:jc w:val="left"/>
              <w:rPr>
                <w:rFonts w:ascii="Times New Roman" w:hAnsi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- Акт ветеринарно-санитарного обследования предприятия, утвержденный федеральной службой по ветеринарному и фитосанитарному надзору (Россельхознадзор).</w:t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ind w:left="357" w:hanging="0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x-none"/>
        </w:rPr>
        <w:t xml:space="preserve">3. </w:t>
      </w:r>
      <w:r>
        <w:rPr>
          <w:sz w:val="24"/>
          <w:szCs w:val="24"/>
        </w:rPr>
        <w:t>Требования к документации по ценообразованию на этапе закупки.</w:t>
      </w:r>
    </w:p>
    <w:p>
      <w:pPr>
        <w:pStyle w:val="Heading4"/>
        <w:numPr>
          <w:ilvl w:val="0"/>
          <w:numId w:val="0"/>
        </w:numPr>
        <w:tabs>
          <w:tab w:val="clear" w:pos="0"/>
        </w:tabs>
        <w:ind w:left="369" w:hanging="0"/>
        <w:jc w:val="both"/>
        <w:rPr>
          <w:sz w:val="24"/>
          <w:szCs w:val="24"/>
        </w:rPr>
      </w:pPr>
      <w:r>
        <w:rPr>
          <w:b w:val="false"/>
          <w:bCs w:val="false"/>
          <w:iCs/>
          <w:sz w:val="24"/>
          <w:szCs w:val="24"/>
          <w:lang w:val="ru-RU"/>
        </w:rPr>
        <w:t xml:space="preserve">3.1 </w:t>
      </w:r>
      <w:r>
        <w:rPr>
          <w:b w:val="false"/>
          <w:bCs w:val="false"/>
          <w:iCs/>
          <w:sz w:val="24"/>
          <w:szCs w:val="24"/>
        </w:rPr>
        <w:t>В обоснование стоимости своей заявки Участник предоставляет Коммерческое предложение, а также приложение к нему «Расчет стоимости услуг»</w:t>
      </w:r>
      <w:r>
        <w:rPr>
          <w:b w:val="false"/>
          <w:bCs w:val="false"/>
          <w:iCs/>
          <w:sz w:val="24"/>
          <w:szCs w:val="24"/>
          <w:lang w:val="ru-RU"/>
        </w:rPr>
        <w:t>.</w:t>
      </w:r>
    </w:p>
    <w:p>
      <w:pPr>
        <w:pStyle w:val="Heading4"/>
        <w:numPr>
          <w:ilvl w:val="0"/>
          <w:numId w:val="0"/>
        </w:numPr>
        <w:tabs>
          <w:tab w:val="clear" w:pos="0"/>
        </w:tabs>
        <w:ind w:left="369" w:hanging="0"/>
        <w:jc w:val="both"/>
        <w:rPr>
          <w:sz w:val="24"/>
          <w:szCs w:val="24"/>
        </w:rPr>
      </w:pPr>
      <w:r>
        <w:rPr>
          <w:b w:val="false"/>
          <w:bCs w:val="false"/>
          <w:iCs/>
          <w:sz w:val="24"/>
          <w:szCs w:val="24"/>
          <w:lang w:val="ru-RU"/>
        </w:rPr>
        <w:t>3.2. Стоимость</w:t>
      </w:r>
      <w:r>
        <w:rPr>
          <w:b w:val="false"/>
          <w:bCs w:val="false"/>
          <w:iCs/>
          <w:sz w:val="24"/>
          <w:szCs w:val="24"/>
        </w:rPr>
        <w:t xml:space="preserve"> за единицу продукции </w:t>
      </w:r>
      <w:r>
        <w:rPr>
          <w:b w:val="false"/>
          <w:bCs w:val="false"/>
          <w:iCs/>
          <w:sz w:val="24"/>
          <w:szCs w:val="24"/>
          <w:lang w:val="ru-RU"/>
        </w:rPr>
        <w:t xml:space="preserve">(услуги) </w:t>
      </w:r>
      <w:r>
        <w:rPr>
          <w:b w:val="false"/>
          <w:bCs w:val="false"/>
          <w:iCs/>
          <w:sz w:val="24"/>
          <w:szCs w:val="24"/>
        </w:rPr>
        <w:t xml:space="preserve">должна включать в себя налоги, сборы, пошлины и другие обязательные платежи, </w:t>
      </w:r>
      <w:r>
        <w:rPr>
          <w:b w:val="false"/>
          <w:bCs w:val="false"/>
          <w:iCs/>
          <w:sz w:val="24"/>
          <w:szCs w:val="24"/>
          <w:lang w:val="ru-RU"/>
        </w:rPr>
        <w:t xml:space="preserve">стоимость расходных материалов, используемых при оказании услуг, </w:t>
      </w:r>
      <w:r>
        <w:rPr>
          <w:b w:val="false"/>
          <w:bCs w:val="false"/>
          <w:iCs/>
          <w:sz w:val="24"/>
          <w:szCs w:val="24"/>
        </w:rPr>
        <w:t xml:space="preserve">расходы на содержание, эксплуатацию, перебазировку </w:t>
      </w:r>
      <w:r>
        <w:rPr>
          <w:b w:val="false"/>
          <w:bCs w:val="false"/>
          <w:iCs/>
          <w:sz w:val="24"/>
          <w:szCs w:val="24"/>
          <w:lang w:val="ru-RU"/>
        </w:rPr>
        <w:t>спецоборудования и инструментов</w:t>
      </w:r>
      <w:r>
        <w:rPr>
          <w:b w:val="false"/>
          <w:bCs w:val="false"/>
          <w:iCs/>
          <w:sz w:val="24"/>
          <w:szCs w:val="24"/>
        </w:rPr>
        <w:t xml:space="preserve">, </w:t>
      </w:r>
      <w:r>
        <w:rPr>
          <w:b w:val="false"/>
          <w:bCs w:val="false"/>
          <w:iCs/>
          <w:sz w:val="24"/>
          <w:szCs w:val="24"/>
          <w:lang w:val="ru-RU"/>
        </w:rPr>
        <w:t xml:space="preserve">перевозку молоди к месту выпуска, </w:t>
      </w:r>
      <w:r>
        <w:rPr>
          <w:b w:val="false"/>
          <w:bCs w:val="false"/>
          <w:iCs/>
          <w:sz w:val="24"/>
          <w:szCs w:val="24"/>
        </w:rPr>
        <w:t>и прочие расходы</w:t>
      </w:r>
      <w:r>
        <w:rPr>
          <w:b w:val="false"/>
          <w:bCs w:val="false"/>
          <w:iCs/>
          <w:sz w:val="24"/>
          <w:szCs w:val="24"/>
          <w:lang w:val="ru-RU"/>
        </w:rPr>
        <w:t xml:space="preserve">, </w:t>
      </w:r>
      <w:r>
        <w:rPr>
          <w:b w:val="false"/>
          <w:bCs w:val="false"/>
          <w:iCs/>
          <w:sz w:val="24"/>
          <w:szCs w:val="24"/>
        </w:rPr>
        <w:t xml:space="preserve">связанные с </w:t>
      </w:r>
      <w:r>
        <w:rPr>
          <w:b w:val="false"/>
          <w:bCs w:val="false"/>
          <w:iCs/>
          <w:sz w:val="24"/>
          <w:szCs w:val="24"/>
          <w:lang w:val="ru-RU"/>
        </w:rPr>
        <w:t>оказанием услуг</w:t>
      </w:r>
      <w:r>
        <w:rPr>
          <w:b w:val="false"/>
          <w:bCs w:val="false"/>
          <w:iCs/>
          <w:sz w:val="24"/>
          <w:szCs w:val="24"/>
        </w:rPr>
        <w:t>.</w:t>
      </w:r>
    </w:p>
    <w:p>
      <w:pPr>
        <w:pStyle w:val="Heading4"/>
        <w:numPr>
          <w:ilvl w:val="0"/>
          <w:numId w:val="0"/>
        </w:numPr>
        <w:tabs>
          <w:tab w:val="clear" w:pos="0"/>
        </w:tabs>
        <w:spacing w:before="120" w:after="120"/>
        <w:ind w:left="426" w:hanging="0"/>
        <w:jc w:val="both"/>
        <w:rPr>
          <w:sz w:val="24"/>
          <w:szCs w:val="24"/>
        </w:rPr>
      </w:pPr>
      <w:r>
        <w:rPr>
          <w:b w:val="false"/>
          <w:bCs w:val="false"/>
          <w:iCs/>
          <w:sz w:val="24"/>
          <w:szCs w:val="24"/>
        </w:rPr>
        <w:t xml:space="preserve">3.3. Дополнительные документы по ценообразованию </w:t>
      </w:r>
      <w:r>
        <w:rPr>
          <w:b w:val="false"/>
          <w:bCs w:val="false"/>
          <w:iCs/>
          <w:sz w:val="24"/>
          <w:szCs w:val="24"/>
          <w:lang w:val="ru-RU"/>
        </w:rPr>
        <w:t>(сметная</w:t>
      </w:r>
      <w:r>
        <w:rPr>
          <w:b w:val="false"/>
          <w:bCs w:val="false"/>
          <w:iCs/>
          <w:sz w:val="24"/>
          <w:szCs w:val="24"/>
        </w:rPr>
        <w:t xml:space="preserve"> документация</w:t>
      </w:r>
      <w:r>
        <w:rPr>
          <w:b w:val="false"/>
          <w:bCs w:val="false"/>
          <w:iCs/>
          <w:sz w:val="24"/>
          <w:szCs w:val="24"/>
          <w:lang w:val="ru-RU"/>
        </w:rPr>
        <w:t>)</w:t>
      </w:r>
      <w:r>
        <w:rPr>
          <w:b w:val="false"/>
          <w:bCs w:val="false"/>
          <w:iCs/>
          <w:sz w:val="24"/>
          <w:szCs w:val="24"/>
        </w:rPr>
        <w:t xml:space="preserve"> в состав заявки </w:t>
      </w:r>
      <w:r>
        <w:rPr>
          <w:b w:val="false"/>
          <w:bCs w:val="false"/>
          <w:iCs/>
          <w:sz w:val="24"/>
          <w:szCs w:val="24"/>
          <w:lang w:val="ru-RU"/>
        </w:rPr>
        <w:t>У</w:t>
      </w:r>
      <w:r>
        <w:rPr>
          <w:b w:val="false"/>
          <w:bCs w:val="false"/>
          <w:iCs/>
          <w:sz w:val="24"/>
          <w:szCs w:val="24"/>
        </w:rPr>
        <w:t>частника не включа</w:t>
      </w:r>
      <w:r>
        <w:rPr>
          <w:b w:val="false"/>
          <w:bCs w:val="false"/>
          <w:iCs/>
          <w:sz w:val="24"/>
          <w:szCs w:val="24"/>
          <w:lang w:val="ru-RU"/>
        </w:rPr>
        <w:t>ю</w:t>
      </w:r>
      <w:r>
        <w:rPr>
          <w:b w:val="false"/>
          <w:bCs w:val="false"/>
          <w:iCs/>
          <w:sz w:val="24"/>
          <w:szCs w:val="24"/>
        </w:rPr>
        <w:t>тся.</w:t>
      </w:r>
    </w:p>
    <w:p>
      <w:pPr>
        <w:pStyle w:val="Heading4"/>
        <w:numPr>
          <w:ilvl w:val="0"/>
          <w:numId w:val="0"/>
        </w:numPr>
        <w:tabs>
          <w:tab w:val="clear" w:pos="0"/>
        </w:tabs>
        <w:spacing w:before="120" w:after="120"/>
        <w:ind w:left="369" w:hanging="0"/>
        <w:jc w:val="both"/>
        <w:rPr>
          <w:iCs/>
        </w:rPr>
      </w:pPr>
      <w:r>
        <w:rPr>
          <w:iCs/>
        </w:rPr>
      </w:r>
    </w:p>
    <w:p>
      <w:pPr>
        <w:pStyle w:val="Heading4"/>
        <w:numPr>
          <w:ilvl w:val="0"/>
          <w:numId w:val="0"/>
        </w:numPr>
        <w:tabs>
          <w:tab w:val="clear" w:pos="0"/>
        </w:tabs>
        <w:spacing w:before="120" w:after="120"/>
        <w:ind w:left="369" w:hanging="0"/>
        <w:jc w:val="both"/>
        <w:rPr>
          <w:iCs/>
        </w:rPr>
      </w:pPr>
      <w:r>
        <w:rPr>
          <w:iCs/>
        </w:rPr>
      </w:r>
    </w:p>
    <w:p>
      <w:pPr>
        <w:pStyle w:val="Heading4"/>
        <w:numPr>
          <w:ilvl w:val="0"/>
          <w:numId w:val="0"/>
        </w:numPr>
        <w:tabs>
          <w:tab w:val="clear" w:pos="0"/>
        </w:tabs>
        <w:spacing w:before="120" w:after="120"/>
        <w:ind w:left="369" w:hanging="0"/>
        <w:jc w:val="both"/>
        <w:rPr>
          <w:b/>
          <w:bCs/>
          <w:sz w:val="24"/>
          <w:szCs w:val="24"/>
        </w:rPr>
      </w:pPr>
      <w:r>
        <w:rPr>
          <w:b/>
          <w:bCs/>
          <w:iCs/>
          <w:sz w:val="24"/>
          <w:szCs w:val="24"/>
        </w:rPr>
        <w:t>4. Требования к документации по ценообразованию на этапе заключения (исполнения) договора.</w:t>
      </w:r>
    </w:p>
    <w:p>
      <w:pPr>
        <w:pStyle w:val="Heading4"/>
        <w:numPr>
          <w:ilvl w:val="0"/>
          <w:numId w:val="0"/>
        </w:numPr>
        <w:tabs>
          <w:tab w:val="clear" w:pos="0"/>
        </w:tabs>
        <w:spacing w:before="120" w:after="120"/>
        <w:ind w:left="369" w:hanging="0"/>
        <w:jc w:val="both"/>
        <w:rPr>
          <w:sz w:val="24"/>
          <w:szCs w:val="24"/>
        </w:rPr>
      </w:pPr>
      <w:r>
        <w:rPr>
          <w:b w:val="false"/>
          <w:iCs/>
          <w:sz w:val="24"/>
          <w:szCs w:val="24"/>
        </w:rPr>
        <w:t>4.1. По результатам настоящей закупки заключается договор с предельной ценой, предложенной в заявке Победителя закупки, а также с единичной расценкой (ценой за единицу продукции), предложенной в заявке Победителем.</w:t>
      </w:r>
    </w:p>
    <w:p>
      <w:pPr>
        <w:pStyle w:val="Heading4"/>
        <w:numPr>
          <w:ilvl w:val="0"/>
          <w:numId w:val="0"/>
        </w:numPr>
        <w:tabs>
          <w:tab w:val="clear" w:pos="0"/>
        </w:tabs>
        <w:spacing w:before="120" w:after="120"/>
        <w:ind w:left="369" w:hanging="0"/>
        <w:jc w:val="both"/>
        <w:rPr>
          <w:sz w:val="24"/>
          <w:szCs w:val="24"/>
        </w:rPr>
      </w:pPr>
      <w:r>
        <w:rPr>
          <w:b w:val="false"/>
          <w:iCs/>
          <w:sz w:val="24"/>
          <w:szCs w:val="24"/>
        </w:rPr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1 к Запросу ТКП).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FFFFFF" w:themeColor="background1"/>
      </w:rPr>
    </w:pPr>
    <w:r>
      <w:rPr>
        <w:color w:val="FFFFFF" w:themeColor="background1"/>
      </w:rPr>
      <w:t>5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FFFFFF" w:themeColor="background1"/>
      </w:rPr>
    </w:pPr>
    <w:r>
      <w:rPr>
        <w:color w:val="FFFFFF" w:themeColor="background1"/>
      </w:rPr>
      <w:t>5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FFFFFF" w:themeColor="background1"/>
      </w:rPr>
    </w:pPr>
    <w:r>
      <w:rPr>
        <w:color w:val="FFFFFF" w:themeColor="background1"/>
      </w:rPr>
      <w:t>5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АРГ Текст Знак"/>
    <w:link w:val="Style34"/>
    <w:qFormat/>
    <w:rsid w:val="00f13530"/>
    <w:rPr>
      <w:rFonts w:eastAsia="Calibri"/>
      <w:sz w:val="28"/>
      <w:szCs w:val="28"/>
      <w:lang w:val="x-none" w:eastAsia="en-US"/>
    </w:rPr>
  </w:style>
  <w:style w:type="character" w:styleId="Style15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351614"/>
    <w:pPr>
      <w:spacing w:before="120" w:after="0"/>
      <w:ind w:left="567" w:hanging="0"/>
    </w:pPr>
    <w:rPr>
      <w:rFonts w:cs="Calibri Light (Заголовки)"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51614"/>
    <w:pPr>
      <w:tabs>
        <w:tab w:val="clear" w:pos="708"/>
        <w:tab w:val="left" w:pos="1400" w:leader="none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АРГ Текст"/>
    <w:basedOn w:val="Normal"/>
    <w:link w:val="Style14"/>
    <w:qFormat/>
    <w:rsid w:val="00f13530"/>
    <w:pPr>
      <w:spacing w:lineRule="auto" w:line="276"/>
      <w:ind w:firstLine="709"/>
      <w:jc w:val="both"/>
    </w:pPr>
    <w:rPr>
      <w:rFonts w:eastAsia="Calibri"/>
      <w:lang w:val="x-none"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97AE5-8188-4283-A39A-F34D67F7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AlterOffice/3.4.0.9$Linux_X86_64 LibreOffice_project/b8daf9e823b1a5463a2f48435ddc2e8696e7d4fc</Application>
  <AppVersion>15.0000</AppVersion>
  <Pages>9</Pages>
  <Words>1389</Words>
  <Characters>9558</Characters>
  <CharactersWithSpaces>12163</CharactersWithSpaces>
  <Paragraphs>191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2026-08-24T10:54:00Z</dcterms:created>
  <dc:creator>Быстров Олег Геннадьевич</dc:creator>
  <dc:description/>
  <dc:language>ru-RU</dc:language>
  <cp:lastModifiedBy>magomedovara@corp.gidroogk.com</cp:lastModifiedBy>
  <cp:lastPrinted>2006-07-26T14:04:00Z</cp:lastPrinted>
  <dcterms:modified xsi:type="dcterms:W3CDTF">2026-08-24T16:26:17Z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