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ind w:left="5670" w:hanging="0"/>
        <w:rPr/>
      </w:pPr>
      <w:r>
        <w:rPr/>
      </w:r>
    </w:p>
    <w:p>
      <w:pPr>
        <w:pStyle w:val="Normal"/>
        <w:suppressAutoHyphens w:val="false"/>
        <w:ind w:left="5670" w:hanging="0"/>
        <w:rPr/>
      </w:pPr>
      <w:r>
        <w:rPr/>
      </w:r>
    </w:p>
    <w:p>
      <w:pPr>
        <w:pStyle w:val="Normal"/>
        <w:suppressAutoHyphens w:val="false"/>
        <w:ind w:left="5670" w:hanging="0"/>
        <w:rPr/>
      </w:pPr>
      <w:r>
        <w:rPr/>
      </w:r>
    </w:p>
    <w:p>
      <w:pPr>
        <w:pStyle w:val="Normal"/>
        <w:suppressAutoHyphens w:val="false"/>
        <w:ind w:left="5670" w:hanging="0"/>
        <w:rPr/>
      </w:pPr>
      <w:r>
        <w:rPr/>
      </w:r>
    </w:p>
    <w:p>
      <w:pPr>
        <w:pStyle w:val="Normal"/>
        <w:suppressAutoHyphens w:val="false"/>
        <w:ind w:left="5670" w:hanging="0"/>
        <w:rPr/>
      </w:pPr>
      <w:r>
        <w:rPr/>
      </w:r>
    </w:p>
    <w:p>
      <w:pPr>
        <w:pStyle w:val="Normal"/>
        <w:suppressAutoHyphens w:val="false"/>
        <w:ind w:left="5670" w:hanging="0"/>
        <w:rPr/>
      </w:pPr>
      <w:r>
        <w:rPr/>
      </w:r>
    </w:p>
    <w:p>
      <w:pPr>
        <w:pStyle w:val="Normal"/>
        <w:suppressAutoHyphens w:val="false"/>
        <w:ind w:left="5670" w:hanging="0"/>
        <w:rPr/>
      </w:pPr>
      <w:r>
        <w:rPr/>
      </w:r>
    </w:p>
    <w:p>
      <w:pPr>
        <w:pStyle w:val="Normal"/>
        <w:suppressAutoHyphens w:val="false"/>
        <w:ind w:left="5670" w:hanging="0"/>
        <w:rPr/>
      </w:pPr>
      <w:r>
        <w:rPr/>
      </w:r>
    </w:p>
    <w:p>
      <w:pPr>
        <w:pStyle w:val="Normal"/>
        <w:suppressAutoHyphens w:val="false"/>
        <w:ind w:left="5670" w:hanging="0"/>
        <w:rPr/>
      </w:pPr>
      <w:r>
        <w:rPr/>
      </w:r>
    </w:p>
    <w:p>
      <w:pPr>
        <w:pStyle w:val="Normal"/>
        <w:suppressAutoHyphens w:val="false"/>
        <w:ind w:firstLine="5670"/>
        <w:rPr/>
      </w:pPr>
      <w:r>
        <w:rPr/>
      </w:r>
    </w:p>
    <w:p>
      <w:pPr>
        <w:pStyle w:val="Normal"/>
        <w:suppressAutoHyphens w:val="false"/>
        <w:ind w:firstLine="5670"/>
        <w:rPr/>
      </w:pPr>
      <w:r>
        <w:rPr/>
      </w:r>
    </w:p>
    <w:p>
      <w:pPr>
        <w:pStyle w:val="Normal"/>
        <w:suppressAutoHyphens w:val="false"/>
        <w:ind w:firstLine="5670"/>
        <w:rPr/>
      </w:pPr>
      <w:r>
        <w:rPr/>
      </w:r>
    </w:p>
    <w:p>
      <w:pPr>
        <w:pStyle w:val="Normal"/>
        <w:suppressAutoHyphens w:val="false"/>
        <w:ind w:firstLine="5670"/>
        <w:rPr/>
      </w:pPr>
      <w:r>
        <w:rPr/>
      </w:r>
    </w:p>
    <w:p>
      <w:pPr>
        <w:pStyle w:val="Normal"/>
        <w:suppressAutoHyphens w:val="false"/>
        <w:ind w:firstLine="5670"/>
        <w:rPr/>
      </w:pPr>
      <w:r>
        <w:rPr/>
      </w:r>
    </w:p>
    <w:p>
      <w:pPr>
        <w:pStyle w:val="Normal"/>
        <w:suppressAutoHyphens w:val="false"/>
        <w:ind w:left="567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uppressAutoHyphens w:val="false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uppressAutoHyphens w:val="false"/>
        <w:jc w:val="center"/>
        <w:rPr/>
      </w:pPr>
      <w:r>
        <w:rPr>
          <w:rFonts w:eastAsia="Calibri"/>
          <w:b/>
          <w:sz w:val="32"/>
          <w:szCs w:val="32"/>
        </w:rPr>
        <w:t>Технические требования на оказание услуг</w:t>
      </w:r>
    </w:p>
    <w:p>
      <w:pPr>
        <w:pStyle w:val="Normal"/>
        <w:keepNext w:val="true"/>
        <w:keepLines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false"/>
        <w:spacing w:before="120" w:after="120"/>
        <w:jc w:val="center"/>
        <w:rPr/>
      </w:pPr>
      <w:r>
        <w:rPr>
          <w:rFonts w:eastAsia="Calibri"/>
          <w:b/>
          <w:sz w:val="32"/>
          <w:szCs w:val="32"/>
        </w:rPr>
        <w:t>«ОКПД2 42.91.20.190 Механическое очищение от ракушки ж/б плит откосов деривационного канала Новотроицкой ГЭС</w:t>
      </w:r>
      <w:r>
        <w:rPr/>
        <w:t xml:space="preserve"> </w:t>
      </w:r>
      <w:r>
        <w:rPr>
          <w:rFonts w:eastAsia="Calibri"/>
          <w:b/>
          <w:sz w:val="32"/>
          <w:szCs w:val="32"/>
        </w:rPr>
        <w:t>Филиала ПАО «РусГидро» – «Каскад Кубанских ГЭС»</w:t>
      </w:r>
    </w:p>
    <w:p>
      <w:pPr>
        <w:pStyle w:val="Normal"/>
        <w:keepNext w:val="true"/>
        <w:keepLines/>
        <w:suppressAutoHyphens w:val="false"/>
        <w:jc w:val="center"/>
        <w:rPr/>
      </w:pPr>
      <w:r>
        <w:rPr>
          <w:rFonts w:eastAsia="Calibri"/>
          <w:b/>
          <w:sz w:val="32"/>
          <w:szCs w:val="32"/>
        </w:rPr>
        <w:t>Лот № 23-ЭКСП-БПД-2026-ККГЭС</w:t>
      </w:r>
    </w:p>
    <w:p>
      <w:pPr>
        <w:pStyle w:val="Normal"/>
        <w:keepNext w:val="true"/>
        <w:keepLines/>
        <w:suppressAutoHyphens w:val="false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suppressAutoHyphens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uppressAutoHyphens w:val="false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372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50503_3850693634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372" w:leader="dot"/>
            </w:tabs>
            <w:rPr/>
          </w:pPr>
          <w:hyperlink w:anchor="__RefHeading___Toc50505_3850693634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372" w:leader="dot"/>
            </w:tabs>
            <w:rPr/>
          </w:pPr>
          <w:hyperlink w:anchor="__RefHeading___Toc50507_3850693634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372" w:leader="dot"/>
            </w:tabs>
            <w:rPr/>
          </w:pPr>
          <w:hyperlink w:anchor="__RefHeading___Toc50509_3850693634">
            <w:r>
              <w:rPr>
                <w:webHidden/>
                <w:rStyle w:val="Style14"/>
                <w:vanish w:val="false"/>
              </w:rPr>
              <w:t>1.3. Цель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372" w:leader="dot"/>
            </w:tabs>
            <w:rPr/>
          </w:pPr>
          <w:hyperlink w:anchor="__RefHeading___Toc50511_3850693634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372" w:leader="dot"/>
            </w:tabs>
            <w:rPr/>
          </w:pPr>
          <w:hyperlink w:anchor="__RefHeading___Toc50513_3850693634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372" w:leader="dot"/>
            </w:tabs>
            <w:rPr/>
          </w:pPr>
          <w:hyperlink w:anchor="__RefHeading___Toc50515_3850693634">
            <w:r>
              <w:rPr>
                <w:webHidden/>
                <w:rStyle w:val="Style14"/>
                <w:vanish w:val="false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372" w:leader="dot"/>
            </w:tabs>
            <w:rPr/>
          </w:pPr>
          <w:hyperlink w:anchor="__RefHeading___Toc50517_3850693634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372" w:leader="dot"/>
            </w:tabs>
            <w:rPr/>
          </w:pPr>
          <w:hyperlink w:anchor="__RefHeading___Toc50519_3850693634">
            <w:r>
              <w:rPr>
                <w:webHidden/>
                <w:rStyle w:val="Style14"/>
                <w:vanish w:val="false"/>
              </w:rPr>
              <w:t>2.1. Требования к объемам и срокам оказания услуг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10372" w:leader="dot"/>
            </w:tabs>
            <w:rPr/>
          </w:pPr>
          <w:hyperlink w:anchor="__RefHeading___Toc50521_3850693634">
            <w:r>
              <w:rPr>
                <w:webHidden/>
                <w:rStyle w:val="Style14"/>
                <w:vanish w:val="false"/>
              </w:rPr>
              <w:t>2.1.1. Требования к перечню и объему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372" w:leader="dot"/>
            </w:tabs>
            <w:rPr/>
          </w:pPr>
          <w:hyperlink w:anchor="__RefHeading___Toc50523_3850693634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10372" w:leader="dot"/>
            </w:tabs>
            <w:rPr/>
          </w:pPr>
          <w:hyperlink w:anchor="__RefHeading___Toc50525_3850693634">
            <w:r>
              <w:rPr>
                <w:webHidden/>
                <w:rStyle w:val="Style14"/>
                <w:vanish w:val="false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10372" w:leader="dot"/>
            </w:tabs>
            <w:rPr/>
          </w:pPr>
          <w:hyperlink w:anchor="__RefHeading___Toc50527_3850693634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372" w:leader="dot"/>
            </w:tabs>
            <w:rPr/>
          </w:pPr>
          <w:hyperlink w:anchor="__RefHeading___Toc50529_3850693634">
            <w:r>
              <w:rPr>
                <w:webHidden/>
                <w:rStyle w:val="Style14"/>
                <w:vanish w:val="false"/>
              </w:rPr>
              <w:t>2.2.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10372" w:leader="dot"/>
            </w:tabs>
            <w:rPr/>
          </w:pPr>
          <w:hyperlink w:anchor="__RefHeading___Toc50531_3850693634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10372" w:leader="dot"/>
            </w:tabs>
            <w:rPr/>
          </w:pPr>
          <w:hyperlink w:anchor="__RefHeading___Toc50547_3850693634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11</w:t>
            </w:r>
          </w:hyperlink>
        </w:p>
        <w:p>
          <w:pPr>
            <w:pStyle w:val="TOC1"/>
            <w:tabs>
              <w:tab w:val="clear" w:pos="708"/>
              <w:tab w:val="right" w:pos="10372" w:leader="dot"/>
            </w:tabs>
            <w:rPr/>
          </w:pPr>
          <w:hyperlink w:anchor="__RefHeading___Toc50551_3850693634">
            <w:r>
              <w:rPr>
                <w:webHidden/>
                <w:rStyle w:val="Style14"/>
                <w:vanish w:val="false"/>
              </w:rPr>
              <w:t>4. Требования к документации по ценообразованию на этапе заключения (исполнения) договора</w:t>
              <w:tab/>
              <w:t>11</w:t>
            </w:r>
          </w:hyperlink>
        </w:p>
        <w:p>
          <w:pPr>
            <w:pStyle w:val="TOC1"/>
            <w:tabs>
              <w:tab w:val="clear" w:pos="708"/>
              <w:tab w:val="right" w:pos="10372" w:leader="dot"/>
            </w:tabs>
            <w:rPr/>
          </w:pPr>
          <w:hyperlink w:anchor="__RefHeading___Toc50557_3850693634">
            <w:r>
              <w:rPr>
                <w:webHidden/>
                <w:rStyle w:val="Style14"/>
                <w:vanish w:val="false"/>
              </w:rPr>
              <w:t xml:space="preserve">5. </w:t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suppressAutoHyphens w:val="false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  <w:numId w:val="0"/>
        </w:numPr>
        <w:suppressAutoHyphens w:val="false"/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uppressAutoHyphens w:val="false"/>
        <w:ind w:left="357" w:hanging="357"/>
        <w:jc w:val="center"/>
        <w:rPr/>
      </w:pPr>
      <w:bookmarkStart w:id="0" w:name="__RefHeading___Toc50503_3850693634"/>
      <w:bookmarkStart w:id="1" w:name="_Toc54643694"/>
      <w:bookmarkEnd w:id="0"/>
      <w:r>
        <w:rPr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suppressAutoHyphens w:val="false"/>
        <w:rPr/>
      </w:pPr>
      <w:bookmarkStart w:id="2" w:name="__RefHeading___Toc50505_3850693634"/>
      <w:bookmarkStart w:id="3" w:name="_Toc54643695"/>
      <w:bookmarkStart w:id="4" w:name="_Toc46743505"/>
      <w:bookmarkEnd w:id="2"/>
      <w:r>
        <w:rPr/>
        <w:t>Обозначения и сокращения</w:t>
      </w:r>
      <w:bookmarkEnd w:id="3"/>
      <w:bookmarkEnd w:id="4"/>
    </w:p>
    <w:p>
      <w:pPr>
        <w:pStyle w:val="Normal"/>
        <w:suppressAutoHyphens w:val="false"/>
        <w:rPr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ППБ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sz w:val="24"/>
                <w:szCs w:val="24"/>
              </w:rPr>
              <w:t>правила пожарной безопасности;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sz w:val="24"/>
                <w:szCs w:val="24"/>
              </w:rPr>
              <w:t>проект производства работ;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ПТЭ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 технической эксплуатации электрических станций и сетей;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СМР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sz w:val="24"/>
                <w:szCs w:val="24"/>
              </w:rPr>
              <w:t>строительно-монтажные работы;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стандарт организации;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ТЗ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sz w:val="24"/>
                <w:szCs w:val="24"/>
              </w:rPr>
              <w:t>техническое задание;</w:t>
            </w:r>
          </w:p>
        </w:tc>
      </w:tr>
      <w:tr>
        <w:trPr>
          <w:trHeight w:val="264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120" w:after="120"/>
              <w:jc w:val="both"/>
              <w:rPr/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Normal"/>
        <w:keepNext w:val="true"/>
        <w:keepLines/>
        <w:suppressAutoHyphens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uppressAutoHyphens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uppressAutoHyphens w:val="false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uppressAutoHyphens w:val="false"/>
        <w:rPr/>
      </w:pPr>
      <w:bookmarkStart w:id="5" w:name="__RefHeading___Toc50507_3850693634"/>
      <w:bookmarkStart w:id="6" w:name="_Toc54643696"/>
      <w:bookmarkStart w:id="7" w:name="_Toc46743506"/>
      <w:bookmarkEnd w:id="5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false"/>
        <w:spacing w:before="120" w:after="240"/>
        <w:jc w:val="both"/>
        <w:rPr/>
      </w:pPr>
      <w:r>
        <w:rPr>
          <w:rFonts w:cs="Calibri"/>
          <w:sz w:val="24"/>
          <w:szCs w:val="24"/>
        </w:rPr>
        <w:t>«ОКПД2 42.91.20.190</w:t>
      </w:r>
      <w:r>
        <w:rPr>
          <w:rFonts w:eastAsia="Calibri"/>
          <w:b/>
          <w:sz w:val="32"/>
          <w:szCs w:val="32"/>
        </w:rPr>
        <w:t xml:space="preserve"> </w:t>
      </w:r>
      <w:r>
        <w:rPr>
          <w:rFonts w:cs="Calibri"/>
          <w:sz w:val="24"/>
          <w:szCs w:val="24"/>
        </w:rPr>
        <w:t>Механическое очищение от ракушки ж/б плит откосов деривационного канала Новотроицкой ГЭС Филиала ПАО «РусГидро» – «Каскад Кубанских ГЭС».</w:t>
      </w:r>
    </w:p>
    <w:p>
      <w:pPr>
        <w:pStyle w:val="Heading4"/>
        <w:numPr>
          <w:ilvl w:val="1"/>
          <w:numId w:val="3"/>
        </w:numPr>
        <w:suppressAutoHyphens w:val="false"/>
        <w:spacing w:before="240" w:after="60"/>
        <w:ind w:left="431" w:hanging="431"/>
        <w:rPr/>
      </w:pPr>
      <w:bookmarkStart w:id="8" w:name="__RefHeading___Toc50509_3850693634"/>
      <w:bookmarkStart w:id="9" w:name="_Toc54643697"/>
      <w:bookmarkStart w:id="10" w:name="_Toc46743507"/>
      <w:bookmarkEnd w:id="8"/>
      <w:r>
        <w:rPr/>
        <w:t xml:space="preserve">Цель </w:t>
      </w:r>
      <w:bookmarkEnd w:id="10"/>
      <w:r>
        <w:rPr>
          <w:lang w:val="ru-RU"/>
        </w:rPr>
        <w:t>оказания услуг</w:t>
      </w:r>
      <w:r>
        <w:rPr/>
        <w:t xml:space="preserve"> </w:t>
      </w:r>
      <w:bookmarkEnd w:id="9"/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false"/>
        <w:spacing w:before="120" w:after="240"/>
        <w:jc w:val="both"/>
        <w:rPr/>
      </w:pPr>
      <w:r>
        <w:rPr>
          <w:rFonts w:cs="Calibri"/>
          <w:sz w:val="24"/>
          <w:szCs w:val="24"/>
        </w:rPr>
        <w:t>Целью работ является приведение к проектным отметкам откосов подводящего канала, восстановление условий нормальной эксплуатации Новотроицкой ГЭС.</w:t>
      </w:r>
    </w:p>
    <w:p>
      <w:pPr>
        <w:pStyle w:val="Heading4"/>
        <w:numPr>
          <w:ilvl w:val="1"/>
          <w:numId w:val="3"/>
        </w:numPr>
        <w:suppressAutoHyphens w:val="false"/>
        <w:rPr/>
      </w:pPr>
      <w:bookmarkStart w:id="11" w:name="__RefHeading___Toc50511_3850693634"/>
      <w:bookmarkStart w:id="12" w:name="_Toc54643698"/>
      <w:bookmarkStart w:id="13" w:name="_Toc46743508"/>
      <w:bookmarkEnd w:id="11"/>
      <w:r>
        <w:rPr/>
        <w:t>Существующее положение</w:t>
      </w:r>
      <w:bookmarkEnd w:id="13"/>
      <w:r>
        <w:rPr>
          <w:lang w:val="ru-RU"/>
        </w:rPr>
        <w:t xml:space="preserve"> </w:t>
      </w:r>
      <w:bookmarkEnd w:id="12"/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  <w:b/>
          <w:sz w:val="24"/>
          <w:szCs w:val="24"/>
        </w:rPr>
        <w:t xml:space="preserve">Деривационный канал Новотроицкой ГЭС </w:t>
      </w:r>
      <w:r>
        <w:rPr>
          <w:rFonts w:cs="Calibri"/>
          <w:sz w:val="24"/>
          <w:szCs w:val="24"/>
        </w:rPr>
        <w:t xml:space="preserve">служит для подвода воды от головного шлюза-регулятора к водоприемнику. Канал выполнен в полувыемке-полунасыпи. В начальной части канал проходит в выемке глубиной до 7,0 м. В концевой части канал проходит - в полувыемке-полунасыпи. На всем протяжении канал облицован железобетонными плитами. </w:t>
      </w:r>
      <w:r>
        <w:rPr>
          <w:rFonts w:cs="Calibri"/>
          <w:spacing w:val="-4"/>
          <w:sz w:val="24"/>
          <w:szCs w:val="24"/>
        </w:rPr>
        <w:t xml:space="preserve">Деривационный канал перед водоприемником на длине 35 м покрыт железобетоном. Протяженность деривационного канала -314 м. </w:t>
      </w:r>
    </w:p>
    <w:p>
      <w:pPr>
        <w:pStyle w:val="Heading1"/>
        <w:keepLines/>
        <w:numPr>
          <w:ilvl w:val="0"/>
          <w:numId w:val="0"/>
        </w:numPr>
        <w:suppressAutoHyphens w:val="false"/>
        <w:spacing w:before="240" w:after="60"/>
        <w:ind w:left="0" w:hanging="0"/>
        <w:rPr/>
      </w:pPr>
      <w:bookmarkStart w:id="14" w:name="__RefHeading___Toc50513_3850693634"/>
      <w:bookmarkStart w:id="15" w:name="_Toc54643699"/>
      <w:bookmarkEnd w:id="14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5"/>
    </w:p>
    <w:tbl>
      <w:tblPr>
        <w:tblW w:w="10362" w:type="dxa"/>
        <w:jc w:val="left"/>
        <w:tblInd w:w="-5" w:type="dxa"/>
        <w:tblLayout w:type="fixed"/>
        <w:tblCellMar>
          <w:top w:w="0" w:type="dxa"/>
          <w:left w:w="51" w:type="dxa"/>
          <w:bottom w:w="0" w:type="dxa"/>
          <w:right w:w="51" w:type="dxa"/>
        </w:tblCellMar>
        <w:tblLook w:val="0000" w:noVBand="0" w:noHBand="0" w:lastColumn="0" w:firstColumn="0" w:lastRow="0" w:firstRow="0"/>
      </w:tblPr>
      <w:tblGrid>
        <w:gridCol w:w="499"/>
        <w:gridCol w:w="2829"/>
        <w:gridCol w:w="2474"/>
        <w:gridCol w:w="2860"/>
        <w:gridCol w:w="1700"/>
      </w:tblGrid>
      <w:tr>
        <w:trPr/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false"/>
              <w:rPr/>
            </w:pPr>
            <w:r>
              <w:rPr/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Verdana"/>
                <w:bCs/>
                <w:color w:val="000000"/>
                <w:sz w:val="24"/>
                <w:szCs w:val="24"/>
              </w:rPr>
              <w:t>Новотроицк</w:t>
            </w:r>
            <w:r>
              <w:rPr>
                <w:rFonts w:eastAsia="Verdana"/>
                <w:bCs/>
                <w:color w:val="000000"/>
                <w:sz w:val="24"/>
                <w:szCs w:val="24"/>
                <w:lang w:val="en-US"/>
              </w:rPr>
              <w:t>ая</w:t>
            </w:r>
            <w:r>
              <w:rPr>
                <w:rFonts w:eastAsia="Verdana"/>
                <w:bCs/>
                <w:color w:val="000000"/>
                <w:sz w:val="24"/>
                <w:szCs w:val="24"/>
              </w:rPr>
              <w:t xml:space="preserve"> ГЭС</w:t>
            </w: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Calibri"/>
                <w:sz w:val="24"/>
                <w:szCs w:val="24"/>
              </w:rPr>
              <w:t>Российская Федерация, Ставропольский край, Изобильненский район, поселок Солнечнодольск, микрорайон Пионерный, пер. Заводской, 2А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Verdana"/>
                <w:bCs/>
                <w:color w:val="000000"/>
                <w:sz w:val="24"/>
                <w:szCs w:val="24"/>
              </w:rPr>
              <w:t>Деривационный канал Новотроицкой ГЭС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i/>
                <w:sz w:val="24"/>
                <w:szCs w:val="24"/>
                <w:lang w:val="en-US"/>
              </w:rPr>
              <w:t>-</w:t>
            </w:r>
          </w:p>
        </w:tc>
      </w:tr>
    </w:tbl>
    <w:p>
      <w:pPr>
        <w:pStyle w:val="Heading4"/>
        <w:numPr>
          <w:ilvl w:val="1"/>
          <w:numId w:val="3"/>
        </w:numPr>
        <w:suppressAutoHyphens w:val="false"/>
        <w:rPr/>
      </w:pPr>
      <w:bookmarkStart w:id="16" w:name="__RefHeading___Toc50515_3850693634"/>
      <w:bookmarkStart w:id="17" w:name="_Toc54643700"/>
      <w:bookmarkStart w:id="18" w:name="_Toc46743509"/>
      <w:bookmarkStart w:id="19" w:name="_Hlk49857604"/>
      <w:bookmarkEnd w:id="16"/>
      <w:r>
        <w:rPr/>
        <w:t xml:space="preserve">Информация в отношении исполнения договора, </w:t>
      </w:r>
      <w:bookmarkStart w:id="20" w:name="_Hlk46492347"/>
      <w:r>
        <w:rPr/>
        <w:t xml:space="preserve">которая должна быть учтена при подготовке заявки </w:t>
      </w:r>
      <w:bookmarkEnd w:id="20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8"/>
      <w:bookmarkEnd w:id="19"/>
      <w:r>
        <w:rPr>
          <w:lang w:val="ru-RU"/>
        </w:rPr>
        <w:t xml:space="preserve"> </w:t>
      </w:r>
      <w:bookmarkEnd w:id="17"/>
    </w:p>
    <w:p>
      <w:pPr>
        <w:pStyle w:val="Normal"/>
        <w:suppressAutoHyphens w:val="false"/>
        <w:ind w:firstLine="567"/>
        <w:jc w:val="both"/>
        <w:rPr>
          <w:spacing w:val="-6"/>
        </w:rPr>
      </w:pPr>
      <w:r>
        <w:rPr>
          <w:rFonts w:cs="Calibri"/>
          <w:spacing w:val="-6"/>
          <w:sz w:val="24"/>
          <w:szCs w:val="24"/>
        </w:rPr>
        <w:t>Перечень ресурсов, предоставляемых Заказчиком и необходимых для оказания услуг по договорам: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cs="Calibri"/>
          <w:sz w:val="24"/>
          <w:szCs w:val="24"/>
        </w:rPr>
        <w:t>- вода;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cs="Calibri"/>
          <w:sz w:val="24"/>
          <w:szCs w:val="24"/>
        </w:rPr>
        <w:t>- электроснабжение;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cs="Calibri"/>
          <w:sz w:val="24"/>
          <w:szCs w:val="24"/>
        </w:rPr>
        <w:t>- обеспечение санитарно-гигиенических и бытовых условий;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cs="Calibri"/>
          <w:sz w:val="24"/>
          <w:szCs w:val="24"/>
        </w:rPr>
        <w:t>- содержание пожарной и сторожевой охраны;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cs="Calibri"/>
          <w:sz w:val="24"/>
          <w:szCs w:val="24"/>
        </w:rPr>
        <w:t>- представление помещений;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cs="Calibri"/>
          <w:sz w:val="24"/>
          <w:szCs w:val="24"/>
        </w:rPr>
        <w:t>- помещения для размещения персонала исполнителя;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cs="Calibri"/>
          <w:sz w:val="24"/>
          <w:szCs w:val="24"/>
        </w:rPr>
        <w:t>- складские помещения и площадки для погрузки / разгрузки / складирования / хранения материально-технических ресурсов, оборудования исполнителя, а также давальческих материалов и запасных частей, оборудования заказчика.</w:t>
      </w:r>
    </w:p>
    <w:p>
      <w:pPr>
        <w:pStyle w:val="Normal"/>
        <w:suppressAutoHyphens w:val="false"/>
        <w:jc w:val="both"/>
        <w:rPr/>
      </w:pPr>
      <w:bookmarkStart w:id="21" w:name="_Toc54646402"/>
      <w:r>
        <w:rPr>
          <w:rFonts w:cs="Calibri"/>
          <w:sz w:val="24"/>
          <w:szCs w:val="24"/>
        </w:rPr>
        <w:t>Особые условия оказания услуг</w:t>
      </w:r>
      <w:bookmarkEnd w:id="21"/>
      <w:r>
        <w:rPr>
          <w:rFonts w:cs="Calibri"/>
          <w:sz w:val="24"/>
          <w:szCs w:val="24"/>
        </w:rPr>
        <w:t>: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rFonts w:eastAsia="Times New Roman" w:cs="Calibri"/>
          <w:color w:val="000000"/>
          <w:kern w:val="0"/>
          <w:sz w:val="24"/>
          <w:szCs w:val="24"/>
          <w:shd w:fill="auto" w:val="clear"/>
          <w:lang w:val="ru-RU" w:eastAsia="ru-RU" w:bidi="ar-SA"/>
        </w:rPr>
        <w:t>Образовавшиеся в процессе оказания услуг отходы являются собственностью Исполнителя.</w:t>
      </w:r>
    </w:p>
    <w:p>
      <w:pPr>
        <w:pStyle w:val="Heading1"/>
        <w:keepLines/>
        <w:numPr>
          <w:ilvl w:val="0"/>
          <w:numId w:val="3"/>
        </w:numPr>
        <w:suppressAutoHyphens w:val="false"/>
        <w:ind w:left="357" w:hanging="357"/>
        <w:jc w:val="center"/>
        <w:rPr/>
      </w:pPr>
      <w:bookmarkStart w:id="22" w:name="__RefHeading___Toc50517_3850693634"/>
      <w:bookmarkStart w:id="23" w:name="_Toc51339693"/>
      <w:bookmarkStart w:id="24" w:name="_Toc54643702"/>
      <w:bookmarkEnd w:id="2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3"/>
      <w:bookmarkEnd w:id="24"/>
    </w:p>
    <w:p>
      <w:pPr>
        <w:pStyle w:val="Heading4"/>
        <w:numPr>
          <w:ilvl w:val="1"/>
          <w:numId w:val="3"/>
        </w:numPr>
        <w:suppressAutoHyphens w:val="false"/>
        <w:rPr/>
      </w:pPr>
      <w:bookmarkStart w:id="25" w:name="__RefHeading___Toc50519_3850693634"/>
      <w:bookmarkStart w:id="26" w:name="_Toc54643703"/>
      <w:bookmarkEnd w:id="2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6"/>
    </w:p>
    <w:p>
      <w:pPr>
        <w:pStyle w:val="Heading3"/>
        <w:numPr>
          <w:ilvl w:val="2"/>
          <w:numId w:val="3"/>
        </w:numPr>
        <w:suppressAutoHyphens w:val="false"/>
        <w:rPr/>
      </w:pPr>
      <w:bookmarkStart w:id="27" w:name="__RefHeading___Toc50521_3850693634"/>
      <w:bookmarkStart w:id="28" w:name="_Toc54643704"/>
      <w:bookmarkEnd w:id="27"/>
      <w:r>
        <w:rPr>
          <w:lang w:val="ru-RU"/>
        </w:rPr>
        <w:t>Требования к перечню и объему услуг</w:t>
      </w:r>
      <w:bookmarkEnd w:id="28"/>
    </w:p>
    <w:p>
      <w:pPr>
        <w:pStyle w:val="Normal"/>
        <w:suppressAutoHyphens w:val="false"/>
        <w:rPr/>
      </w:pPr>
      <w:r>
        <w:rPr>
          <w:bCs/>
          <w:sz w:val="24"/>
          <w:szCs w:val="24"/>
        </w:rPr>
        <w:t>Перечень оказываемых услуг:</w:t>
      </w:r>
    </w:p>
    <w:p>
      <w:pPr>
        <w:pStyle w:val="Normal"/>
        <w:suppressAutoHyphens w:val="false"/>
        <w:spacing w:before="0" w:after="0"/>
        <w:contextualSpacing/>
        <w:rPr/>
      </w:pPr>
      <w:r>
        <w:rPr>
          <w:sz w:val="24"/>
          <w:szCs w:val="24"/>
        </w:rPr>
        <w:t>- разработка и согласование ППР;</w:t>
      </w:r>
    </w:p>
    <w:p>
      <w:pPr>
        <w:pStyle w:val="Normal"/>
        <w:suppressAutoHyphens w:val="false"/>
        <w:spacing w:before="0" w:after="0"/>
        <w:contextualSpacing/>
        <w:rPr/>
      </w:pPr>
      <w:r>
        <w:rPr>
          <w:sz w:val="24"/>
          <w:szCs w:val="24"/>
        </w:rPr>
        <w:t>- перебазировка техники к месту оказания услуг;</w:t>
      </w:r>
    </w:p>
    <w:p>
      <w:pPr>
        <w:pStyle w:val="Normal"/>
        <w:suppressAutoHyphens w:val="false"/>
        <w:spacing w:before="0" w:after="0"/>
        <w:contextualSpacing/>
        <w:rPr/>
      </w:pPr>
      <w:r>
        <w:rPr>
          <w:sz w:val="24"/>
          <w:szCs w:val="24"/>
        </w:rPr>
        <w:t>- планировка места отвала;</w:t>
      </w:r>
    </w:p>
    <w:p>
      <w:pPr>
        <w:pStyle w:val="Normal"/>
        <w:suppressAutoHyphens w:val="false"/>
        <w:spacing w:before="0" w:after="0"/>
        <w:contextualSpacing/>
        <w:rPr/>
      </w:pPr>
      <w:r>
        <w:rPr>
          <w:sz w:val="24"/>
          <w:szCs w:val="24"/>
        </w:rPr>
        <w:t>- очистка дна канала от ракушки, механизированным способом;</w:t>
      </w:r>
    </w:p>
    <w:p>
      <w:pPr>
        <w:pStyle w:val="Normal"/>
        <w:suppressAutoHyphens w:val="false"/>
        <w:spacing w:before="0" w:after="0"/>
        <w:contextualSpacing/>
        <w:rPr/>
      </w:pPr>
      <w:r>
        <w:rPr>
          <w:sz w:val="24"/>
          <w:szCs w:val="24"/>
        </w:rPr>
        <w:t>- погрузка на гребне, после подъёма на верх;</w:t>
      </w:r>
    </w:p>
    <w:p>
      <w:pPr>
        <w:pStyle w:val="Normal"/>
        <w:suppressAutoHyphens w:val="false"/>
        <w:spacing w:before="0" w:after="0"/>
        <w:contextualSpacing/>
        <w:rPr/>
      </w:pPr>
      <w:r>
        <w:rPr>
          <w:sz w:val="24"/>
          <w:szCs w:val="24"/>
          <w:shd w:fill="auto" w:val="clear"/>
        </w:rPr>
        <w:t>- перевозка отходов.</w:t>
      </w:r>
    </w:p>
    <w:p>
      <w:pPr>
        <w:pStyle w:val="Heading1"/>
        <w:keepLines/>
        <w:numPr>
          <w:ilvl w:val="0"/>
          <w:numId w:val="0"/>
        </w:numPr>
        <w:suppressAutoHyphens w:val="false"/>
        <w:spacing w:before="240" w:after="60"/>
        <w:ind w:left="0" w:hanging="0"/>
        <w:rPr/>
      </w:pPr>
      <w:bookmarkStart w:id="29" w:name="__RefHeading___Toc50523_3850693634"/>
      <w:bookmarkStart w:id="30" w:name="_Toc54643705"/>
      <w:bookmarkStart w:id="31" w:name="_Toc51339695"/>
      <w:bookmarkEnd w:id="2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1"/>
      <w:r>
        <w:rPr>
          <w:sz w:val="24"/>
          <w:szCs w:val="24"/>
          <w:lang w:val="ru-RU"/>
        </w:rPr>
        <w:t>и объем оказываемых услуг</w:t>
      </w:r>
      <w:bookmarkEnd w:id="30"/>
    </w:p>
    <w:tbl>
      <w:tblPr>
        <w:tblW w:w="10362" w:type="dxa"/>
        <w:jc w:val="left"/>
        <w:tblInd w:w="-5" w:type="dxa"/>
        <w:tblLayout w:type="fixed"/>
        <w:tblCellMar>
          <w:top w:w="0" w:type="dxa"/>
          <w:left w:w="51" w:type="dxa"/>
          <w:bottom w:w="0" w:type="dxa"/>
          <w:right w:w="51" w:type="dxa"/>
        </w:tblCellMar>
        <w:tblLook w:val="0000" w:noVBand="0" w:noHBand="0" w:lastColumn="0" w:firstColumn="0" w:lastRow="0" w:firstRow="0"/>
      </w:tblPr>
      <w:tblGrid>
        <w:gridCol w:w="672"/>
        <w:gridCol w:w="6351"/>
        <w:gridCol w:w="1189"/>
        <w:gridCol w:w="2149"/>
      </w:tblGrid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Наименование услуг / этапа оказания услуг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Единица</w:t>
              <w:br/>
              <w:t>измерения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false"/>
              <w:rPr/>
            </w:pPr>
            <w:r>
              <w:rPr/>
            </w:r>
          </w:p>
        </w:tc>
        <w:tc>
          <w:tcPr>
            <w:tcW w:w="63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jc w:val="both"/>
              <w:rPr/>
            </w:pPr>
            <w:r>
              <w:rPr>
                <w:rFonts w:cs="Calibri"/>
                <w:sz w:val="24"/>
                <w:szCs w:val="24"/>
              </w:rPr>
              <w:t xml:space="preserve">«ОКПД2 42.91.20.190 </w:t>
            </w:r>
            <w:r>
              <w:rPr>
                <w:sz w:val="24"/>
                <w:szCs w:val="24"/>
              </w:rPr>
              <w:t>Механическое очищение от ракушки ж/б плит откосов деривационного канала Новотроицкой ГЭС Филиала ПАО «РусГидро» – «Каскад Кубанских ГЭС»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sz w:val="24"/>
                <w:szCs w:val="24"/>
              </w:rPr>
              <w:t>В соответствии с ведомостью оказания услуг (Приложение №2 к настоящим Техническим требованиям)</w:t>
            </w:r>
          </w:p>
        </w:tc>
      </w:tr>
    </w:tbl>
    <w:p>
      <w:pPr>
        <w:pStyle w:val="Heading3"/>
        <w:numPr>
          <w:ilvl w:val="2"/>
          <w:numId w:val="3"/>
        </w:numPr>
        <w:suppressAutoHyphens w:val="false"/>
        <w:rPr/>
      </w:pPr>
      <w:bookmarkStart w:id="32" w:name="__RefHeading___Toc50525_3850693634"/>
      <w:bookmarkStart w:id="33" w:name="_Toc54643706"/>
      <w:bookmarkStart w:id="34" w:name="_Toc51339696"/>
      <w:bookmarkEnd w:id="32"/>
      <w:r>
        <w:rPr>
          <w:lang w:val="ru-RU"/>
        </w:rPr>
        <w:t xml:space="preserve">Требования </w:t>
      </w:r>
      <w:bookmarkEnd w:id="34"/>
      <w:r>
        <w:rPr>
          <w:lang w:val="ru-RU"/>
        </w:rPr>
        <w:t>к срокам оказания услуг</w:t>
      </w:r>
      <w:bookmarkEnd w:id="33"/>
    </w:p>
    <w:p>
      <w:pPr>
        <w:pStyle w:val="Heading1"/>
        <w:keepLines/>
        <w:numPr>
          <w:ilvl w:val="0"/>
          <w:numId w:val="0"/>
        </w:numPr>
        <w:suppressAutoHyphens w:val="false"/>
        <w:spacing w:before="240" w:after="60"/>
        <w:ind w:left="0" w:hanging="0"/>
        <w:rPr/>
      </w:pPr>
      <w:bookmarkStart w:id="35" w:name="__RefHeading___Toc50527_3850693634"/>
      <w:bookmarkStart w:id="36" w:name="_Toc54643707"/>
      <w:bookmarkStart w:id="37" w:name="_Toc51339697"/>
      <w:bookmarkStart w:id="38" w:name="_Toc50125127"/>
      <w:bookmarkStart w:id="39" w:name="_Toc50125126_Копия_1"/>
      <w:bookmarkEnd w:id="35"/>
      <w:bookmarkEnd w:id="3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40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7"/>
      <w:bookmarkEnd w:id="38"/>
      <w:bookmarkEnd w:id="40"/>
      <w:r>
        <w:rPr>
          <w:sz w:val="24"/>
          <w:szCs w:val="24"/>
          <w:lang w:val="ru-RU"/>
        </w:rPr>
        <w:t>оказания услуг</w:t>
      </w:r>
      <w:bookmarkEnd w:id="36"/>
    </w:p>
    <w:tbl>
      <w:tblPr>
        <w:tblW w:w="10362" w:type="dxa"/>
        <w:jc w:val="left"/>
        <w:tblInd w:w="-5" w:type="dxa"/>
        <w:tblLayout w:type="fixed"/>
        <w:tblCellMar>
          <w:top w:w="0" w:type="dxa"/>
          <w:left w:w="51" w:type="dxa"/>
          <w:bottom w:w="0" w:type="dxa"/>
          <w:right w:w="51" w:type="dxa"/>
        </w:tblCellMar>
        <w:tblLook w:val="04a0" w:noVBand="1" w:noHBand="0" w:lastColumn="0" w:firstColumn="1" w:lastRow="0" w:firstRow="1"/>
      </w:tblPr>
      <w:tblGrid>
        <w:gridCol w:w="557"/>
        <w:gridCol w:w="3121"/>
        <w:gridCol w:w="2550"/>
        <w:gridCol w:w="2268"/>
        <w:gridCol w:w="1866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Calibri"/>
                <w:sz w:val="24"/>
                <w:szCs w:val="24"/>
              </w:rPr>
              <w:t xml:space="preserve">ОКПД2 42.91.20.190 </w:t>
            </w:r>
            <w:r>
              <w:rPr>
                <w:sz w:val="24"/>
                <w:szCs w:val="24"/>
              </w:rPr>
              <w:t>Механическое очищение от ракушки ж/б плит откосов деривационного канала Новотроицкой ГЭС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18.10.2026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400" w:gutter="0" w:header="336" w:top="624" w:footer="0" w:bottom="40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suppressAutoHyphens w:val="false"/>
        <w:rPr/>
      </w:pPr>
      <w:bookmarkStart w:id="41" w:name="__RefHeading___Toc50529_3850693634"/>
      <w:bookmarkStart w:id="42" w:name="_Toc54643709"/>
      <w:bookmarkStart w:id="43" w:name="_Toc51339698"/>
      <w:bookmarkStart w:id="44" w:name="_Toc54643708"/>
      <w:bookmarkStart w:id="45" w:name="_Toc46743511"/>
      <w:bookmarkEnd w:id="41"/>
      <w:r>
        <w:rPr/>
        <w:t xml:space="preserve">Требования к </w:t>
      </w:r>
      <w:bookmarkEnd w:id="45"/>
      <w:r>
        <w:rPr>
          <w:lang w:val="ru-RU"/>
        </w:rPr>
        <w:t>качеству услуг</w:t>
      </w:r>
      <w:bookmarkEnd w:id="44"/>
    </w:p>
    <w:p>
      <w:pPr>
        <w:pStyle w:val="Heading1"/>
        <w:keepLines/>
        <w:numPr>
          <w:ilvl w:val="0"/>
          <w:numId w:val="0"/>
        </w:numPr>
        <w:suppressAutoHyphens w:val="false"/>
        <w:spacing w:before="240" w:after="60"/>
        <w:ind w:left="0" w:hanging="0"/>
        <w:rPr/>
      </w:pPr>
      <w:bookmarkStart w:id="46" w:name="__RefHeading___Toc50531_3850693634"/>
      <w:bookmarkEnd w:id="4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43"/>
      <w:r>
        <w:rPr>
          <w:sz w:val="24"/>
          <w:szCs w:val="24"/>
          <w:lang w:val="ru-RU"/>
        </w:rPr>
        <w:t>качеству услуг</w:t>
      </w:r>
      <w:bookmarkEnd w:id="42"/>
      <w:r>
        <w:rPr>
          <w:sz w:val="24"/>
          <w:szCs w:val="24"/>
        </w:rPr>
        <w:t xml:space="preserve"> </w:t>
      </w:r>
    </w:p>
    <w:p>
      <w:pPr>
        <w:pStyle w:val="Normal"/>
        <w:suppressAutoHyphens w:val="false"/>
        <w:rPr/>
      </w:pPr>
      <w:r>
        <w:rPr>
          <w:b/>
          <w:bCs/>
          <w:sz w:val="24"/>
          <w:szCs w:val="24"/>
        </w:rPr>
        <w:t xml:space="preserve">Наименование услуг/этапа услуг (позиция №1 Таблицы 2): </w:t>
      </w:r>
      <w:r>
        <w:rPr>
          <w:rFonts w:eastAsia="Calibri"/>
          <w:b/>
          <w:i/>
          <w:sz w:val="24"/>
          <w:szCs w:val="24"/>
        </w:rPr>
        <w:t>«</w:t>
      </w:r>
      <w:r>
        <w:rPr>
          <w:rFonts w:eastAsia="Calibri" w:cs="Calibri"/>
          <w:b/>
          <w:i/>
          <w:sz w:val="24"/>
          <w:szCs w:val="24"/>
        </w:rPr>
        <w:t xml:space="preserve">ОКПД2 42.91.20.190 </w:t>
      </w:r>
      <w:r>
        <w:rPr>
          <w:rFonts w:eastAsia="Calibri"/>
          <w:b/>
          <w:i/>
          <w:sz w:val="24"/>
          <w:szCs w:val="24"/>
        </w:rPr>
        <w:t>Механическое очищение от ракушки ж/б плит откосов деривационного канала Новотроицкой ГЭС Филиала ПАО «РусГидро» – «Каскад Кубанских ГЭС».</w:t>
      </w:r>
    </w:p>
    <w:tbl>
      <w:tblPr>
        <w:tblStyle w:val="af0"/>
        <w:tblW w:w="1527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05"/>
        <w:gridCol w:w="1544"/>
        <w:gridCol w:w="7816"/>
        <w:gridCol w:w="1531"/>
        <w:gridCol w:w="1984"/>
        <w:gridCol w:w="1396"/>
      </w:tblGrid>
      <w:tr>
        <w:trPr/>
        <w:tc>
          <w:tcPr>
            <w:tcW w:w="10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5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8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5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3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8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3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bookmarkStart w:id="47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7"/>
          </w:p>
        </w:tc>
        <w:tc>
          <w:tcPr>
            <w:tcW w:w="154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81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3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fals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false"/>
              <w:spacing w:before="60" w:after="60"/>
              <w:ind w:left="-117" w:firstLine="142"/>
              <w:contextualSpacing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оказании услуг норм и правил нормативно-технических документов</w:t>
            </w:r>
          </w:p>
        </w:tc>
        <w:tc>
          <w:tcPr>
            <w:tcW w:w="781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в соответствии с  ППР, разработанным в соответствии с СТО РусГидро 02.01.62 – 2021 http://www.rushydro.ru/upload/iblock/514/STO-RusGidro-02.01.62-2021_TOiR.pdf.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Разработка и согласование с Заказчиком ППР должны быть завершены не менее чем за 3 рабочих дня до начала оказания услуг.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в соответствии с требованиями: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- СНиП 12-03-2001 «Безопасность труда в строительстве» ч.1,2 </w:t>
            </w:r>
            <w:hyperlink r:id="rId5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http://sniprf.ru/razdel-1/12-03-2001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строительстве, реконструкции и ремонте от 11 декабря 2020 года N 883н https://normativ.kontur.ru/document?moduleId=1&amp;documentId=379887;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“Приказа Минтруда России от 27 ноября 2020 года N 835н</w:t>
              <w:br/>
              <w:t xml:space="preserve">"Об утверждении Правил по охране труда при работе с инструментом и приспособлениями" </w:t>
            </w:r>
            <w:hyperlink r:id="rId6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https://normativ.kontur.ru/document?moduleId=1&amp;documentId=378642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Правил по охране труда при погрузочно-разгрузочных работах и размещении грузов, утвержденных Приказом Минтруда России от 28.10.2020 года N 753н https://normativ.kontur.ru/document?moduleId=1&amp;documentId=386233;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постановление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Правительства Российской Федерации от 16 сентября 2020 года N 1479 «О противопожарном режиме в Российской Федерации» https://www.garant.ru/products/ipo/prime/doc/74580206/.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before="0" w:after="120"/>
              <w:rPr/>
            </w:pPr>
            <w:bookmarkStart w:id="48" w:name="__RefHeading___Toc50533_3850693634"/>
            <w:bookmarkEnd w:id="48"/>
            <w:r>
              <w:rPr/>
              <w:t>-</w:t>
            </w:r>
          </w:p>
        </w:tc>
        <w:tc>
          <w:tcPr>
            <w:tcW w:w="139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Места подключения временных коммуникаций определяет Заказчик;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своевременно предупреждает Заказчика о необходимости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оказания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дополнительных услуг;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представляет Заказчику, по его запросу, письменный отчёт о текущем исполнении своих обязательств;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разрабатывает и согласовывает с Заказчиком график </w:t>
            </w:r>
            <w:r>
              <w:rPr>
                <w:rFonts w:eastAsia="Times New Roman" w:cs="Calibri"/>
                <w:kern w:val="0"/>
                <w:sz w:val="24"/>
                <w:szCs w:val="24"/>
                <w:lang w:val="ru-RU" w:eastAsia="ru-RU" w:bidi="ar-SA"/>
              </w:rPr>
              <w:t>оказания услуг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/>
            </w:pPr>
            <w:r>
              <w:rPr>
                <w:sz w:val="24"/>
                <w:szCs w:val="24"/>
              </w:rPr>
              <w:t>Исполнитель выполняет подготовку объекта к сдаче-приемке по окончанию оказания услуг: вывоз с территории инструмента, строительного мусора, уборка объекта.</w:t>
            </w:r>
          </w:p>
        </w:tc>
        <w:tc>
          <w:tcPr>
            <w:tcW w:w="15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9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/>
            </w:pPr>
            <w:r>
              <w:rPr>
                <w:rFonts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1544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781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 (соисполнителя) на объекты и территорию заказчика осуществляются в соответствии с Регламентом процесса «Допуск персонала подрядных организаций на объекты ПАО «РусГидро», приказ ПАО «РусГидро» от 28.04.2023 № 300 (Приложение №3), с обязательным оформлением необходимых нарядов-допусков, и Положением по пропускному и внутриобъектовому режиму Заказчика.</w:t>
            </w:r>
          </w:p>
        </w:tc>
        <w:tc>
          <w:tcPr>
            <w:tcW w:w="15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before="0" w:after="120"/>
              <w:rPr/>
            </w:pPr>
            <w:bookmarkStart w:id="49" w:name="__RefHeading___Toc50535_3850693634"/>
            <w:bookmarkEnd w:id="49"/>
            <w:r>
              <w:rPr>
                <w:sz w:val="24"/>
                <w:szCs w:val="24"/>
              </w:rPr>
              <w:t>-</w:t>
            </w:r>
          </w:p>
        </w:tc>
        <w:tc>
          <w:tcPr>
            <w:tcW w:w="139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Наличие у Исполнителя собственного или привлеченного (по трудовым либо гражданско-правовым договорам) квалифицированного персонала: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машинист экскаватора не менее 1-го чел;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машинист бульдозера не менее 1-го чел;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машинист крана не менее 1-го чел.;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водитель категории С не менее 2-х чел;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мастер строительного участка не менее 1чел;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Справка о кадровых ресурсах в произвольной форме </w:t>
            </w: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 указанием сведений  о квалификации персонала, разряде и группе по электробезопасности  с приложением копий  удостоверений на производство специальных видов работ (возможно совмещение специальностей)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false"/>
              <w:bidi w:val="0"/>
              <w:spacing w:before="60" w:after="60"/>
              <w:ind w:left="794" w:right="0" w:hanging="68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технике исполнителя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false"/>
              <w:spacing w:before="60" w:after="60"/>
              <w:ind w:left="36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Специальная техника исполнителя, привлекаемая к оказанию услуг</w:t>
            </w:r>
          </w:p>
        </w:tc>
        <w:tc>
          <w:tcPr>
            <w:tcW w:w="78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Исполнитель должен иметь в собственности или на ином законном основании следующие механизмы и специализированную технику: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 Экскаватор гусеничный с длинной стрелой (18м) HITACHI ZX330 (или эквивалент) количество: не менее 1 шт.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2. Гусеничный бульдозер HITACHI FD145 (или эквивалент): количество: не менее 1 шт.;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ind w:firstLine="209"/>
              <w:jc w:val="both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 Автомобиль КАМАЗ: -количество: не менее 1 шт.; грузоподъемность: не менее 10 тонн</w:t>
            </w:r>
          </w:p>
        </w:tc>
        <w:tc>
          <w:tcPr>
            <w:tcW w:w="1531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Справка о материально-технических ресурсах в произвольной  форме, включая следующие обязательные приложения к ней: 1.паспорт транспортного средства (ПТС)/ паспорт самоходной машины (ПСМ); 2. или копия договора аренды (в случае владения по договору аренды); 3.или копия договора лизинга (в случае владения по договору лизинга); 4.или копия иного документа, подтверждающего законное право владения (в случае владения на ином основании).</w:t>
            </w:r>
          </w:p>
        </w:tc>
        <w:tc>
          <w:tcPr>
            <w:tcW w:w="1396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1531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Результат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услуг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По результатам оказанных услуг, ракушка с откоса деривационного канала гидротехнических должна быть удалена полностью.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Объем оказываемых услуг должен соответствовать Приложению № 2, настоящих ТТ.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before="0" w:after="120"/>
              <w:rPr/>
            </w:pPr>
            <w:bookmarkStart w:id="50" w:name="__RefHeading___Toc50537_3850693634"/>
            <w:bookmarkEnd w:id="50"/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Требования к безопасности оказываемых услуг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 (охране окружающей среды, промышленной и пожарной безопасности, охране труда указанных в п 1.1.1 Общие требования к оказанию услуг)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7" w:leader="none"/>
              </w:tabs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обязан: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направлять на объекты заказчика работников, обученных правилам безопасного оказания услуг и имеющих все необходимые допуски к производству работ, а также представлять документы на русском языке, подтверждающие аттестацию работников на оказание соответствующих видов услуг.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suppressAutoHyphens w:val="false"/>
              <w:spacing w:before="0" w:after="120"/>
              <w:rPr/>
            </w:pPr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приемке оказания услуг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По завершению оказания услуг Исполнитель совместно с Заказчиком при пониженном уровне воды производит визуальный осмотр канал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а. По результатам проведенного осмотра Заказчиком и Исполнителем будет подписан акт приемки оказанных услуг. 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suppressAutoHyphens w:val="false"/>
              <w:spacing w:before="0" w:after="120"/>
              <w:rPr/>
            </w:pPr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представляет Заказчику с актами оказания услуг, акт приемки-сдачи и исполнительную документацию (журналы ведения работ);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Отчётные документы (акты) представить на бумажном носителе в 2 экземплярах, на электронном носителе в 1 экземпляре в форматах *.dwg, *.vsd, *.dос, *.хls. или по электронному документообороту.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before="0" w:after="120"/>
              <w:rPr/>
            </w:pPr>
            <w:bookmarkStart w:id="51" w:name="__RefHeading___Toc50539_3850693634"/>
            <w:bookmarkEnd w:id="51"/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4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before="0" w:after="120"/>
              <w:rPr/>
            </w:pPr>
            <w:bookmarkStart w:id="52" w:name="__RefHeading___Toc50541_3850693634"/>
            <w:bookmarkEnd w:id="52"/>
            <w:r>
              <w:rPr>
                <w:sz w:val="24"/>
                <w:szCs w:val="24"/>
              </w:rPr>
              <w:t>Гарантируемый показатель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Приведение к проектным отметкам откосов деривационного канала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before="0" w:after="120"/>
              <w:rPr/>
            </w:pPr>
            <w:bookmarkStart w:id="53" w:name="__RefHeading___Toc50543_3850693634"/>
            <w:bookmarkEnd w:id="53"/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20" w:after="0"/>
              <w:jc w:val="both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услуг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 случае повреждения имущества Заказчика в ходе оказания услуг, Исполнитель устраняет возникшие повреждения за свой счет в согласованные с Заказчиком сроки, но не позднее 15-ти календарных дней с даты подписания Сторонами Акта дефектации, подготовленного в произвольной форме;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компенсирует все потери от простоя имущества (оборудования) в ремонте по этим причинам.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suppressAutoHyphens w:val="false"/>
              <w:spacing w:before="0" w:after="120"/>
              <w:rPr/>
            </w:pPr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60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531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9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соисполнителям, привлекаемым к оказанию услуг</w:t>
            </w:r>
          </w:p>
        </w:tc>
        <w:tc>
          <w:tcPr>
            <w:tcW w:w="7816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В случае привлечения к оказанию услуг соисполнителей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оказания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ими услуг.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4" w:type="dxa"/>
            <w:tcBorders/>
          </w:tcPr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before="0" w:after="120"/>
              <w:rPr/>
            </w:pPr>
            <w:bookmarkStart w:id="54" w:name="__RefHeading___Toc50545_3850693634"/>
            <w:bookmarkEnd w:id="54"/>
            <w:r>
              <w:rPr/>
              <w:t>-</w:t>
            </w:r>
          </w:p>
        </w:tc>
        <w:tc>
          <w:tcPr>
            <w:tcW w:w="139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suppressAutoHyphens w:val="false"/>
        <w:ind w:left="357" w:hanging="357"/>
        <w:jc w:val="center"/>
        <w:rPr/>
      </w:pPr>
      <w:bookmarkStart w:id="55" w:name="__RefHeading___Toc50547_3850693634"/>
      <w:bookmarkStart w:id="56" w:name="_Toc51339699"/>
      <w:bookmarkStart w:id="57" w:name="_Toc46743519"/>
      <w:bookmarkStart w:id="58" w:name="_Toc54643710"/>
      <w:bookmarkStart w:id="59" w:name="_Toc53393312"/>
      <w:bookmarkStart w:id="60" w:name="_Toc53395937"/>
      <w:bookmarkEnd w:id="55"/>
      <w:r>
        <w:rPr>
          <w:lang w:val="ru-RU"/>
        </w:rPr>
        <w:t>Требования к документации по ценообразованию</w:t>
      </w:r>
      <w:bookmarkEnd w:id="59"/>
      <w:bookmarkEnd w:id="60"/>
      <w:r>
        <w:rPr>
          <w:lang w:val="ru-RU"/>
        </w:rPr>
        <w:t xml:space="preserve"> на этапе закупки</w:t>
      </w:r>
      <w:bookmarkEnd w:id="58"/>
    </w:p>
    <w:p>
      <w:pPr>
        <w:pStyle w:val="BodyText"/>
        <w:suppressAutoHyphens w:val="false"/>
        <w:jc w:val="both"/>
        <w:rPr/>
      </w:pPr>
      <w:bookmarkStart w:id="61" w:name="__RefHeading___Toc50549_3850693634"/>
      <w:bookmarkEnd w:id="61"/>
      <w:r>
        <w:rPr>
          <w:b w:val="false"/>
          <w:sz w:val="24"/>
          <w:szCs w:val="24"/>
          <w:lang w:val="ru-RU"/>
        </w:rPr>
        <w:t xml:space="preserve">     </w:t>
      </w:r>
      <w:r>
        <w:rPr>
          <w:b w:val="false"/>
          <w:sz w:val="24"/>
          <w:szCs w:val="24"/>
          <w:lang w:val="ru-RU"/>
        </w:rPr>
        <w:t xml:space="preserve">3.1. </w:t>
      </w:r>
      <w:r>
        <w:rPr>
          <w:b w:val="false"/>
          <w:sz w:val="24"/>
          <w:szCs w:val="24"/>
        </w:rPr>
        <w:t xml:space="preserve">В обоснование стоимости заявки Участник должен представить Коммерческое предложение. Сметная документация в состав заявки участника не включается. </w:t>
      </w:r>
    </w:p>
    <w:p>
      <w:pPr>
        <w:pStyle w:val="Heading1"/>
        <w:keepLines/>
        <w:numPr>
          <w:ilvl w:val="0"/>
          <w:numId w:val="3"/>
        </w:numPr>
        <w:suppressAutoHyphens w:val="false"/>
        <w:ind w:left="357" w:hanging="357"/>
        <w:jc w:val="center"/>
        <w:rPr/>
      </w:pPr>
      <w:bookmarkStart w:id="62" w:name="__RefHeading___Toc50551_3850693634"/>
      <w:bookmarkEnd w:id="62"/>
      <w:r>
        <w:rPr/>
        <w:t xml:space="preserve">Требования к документации по </w:t>
      </w:r>
      <w:r>
        <w:rPr>
          <w:lang w:val="ru-RU"/>
        </w:rPr>
        <w:t>ценообразованию</w:t>
      </w:r>
      <w:r>
        <w:rPr/>
        <w:t xml:space="preserve"> на этапе заключения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Cs w:val="24"/>
        </w:rPr>
        <w:t>(исполнения) договора</w:t>
      </w:r>
    </w:p>
    <w:p>
      <w:pPr>
        <w:pStyle w:val="BodyText"/>
        <w:suppressAutoHyphens w:val="false"/>
        <w:jc w:val="both"/>
        <w:rPr/>
      </w:pPr>
      <w:bookmarkStart w:id="63" w:name="__RefHeading___Toc50553_3850693634"/>
      <w:bookmarkStart w:id="64" w:name="_Toc126226568"/>
      <w:bookmarkStart w:id="65" w:name="_Toc126226171"/>
      <w:bookmarkEnd w:id="63"/>
      <w:bookmarkEnd w:id="64"/>
      <w:bookmarkEnd w:id="65"/>
      <w:r>
        <w:rPr>
          <w:b w:val="false"/>
          <w:sz w:val="24"/>
          <w:szCs w:val="24"/>
          <w:lang w:val="ru-RU"/>
        </w:rPr>
        <w:t xml:space="preserve">4.1. </w:t>
      </w:r>
      <w:r>
        <w:rPr>
          <w:b w:val="false"/>
          <w:sz w:val="24"/>
          <w:szCs w:val="24"/>
        </w:rPr>
        <w:t xml:space="preserve">На этапе заключения договора предоставить </w:t>
      </w:r>
      <w:r>
        <w:rPr>
          <w:b w:val="false"/>
          <w:sz w:val="24"/>
          <w:szCs w:val="24"/>
          <w:lang w:val="ru-RU"/>
        </w:rPr>
        <w:t>сводный сметный расчет на предельную стоимость</w:t>
      </w:r>
      <w:r>
        <w:rPr>
          <w:b w:val="false"/>
          <w:sz w:val="24"/>
          <w:szCs w:val="24"/>
        </w:rPr>
        <w:t>.</w:t>
      </w:r>
    </w:p>
    <w:p>
      <w:pPr>
        <w:pStyle w:val="BodyText"/>
        <w:suppressAutoHyphens w:val="false"/>
        <w:jc w:val="both"/>
        <w:rPr/>
      </w:pPr>
      <w:bookmarkStart w:id="66" w:name="__RefHeading___Toc50555_3850693634"/>
      <w:bookmarkEnd w:id="66"/>
      <w:r>
        <w:rPr>
          <w:b w:val="false"/>
          <w:sz w:val="24"/>
          <w:szCs w:val="24"/>
          <w:lang w:val="ru-RU"/>
        </w:rPr>
        <w:t xml:space="preserve">4.2. </w:t>
      </w:r>
      <w:r>
        <w:rPr>
          <w:b w:val="false"/>
          <w:sz w:val="24"/>
          <w:szCs w:val="24"/>
        </w:rPr>
        <w:t xml:space="preserve">Разработка сметной документации осуществляется при заключении </w:t>
      </w:r>
      <w:r>
        <w:rPr>
          <w:b w:val="false"/>
          <w:sz w:val="24"/>
          <w:szCs w:val="24"/>
          <w:lang w:val="ru-RU"/>
        </w:rPr>
        <w:t>дополнительного соглашения</w:t>
      </w:r>
      <w:r>
        <w:rPr>
          <w:b w:val="false"/>
          <w:sz w:val="24"/>
          <w:szCs w:val="24"/>
        </w:rPr>
        <w:t xml:space="preserve"> в соответствии с договорными условиями и приложением №1 к настоящим Техническим требованиям «Требования к оформлению и составлению смет или расчетов на оказание услуг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по программе эксплуатации».</w:t>
      </w:r>
      <w:bookmarkEnd w:id="56"/>
      <w:bookmarkEnd w:id="57"/>
    </w:p>
    <w:p>
      <w:pPr>
        <w:pStyle w:val="Heading1"/>
        <w:keepLines/>
        <w:numPr>
          <w:ilvl w:val="0"/>
          <w:numId w:val="3"/>
        </w:numPr>
        <w:suppressAutoHyphens w:val="false"/>
        <w:ind w:left="357" w:hanging="357"/>
        <w:jc w:val="center"/>
        <w:rPr/>
      </w:pPr>
      <w:bookmarkStart w:id="67" w:name="__RefHeading___Toc50557_3850693634"/>
      <w:bookmarkEnd w:id="67"/>
      <w:r>
        <w:rPr>
          <w:iCs/>
          <w:lang w:val="ru-RU"/>
        </w:rPr>
        <w:t>Приложения</w:t>
      </w:r>
    </w:p>
    <w:p>
      <w:pPr>
        <w:pStyle w:val="BodyText"/>
        <w:suppressAutoHyphens w:val="false"/>
        <w:spacing w:lineRule="auto" w:line="240" w:before="0" w:after="0"/>
        <w:jc w:val="both"/>
        <w:rPr/>
      </w:pPr>
      <w:bookmarkStart w:id="68" w:name="__RefHeading___Toc50559_3850693634"/>
      <w:bookmarkEnd w:id="68"/>
      <w:r>
        <w:rPr>
          <w:b w:val="false"/>
          <w:sz w:val="24"/>
          <w:szCs w:val="24"/>
        </w:rPr>
        <w:t>Приложение №1: Требования к оформлению и составлению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смет или расчетов на оказание услуг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</w:rPr>
        <w:t>по программе эксплуатации</w:t>
      </w:r>
      <w:r>
        <w:rPr>
          <w:b w:val="false"/>
          <w:sz w:val="24"/>
          <w:szCs w:val="24"/>
          <w:lang w:val="ru-RU"/>
        </w:rPr>
        <w:t>;</w:t>
      </w:r>
    </w:p>
    <w:p>
      <w:pPr>
        <w:pStyle w:val="BodyText"/>
        <w:suppressAutoHyphens w:val="false"/>
        <w:spacing w:lineRule="auto" w:line="240" w:before="0" w:after="0"/>
        <w:jc w:val="both"/>
        <w:rPr/>
      </w:pPr>
      <w:bookmarkStart w:id="69" w:name="__RefHeading___Toc50561_3850693634"/>
      <w:bookmarkEnd w:id="69"/>
      <w:r>
        <w:rPr>
          <w:b w:val="false"/>
          <w:sz w:val="24"/>
          <w:szCs w:val="24"/>
        </w:rPr>
        <w:t>Приложение №2: Ведомость планируемых услуг</w:t>
      </w:r>
      <w:r>
        <w:rPr>
          <w:b w:val="false"/>
          <w:sz w:val="24"/>
          <w:szCs w:val="24"/>
          <w:lang w:val="ru-RU"/>
        </w:rPr>
        <w:t>;</w:t>
      </w:r>
    </w:p>
    <w:p>
      <w:pPr>
        <w:pStyle w:val="BodyText"/>
        <w:suppressAutoHyphens w:val="false"/>
        <w:spacing w:lineRule="auto" w:line="240" w:before="0" w:after="0"/>
        <w:jc w:val="both"/>
        <w:rPr/>
      </w:pPr>
      <w:bookmarkStart w:id="70" w:name="__RefHeading___Toc50563_3850693634"/>
      <w:bookmarkEnd w:id="70"/>
      <w:r>
        <w:rPr>
          <w:b w:val="false"/>
          <w:sz w:val="24"/>
          <w:szCs w:val="24"/>
        </w:rPr>
        <w:t>Приложение №3: Регламент Допуск персонала подрядных организаций на объекты ПАО «РусГидро», приказ ПАО «РусГидро» от 28.04.2023 № 300</w:t>
      </w:r>
      <w:r>
        <w:rPr>
          <w:b w:val="false"/>
          <w:sz w:val="24"/>
          <w:szCs w:val="24"/>
          <w:lang w:val="ru-RU"/>
        </w:rPr>
        <w:t>;</w:t>
      </w:r>
      <w:r>
        <w:rPr>
          <w:b w:val="false"/>
          <w:sz w:val="24"/>
          <w:szCs w:val="24"/>
        </w:rPr>
        <w:t xml:space="preserve"> </w:t>
      </w:r>
    </w:p>
    <w:p>
      <w:pPr>
        <w:pStyle w:val="BodyText"/>
        <w:suppressAutoHyphens w:val="false"/>
        <w:spacing w:lineRule="auto" w:line="240" w:before="0" w:after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uppressAutoHyphens w:val="false"/>
        <w:spacing w:before="60" w:after="0"/>
        <w:ind w:left="142" w:hanging="0"/>
        <w:contextualSpacing/>
        <w:jc w:val="both"/>
        <w:rPr>
          <w:b/>
        </w:rPr>
      </w:pPr>
      <w:r>
        <w:rPr/>
      </w:r>
    </w:p>
    <w:sectPr>
      <w:headerReference w:type="default" r:id="rId9"/>
      <w:headerReference w:type="first" r:id="rId10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567"/>
      </w:pPr>
      <w:rPr/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0" w:firstLine="567"/>
      </w:pPr>
      <w:rPr/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567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567"/>
      </w:pPr>
      <w:rPr/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1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LineNumber">
    <w:name w:val="Line Number"/>
    <w:rPr/>
  </w:style>
  <w:style w:type="character" w:styleId="FootnoteReference1">
    <w:name w:val="Footnote Reference1"/>
    <w:qFormat/>
    <w:rPr>
      <w:vertAlign w:val="superscript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9a037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ListNumber">
    <w:name w:val="List Number"/>
    <w:basedOn w:val="Normal"/>
    <w:qFormat/>
    <w:rsid w:val="00c94671"/>
    <w:pPr>
      <w:numPr>
        <w:ilvl w:val="0"/>
        <w:numId w:val="10"/>
      </w:numPr>
      <w:spacing w:lineRule="auto" w:line="288"/>
      <w:jc w:val="both"/>
    </w:pPr>
    <w:rPr>
      <w:szCs w:val="24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6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sniprf.ru/razdel-1/12-03-2001" TargetMode="External"/><Relationship Id="rId6" Type="http://schemas.openxmlformats.org/officeDocument/2006/relationships/hyperlink" Target="https://normativ.kontur.ru/document?moduleId=1&amp;documentId=378642" TargetMode="Externa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0527C-D27F-43D8-BC83-C6211C6C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Application>AlterOffice/3.4.0.9$Linux_X86_64 LibreOffice_project/b8daf9e823b1a5463a2f48435ddc2e8696e7d4fc</Application>
  <AppVersion>15.0000</AppVersion>
  <Pages>11</Pages>
  <Words>1750</Words>
  <Characters>11907</Characters>
  <CharactersWithSpaces>13394</CharactersWithSpaces>
  <Paragraphs>280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2023-07-07T07:20:00Z</dcterms:created>
  <dc:creator>Быстров Олег Геннадьевич</dc:creator>
  <dc:description/>
  <dc:language>ru-RU</dc:language>
  <cp:lastModifiedBy>ushanbv@corp.gidroogk.com</cp:lastModifiedBy>
  <cp:lastPrinted>2006-07-26T14:04:00Z</cp:lastPrinted>
  <dcterms:modified xsi:type="dcterms:W3CDTF">2026-08-24T09:38:06Z</dcterms:modified>
  <cp:revision>48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