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Cs w:val="26"/>
        </w:rPr>
      </w:pPr>
      <w:r>
        <w:rPr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 xml:space="preserve">на выполнение работ </w:t>
      </w:r>
      <w:r>
        <w:rPr>
          <w:rFonts w:eastAsia="Calibri"/>
          <w:b/>
          <w:i w:val="false"/>
          <w:iCs w:val="false"/>
          <w:szCs w:val="26"/>
        </w:rPr>
        <w:t>монтажу</w:t>
      </w:r>
      <w:r>
        <w:rPr>
          <w:rFonts w:eastAsia="Calibri" w:cs="Times New Roman"/>
          <w:b/>
          <w:i w:val="false"/>
          <w:iCs w:val="false"/>
          <w:color w:val="auto"/>
          <w:kern w:val="0"/>
          <w:sz w:val="28"/>
          <w:szCs w:val="26"/>
          <w:lang w:val="ru-RU" w:eastAsia="ru-RU" w:bidi="ar-SA"/>
        </w:rPr>
        <w:t xml:space="preserve"> </w:t>
      </w:r>
      <w:r>
        <w:rPr>
          <w:rStyle w:val="Style8"/>
          <w:rFonts w:eastAsia="Calibri" w:cs="Times New Roman"/>
          <w:b/>
          <w:i w:val="false"/>
          <w:iCs w:val="false"/>
          <w:color w:val="000000"/>
          <w:kern w:val="0"/>
          <w:sz w:val="28"/>
          <w:szCs w:val="26"/>
          <w:shd w:fill="auto" w:val="clear"/>
          <w:lang w:val="ru-RU" w:eastAsia="ru-RU" w:bidi="ar-SA"/>
        </w:rPr>
        <w:t>охранной и тревожной сигнализации комнаты хранения оружия  СП «Партизанская ГРЭС» (в рамках выполнения проекта  «Расширение СП «Партизанская ГРЭС»), г. Партизанск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6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8"/>
          <w:szCs w:val="26"/>
          <w:lang w:val="ru-RU" w:eastAsia="ru-RU" w:bidi="ar-SA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5"/>
        <w:rPr>
          <w:caps/>
        </w:rPr>
      </w:pPr>
      <w:bookmarkStart w:id="0" w:name="_Toc51339692"/>
      <w:bookmarkStart w:id="1" w:name="_Toc54646395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26" w:hanging="425"/>
        <w:rPr/>
      </w:pPr>
      <w:bookmarkStart w:id="2" w:name="_Toc46743505"/>
      <w:bookmarkStart w:id="3" w:name="_Toc54646396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Государственная районная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ИТСЗ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Инженерно-технические средства защиты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26" w:hanging="425"/>
        <w:rPr/>
      </w:pPr>
      <w:bookmarkStart w:id="4" w:name="_Toc46743506"/>
      <w:bookmarkStart w:id="5" w:name="_Toc54646397"/>
      <w:r>
        <w:rPr/>
        <w:t>Наименование закупаемой продукции</w:t>
      </w:r>
      <w:bookmarkEnd w:id="4"/>
      <w:bookmarkEnd w:id="5"/>
    </w:p>
    <w:p>
      <w:pPr>
        <w:pStyle w:val="Normal"/>
        <w:keepNext w:val="true"/>
        <w:keepLines/>
        <w:jc w:val="center"/>
        <w:rPr/>
      </w:pPr>
      <w:r>
        <w:rPr>
          <w:rStyle w:val="Style8"/>
          <w:rFonts w:eastAsia="Calibri" w:cs="Times New Roman" w:ascii="Times New Roman;serif" w:hAnsi="Times New Roman;serif"/>
          <w:b w:val="false"/>
          <w:bCs/>
          <w:i w:val="false"/>
          <w:caps w:val="false"/>
          <w:smallCaps w:val="false"/>
          <w:color w:val="2C2D2E"/>
          <w:spacing w:val="0"/>
          <w:kern w:val="0"/>
          <w:sz w:val="24"/>
          <w:szCs w:val="24"/>
          <w:shd w:fill="auto" w:val="clear"/>
          <w:lang w:val="ru-RU" w:eastAsia="en-US" w:bidi="ar-SA"/>
        </w:rPr>
        <w:t>Монтаж охранной и тревожной сигнализации комнаты хранения оружия  СП «Партизанская ГРЭС» (в рамках выполнения проекта  «Расширение СП «Партизанская ГРЭС»), г. Партизанск</w:t>
      </w:r>
      <w:bookmarkStart w:id="6" w:name="_Toc54646398"/>
      <w:bookmarkStart w:id="7" w:name="_Toc46743507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</w:t>
      </w:r>
      <w:bookmarkEnd w:id="7"/>
      <w:r>
        <w:rPr>
          <w:sz w:val="26"/>
          <w:szCs w:val="26"/>
        </w:rPr>
        <w:t xml:space="preserve">выполнения работ: </w:t>
      </w:r>
      <w:bookmarkEnd w:id="6"/>
    </w:p>
    <w:p>
      <w:pPr>
        <w:pStyle w:val="BodyText21"/>
        <w:rPr/>
      </w:pPr>
      <w:r>
        <w:rPr>
          <w:rStyle w:val="Style8"/>
          <w:rFonts w:eastAsia="Calibri" w:cs="Times New Roman" w:ascii="Times New Roman;serif" w:hAnsi="Times New Roman;serif"/>
          <w:b w:val="false"/>
          <w:bCs/>
          <w:i w:val="false"/>
          <w:caps w:val="false"/>
          <w:smallCaps w:val="false"/>
          <w:color w:val="2C2D2E"/>
          <w:spacing w:val="0"/>
          <w:kern w:val="0"/>
          <w:sz w:val="24"/>
          <w:szCs w:val="24"/>
          <w:shd w:fill="auto" w:val="clear"/>
          <w:lang w:val="ru-RU" w:eastAsia="en-US" w:bidi="ar-SA"/>
        </w:rPr>
        <w:t>Исполнение доходного договора:</w:t>
      </w:r>
    </w:p>
    <w:p>
      <w:pPr>
        <w:pStyle w:val="BodyText21"/>
        <w:rPr/>
      </w:pPr>
      <w:r>
        <w:rPr>
          <w:rStyle w:val="Style8"/>
          <w:rFonts w:eastAsia="Calibri" w:cs="Times New Roman" w:ascii="Times New Roman;serif" w:hAnsi="Times New Roman;serif"/>
          <w:b w:val="false"/>
          <w:bCs/>
          <w:i w:val="false"/>
          <w:caps w:val="false"/>
          <w:smallCaps w:val="false"/>
          <w:color w:val="2C2D2E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№ </w:t>
      </w:r>
      <w:r>
        <w:rPr>
          <w:rStyle w:val="Style8"/>
          <w:rFonts w:eastAsia="Calibri" w:cs="Times New Roman" w:ascii="Times New Roman;serif" w:hAnsi="Times New Roman;serif"/>
          <w:b w:val="false"/>
          <w:bCs/>
          <w:i w:val="false"/>
          <w:caps w:val="false"/>
          <w:smallCaps w:val="false"/>
          <w:color w:val="2C2D2E"/>
          <w:spacing w:val="0"/>
          <w:kern w:val="0"/>
          <w:sz w:val="24"/>
          <w:szCs w:val="24"/>
          <w:shd w:fill="auto" w:val="clear"/>
          <w:lang w:val="ru-RU" w:eastAsia="en-US" w:bidi="ar-SA"/>
        </w:rPr>
        <w:t>1520-51-2023 от 28.04.2023 работы по строительству временных и проектных инженерно-технических средств охраны (ИТСО) для реализации проекта «Расширение Партизанской ГРЭС», заключенный между АО «Гидроремонт-ВКК» и АО УК «ГидроОГК».</w:t>
      </w:r>
    </w:p>
    <w:p>
      <w:pPr>
        <w:pStyle w:val="Heading4"/>
        <w:numPr>
          <w:ilvl w:val="1"/>
          <w:numId w:val="3"/>
        </w:numPr>
        <w:ind w:left="426" w:hanging="425"/>
        <w:rPr>
          <w:rStyle w:val="Style8"/>
        </w:rPr>
      </w:pPr>
      <w:bookmarkStart w:id="8" w:name="_Toc54646399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10" w:name="_Toc54646400"/>
      <w:r>
        <w:rPr>
          <w:sz w:val="26"/>
          <w:szCs w:val="26"/>
        </w:rPr>
        <w:t>Таблица 1. Перечень объектов заказчика</w:t>
      </w:r>
      <w:bookmarkEnd w:id="10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04"/>
        <w:gridCol w:w="2439"/>
        <w:gridCol w:w="1977"/>
        <w:gridCol w:w="1963"/>
        <w:gridCol w:w="2835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Партизанская ГРЭС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край, г. Партизанск, ул. Свердлова 2; периметр объекта, площадка «Партизанской ГРЭС»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Новое основное средство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ind w:left="426" w:hanging="425"/>
        <w:rPr/>
      </w:pPr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Подрядчиком</w:t>
      </w:r>
      <w:r>
        <w:rPr/>
        <w:t xml:space="preserve"> на этапе исполнения договора)</w:t>
      </w:r>
      <w:r>
        <w:rPr>
          <w:lang w:val="ru-RU"/>
        </w:rPr>
        <w:t xml:space="preserve"> </w:t>
      </w:r>
    </w:p>
    <w:p>
      <w:pPr>
        <w:pStyle w:val="Heading3"/>
        <w:numPr>
          <w:ilvl w:val="2"/>
          <w:numId w:val="3"/>
        </w:numPr>
        <w:ind w:left="426" w:hanging="425"/>
        <w:rPr>
          <w:b/>
        </w:rPr>
      </w:pPr>
      <w:bookmarkStart w:id="12" w:name="_Hlk48209761"/>
      <w:bookmarkEnd w:id="12"/>
      <w:r>
        <w:rPr/>
        <w:t>Субподрядчик обязан соблюдать технологическую, производственную и трудовую дисциплину.</w:t>
      </w:r>
    </w:p>
    <w:p>
      <w:pPr>
        <w:pStyle w:val="Heading3"/>
        <w:numPr>
          <w:ilvl w:val="2"/>
          <w:numId w:val="3"/>
        </w:numPr>
        <w:ind w:left="426" w:hanging="425"/>
        <w:rPr>
          <w:b/>
        </w:rPr>
      </w:pPr>
      <w:r>
        <w:rPr/>
        <w:t xml:space="preserve">Должна производиться своевременная (ежедневная) уборка рабочих мест.  </w:t>
      </w:r>
    </w:p>
    <w:p>
      <w:pPr>
        <w:pStyle w:val="Heading1"/>
        <w:numPr>
          <w:ilvl w:val="0"/>
          <w:numId w:val="3"/>
        </w:numPr>
        <w:ind w:left="0" w:firstLine="709"/>
        <w:jc w:val="left"/>
        <w:rPr>
          <w:caps/>
          <w:sz w:val="26"/>
          <w:szCs w:val="26"/>
          <w:lang w:val="ru-RU"/>
        </w:rPr>
      </w:pPr>
      <w:bookmarkStart w:id="13" w:name="_Toc54646403"/>
      <w:bookmarkStart w:id="14" w:name="_Toc51339693"/>
      <w:bookmarkStart w:id="15" w:name="_Hlk48209761_Копия_1"/>
      <w:bookmarkStart w:id="16" w:name="_Toc50125126"/>
      <w:bookmarkEnd w:id="15"/>
      <w:bookmarkEnd w:id="16"/>
      <w:r>
        <w:rPr>
          <w:sz w:val="26"/>
          <w:szCs w:val="26"/>
        </w:rPr>
        <w:t>Требования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ind w:left="426" w:hanging="425"/>
        <w:rPr/>
      </w:pPr>
      <w:bookmarkStart w:id="17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7"/>
    </w:p>
    <w:p>
      <w:pPr>
        <w:pStyle w:val="Heading3"/>
        <w:numPr>
          <w:ilvl w:val="2"/>
          <w:numId w:val="3"/>
        </w:numPr>
        <w:ind w:left="426" w:hanging="425"/>
        <w:rPr/>
      </w:pPr>
      <w:bookmarkStart w:id="18" w:name="_Toc54646405"/>
      <w:r>
        <w:rPr/>
        <w:t>Требования к видам и объемам работ</w:t>
      </w:r>
      <w:bookmarkEnd w:id="18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9" w:name="_Toc54646406"/>
      <w:bookmarkStart w:id="20" w:name="_Toc51339695"/>
      <w:r>
        <w:rPr>
          <w:sz w:val="24"/>
          <w:szCs w:val="24"/>
        </w:rPr>
        <w:t xml:space="preserve">Таблица 2. Перечень </w:t>
      </w:r>
      <w:bookmarkEnd w:id="20"/>
      <w:r>
        <w:rPr>
          <w:sz w:val="24"/>
          <w:szCs w:val="24"/>
        </w:rPr>
        <w:t>и объем выполняемых работ</w:t>
      </w:r>
      <w:bookmarkEnd w:id="19"/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63"/>
        <w:gridCol w:w="4848"/>
        <w:gridCol w:w="1985"/>
        <w:gridCol w:w="1701"/>
      </w:tblGrid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 w:ascii="Times New Roman;serif" w:hAnsi="Times New Roman;serif"/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Монтаж охранной и тревожной сигнализации комнаты хранения оружия  СП «Партизанская ГРЭС» (в рамках выполнения проекта  «Расширение СП «Партизанская ГРЭС»), г. Партизанск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Комплекс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5"/>
        <w:rPr/>
      </w:pPr>
      <w:bookmarkStart w:id="21" w:name="_Toc54646407"/>
      <w:bookmarkStart w:id="22" w:name="_Toc51339696"/>
      <w:r>
        <w:rPr/>
        <w:t xml:space="preserve">Требования </w:t>
      </w:r>
      <w:bookmarkEnd w:id="22"/>
      <w:r>
        <w:rPr/>
        <w:t>к срокам выполнения работ</w:t>
      </w:r>
      <w:bookmarkEnd w:id="21"/>
    </w:p>
    <w:p>
      <w:pPr>
        <w:pStyle w:val="Heading1"/>
        <w:numPr>
          <w:ilvl w:val="0"/>
          <w:numId w:val="0"/>
        </w:numPr>
        <w:ind w:left="0" w:hanging="0"/>
        <w:rPr>
          <w:b/>
          <w:sz w:val="26"/>
          <w:szCs w:val="26"/>
        </w:rPr>
      </w:pPr>
      <w:bookmarkStart w:id="23" w:name="_Toc54646408"/>
      <w:bookmarkStart w:id="24" w:name="_Toc51339697"/>
      <w:bookmarkStart w:id="25" w:name="_Toc50125127"/>
      <w:bookmarkStart w:id="26" w:name="_Toc50125126_Копия_1"/>
      <w:bookmarkEnd w:id="26"/>
      <w:r>
        <w:rPr>
          <w:sz w:val="26"/>
          <w:szCs w:val="26"/>
        </w:rPr>
        <w:t xml:space="preserve">Работы выполняются </w:t>
      </w:r>
      <w:r>
        <w:rPr>
          <w:sz w:val="26"/>
          <w:szCs w:val="26"/>
          <w:lang w:val="ru-RU"/>
        </w:rPr>
        <w:t>в 1 этап,</w:t>
      </w:r>
      <w:r>
        <w:rPr>
          <w:sz w:val="26"/>
          <w:szCs w:val="26"/>
        </w:rPr>
        <w:t xml:space="preserve"> согласно Таблице 3 настоящих ТТ.</w:t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27" w:name="_Hlk50465284"/>
      <w:r>
        <w:rPr>
          <w:sz w:val="26"/>
          <w:szCs w:val="26"/>
        </w:rPr>
        <w:t xml:space="preserve">Требования по </w:t>
      </w:r>
      <w:r>
        <w:rPr>
          <w:sz w:val="26"/>
          <w:szCs w:val="26"/>
          <w:lang w:val="ru-RU"/>
        </w:rPr>
        <w:t xml:space="preserve">объемам и </w:t>
      </w:r>
      <w:r>
        <w:rPr>
          <w:sz w:val="26"/>
          <w:szCs w:val="26"/>
        </w:rPr>
        <w:t xml:space="preserve">срокам </w:t>
      </w:r>
      <w:bookmarkEnd w:id="24"/>
      <w:bookmarkEnd w:id="25"/>
      <w:bookmarkEnd w:id="27"/>
      <w:r>
        <w:rPr>
          <w:sz w:val="26"/>
          <w:szCs w:val="26"/>
          <w:lang w:val="ru-RU"/>
        </w:rPr>
        <w:t>выполнения работ</w:t>
      </w:r>
      <w:bookmarkEnd w:id="23"/>
    </w:p>
    <w:tbl>
      <w:tblPr>
        <w:tblpPr w:bottomFromText="0" w:horzAnchor="margin" w:leftFromText="180" w:rightFromText="180" w:tblpX="-151" w:tblpY="310" w:topFromText="0" w:vertAnchor="text"/>
        <w:tblW w:w="100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6"/>
        <w:gridCol w:w="4110"/>
        <w:gridCol w:w="2551"/>
        <w:gridCol w:w="2552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этапа работ*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этапа работ*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ind w:left="176" w:right="315" w:hanging="0"/>
              <w:rPr/>
            </w:pPr>
            <w:r>
              <w:rPr/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 w:ascii="Times New Roman;serif" w:hAnsi="Times New Roman;serif"/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Монтаж охранной и тревожной сигнализации комнаты хранения оружия  СП «Партизанская ГРЭС» (в рамках выполнения проекта  «Расширение СП «Партизанская ГРЭС»), г. Партизанск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 г.</w:t>
            </w:r>
          </w:p>
        </w:tc>
      </w:tr>
    </w:tbl>
    <w:p>
      <w:pPr>
        <w:pStyle w:val="ListParagraph"/>
        <w:widowControl w:val="false"/>
        <w:tabs>
          <w:tab w:val="clear" w:pos="709"/>
          <w:tab w:val="left" w:pos="0" w:leader="none"/>
        </w:tabs>
        <w:spacing w:before="120" w:after="120"/>
        <w:ind w:left="0" w:hanging="0"/>
        <w:contextualSpacing/>
        <w:jc w:val="both"/>
        <w:rPr/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ListParagraph"/>
        <w:widowControl w:val="false"/>
        <w:tabs>
          <w:tab w:val="clear" w:pos="709"/>
          <w:tab w:val="left" w:pos="0" w:leader="none"/>
        </w:tabs>
        <w:spacing w:before="120" w:after="120"/>
        <w:ind w:left="0" w:hanging="0"/>
        <w:contextualSpacing/>
        <w:jc w:val="both"/>
        <w:rPr>
          <w:rStyle w:val="Style8"/>
          <w:bCs/>
          <w:sz w:val="22"/>
        </w:rPr>
      </w:pPr>
      <w:bookmarkStart w:id="28" w:name="_Toc46743510"/>
      <w:r>
        <w:rPr/>
        <w:t xml:space="preserve">*Подрядчик по согласованию с Субподрядчиком может изменить сроки выполнения отдельных видов работ и их очередность без изменения конечного срока выполнения Работ. По письменному согласованию Сторон допускается досрочное выполнение </w:t>
      </w:r>
      <w:bookmarkEnd w:id="28"/>
      <w:r>
        <w:rPr/>
        <w:t>Работ.</w:t>
      </w:r>
    </w:p>
    <w:p>
      <w:pPr>
        <w:pStyle w:val="Heading4"/>
        <w:numPr>
          <w:ilvl w:val="1"/>
          <w:numId w:val="3"/>
        </w:numPr>
        <w:ind w:left="426" w:hanging="425"/>
        <w:rPr/>
      </w:pPr>
      <w:bookmarkStart w:id="29" w:name="_Toc54646410"/>
      <w:bookmarkStart w:id="30" w:name="_Toc51339698"/>
      <w:bookmarkStart w:id="31" w:name="_Toc50125131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bookmarkEnd w:id="31"/>
      <w:r>
        <w:rPr>
          <w:sz w:val="24"/>
          <w:szCs w:val="24"/>
          <w:lang w:val="ru-RU"/>
        </w:rPr>
        <w:t>качеству работ</w:t>
      </w:r>
      <w:bookmarkEnd w:id="29"/>
      <w:r>
        <w:rPr>
          <w:sz w:val="24"/>
          <w:szCs w:val="24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работ/этапа работ (позиция №1 Таблицы 2):</w:t>
      </w:r>
      <w:r>
        <w:rPr/>
        <w:t xml:space="preserve"> м</w:t>
      </w:r>
      <w:r>
        <w:rPr>
          <w:rStyle w:val="Style8"/>
          <w:rFonts w:eastAsia="Calibri" w:cs="Times New Roman" w:ascii="Times New Roman;serif" w:hAnsi="Times New Roman;serif"/>
          <w:b w:val="false"/>
          <w:bCs/>
          <w:i w:val="false"/>
          <w:caps w:val="false"/>
          <w:smallCaps w:val="false"/>
          <w:color w:val="2C2D2E"/>
          <w:spacing w:val="0"/>
          <w:kern w:val="0"/>
          <w:sz w:val="24"/>
          <w:szCs w:val="24"/>
          <w:shd w:fill="auto" w:val="clear"/>
          <w:lang w:val="ru-RU" w:eastAsia="en-US" w:bidi="ar-SA"/>
        </w:rPr>
        <w:t>онтаж охранной и тревожной сигнализации комнаты хранения оружия  СП «Партизанская ГРЭС» (в рамках выполнения проекта  «Расширение СП «Партизанская ГРЭС»), г. Партизанск</w:t>
      </w:r>
    </w:p>
    <w:tbl>
      <w:tblPr>
        <w:tblStyle w:val="af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72"/>
        <w:gridCol w:w="2518"/>
        <w:gridCol w:w="11689"/>
      </w:tblGrid>
      <w:tr>
        <w:trPr/>
        <w:tc>
          <w:tcPr>
            <w:tcW w:w="10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68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Работы выполняются в соответствии со следующими документами, но не ограничиваясь ими: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Правила по охране труда при эксплуатации электроустановок, утвержденные приказом Минтруда и соц. Защиты РФ от 15.12.2020 г. №903н;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Правила по охране труда при работе на высоте, утвержденные Приказом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Минтруда и соц. Защиты РФ от 16.11.2020 г. №782н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69" w:hanging="3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Правила технической эксплуатации электрических станций и сетей Российской Федерации, утвержденные Приказом Минэнерго России от 4 октября 2022 г. N 1070;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Приказ Минтруда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 соц. Защиты РФ от 28.10.2020 г. №753н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«Об утверждении Правил по охране труда при погрузочно-разгрузочных работах и размещении грузов»;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Правила безопасности при работе с инструментом и приспособлениями, утвержденные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приказом Минтруда и соц. Защиты РФ от 27.11.2020 г. №835н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“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Правила противопожарного режима в Российской Федерации” утверждены постановлением Правительства РФ от 16.09.2020 №1479 (с изм. от 21.05.2021)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Положение о Технической политике ПАО «РусГидро»;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рабочие чертежи на устройство ограждения (ИТСЗ) будет предоставлена субподрядчику в рамках выполнения работ по договору;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Федеральный закон № 89-ФЗ от 24.06.1998 «Об отходах производства и потребления»;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Федеральный закон N 7-ФЗ от 10.01.2002 "Об охране окружающей среды";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Порядок проведения паспортизации отходов I - IV классов опасности, утвержденный приказом Минприроды России от 08.12.2020 г. №1026;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Заводскими инструкциями и руководством по использованию применяемых материалов, оборудования.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 093-2024 « Обследование объекто, охраняемых или принимаемых под охрану подразделениями вневедомственной охраны войск национальной гвардии Российской Федерации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 069-2017 «Технические средства обнаружения проникновения и угроз различных видов. Особенности выбора, эксплуатации и применения в зависимости от степени важности и опасности объектов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 102-2024 «Инженерно-техническая укрепленность и оснащение техническими средствами охраны объектов, квартир и МПХИГ, принимаемых под централизованную охрану подразделениями вневедомственной охраны войск национальной гвардии Российской Федерации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ПУЭ «Правила устройства электроустановок издание 6,7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Субподрядчика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1689" w:type="dxa"/>
            <w:tcBorders/>
          </w:tcPr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 xml:space="preserve">Допуск персонала Субподрядчика для выполнения работ осуществляется по разработанному и согласованному с Заказчиком и </w:t>
            </w:r>
            <w:r>
              <w:rPr>
                <w:rFonts w:cs="Times New Roman"/>
                <w:kern w:val="0"/>
                <w:lang w:val="ru-RU" w:bidi="ar-SA"/>
              </w:rPr>
              <w:t>П</w:t>
            </w:r>
            <w:r>
              <w:rPr>
                <w:rFonts w:cs="Times New Roman"/>
                <w:kern w:val="0"/>
                <w:lang w:bidi="ar-SA"/>
              </w:rPr>
              <w:t>одрядчиком проекту производств работ и в соответствии с « Регламент</w:t>
            </w:r>
            <w:r>
              <w:rPr>
                <w:rFonts w:cs="Times New Roman"/>
                <w:kern w:val="0"/>
                <w:lang w:val="ru-RU" w:bidi="ar-SA"/>
              </w:rPr>
              <w:t>ом</w:t>
            </w:r>
            <w:r>
              <w:rPr>
                <w:rFonts w:cs="Times New Roman"/>
                <w:kern w:val="0"/>
                <w:lang w:bidi="ar-SA"/>
              </w:rPr>
              <w:t xml:space="preserve"> процесса "Допуск персонала подрядных организаций к выполнению работ на объектах ПАО "РусГидро». (Приложение №</w:t>
            </w:r>
            <w:r>
              <w:rPr>
                <w:rFonts w:cs="Times New Roman"/>
                <w:kern w:val="0"/>
                <w:lang w:val="ru-RU" w:bidi="ar-SA"/>
              </w:rPr>
              <w:t>2</w:t>
            </w:r>
            <w:r>
              <w:rPr>
                <w:rFonts w:cs="Times New Roman"/>
                <w:kern w:val="0"/>
                <w:lang w:bidi="ar-SA"/>
              </w:rPr>
              <w:t xml:space="preserve"> к настоящим ТТ)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разработке и согласованию проекта производства работ</w:t>
            </w:r>
          </w:p>
        </w:tc>
        <w:tc>
          <w:tcPr>
            <w:tcW w:w="11689" w:type="dxa"/>
            <w:tcBorders/>
          </w:tcPr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Субподрядчик собственными силами разрабатывает ППР на Работы, утверждает его и согласовывает с Заказчиком. Субподрядчик предоставляет на согласование Заказчику ППР и в формате pdf официальным письмом. Заказчик в течение 3 рабочих дней рассматривает предоставленный ППР, и официальным письмом уведомляет Субподрядчика о согласовании или направляет замечания. Субподрядчик, получив замечания, в течение 3 рабочих дней устраняет замечания и направляет официальным письмом на согласование. 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11689" w:type="dxa"/>
            <w:tcBorders/>
          </w:tcPr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Работы выполняются в соответствии утвержденным проектом производства работ (ППР) или технологической картой (ТК</w:t>
            </w:r>
            <w:r>
              <w:rPr>
                <w:rFonts w:cs="Times New Roman"/>
                <w:kern w:val="0"/>
                <w:lang w:val="ru-RU" w:bidi="ar-SA"/>
              </w:rPr>
              <w:t>)</w:t>
            </w:r>
            <w:r>
              <w:rPr>
                <w:rFonts w:cs="Times New Roman"/>
                <w:kern w:val="0"/>
                <w:lang w:bidi="ar-SA"/>
              </w:rPr>
              <w:t>.</w:t>
            </w:r>
          </w:p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</w:t>
            </w:r>
          </w:p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Согласование с Заказчиком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показателях).</w:t>
            </w:r>
          </w:p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Инженерная подготовка и оборудование рабочей площадки, монтаж ограждений, переходов, лестниц и т.д..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оборудованию, кабелю и материалам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Оборудование и материалы, необходимые для выполнения работ, поставляются силами Субподрядчика приложение №1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оборудования, кабеля и материалов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При выполнении Работ должны применяться основные материалы поставки Субподрядчика указанные в приложении №1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контролю работ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Субподрядчик обязан применять виды и объемы контроля своих работ, указанные в нормативной документации, которые гарантировали бы выявление недопустимых дефектов, их высокое качество и надежность в эксплуатации в соответствии с положениями законов, актов и других официальных требований России и российских государственных органов.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чем за 10 дней до начала производства работ Субподрядчик предоставляет Подрядчику: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список (утвержденный распорядительным документом Субподрядчика) инженерно-технических специалистов, прошедших поверку знаний в соответствии с требованиями регламентирующих документов, имеющих удостоверения установленной формы и обеспечивающих в процессе выполнения работ: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49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Проверку соответствия выполненных работ требованиям проектной документации, соблюдения технологии, качества производства работ, соблюдения правил пожаро - и взрывобезопасности;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49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Своевременное решение возникающих в процессе работ вопросов между Подрядчиком и Субподрядчиком.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копию Приказа о назначении ответственного за соблюдение требований природоохранного законодательства Российской Федерации;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список (утвержденный распорядительным документом Субподрядчика) ответственных лиц при работах по наряду-допуску и распоряжению, при выполнении специальных работ (по шаблону Заказчика).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Установленный противопожарный и внутриобъектовый режим на предприятии Заказчика является обязательным для персонала Субподрядчика и должен строго выполняться.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необходимо обеспечить безопасность зданий, сооружений, оборудования Партизанской ГРЭС и других подрядных организаций, находящихся в зоне производства работ.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промышленной и экологической безопасности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работ на объекте должен выполнять требования законодательства в области охраны окружающей среды.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образующиеся при деятельности Субподрядчиков из сырья, продуктов, изделий, объектов и механизмов, принадлежащих Заказчику, являются собственностью Заказчика. Силами Субподрядчика отходы должны быть отсортированы, доставлены до места временного хранения отходов, соответственно виду отхода, и переданы ответственному лицу с обязательным составлением акта передачи отходов.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образующиеся при деятельности Субподрядчика из сырья, продуктов, изделий, объектов и механизмов, принадлежащих Субподрядчику, являются собственностью Субподрядчика. Субподрядчик обеспечивает выполнение всех работ по сбору, сортировке, транспортировке, хранению и утилизации (захоронению) отходов.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1168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right="13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Результат работ должен соответствовать объемам работ, указанных в  таблице 2 технических требований. Должен соответствовать требованию выполнение работ  «под ключ».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right="130" w:hanging="0"/>
              <w:jc w:val="both"/>
              <w:rPr/>
            </w:pPr>
            <w:r>
              <w:rPr>
                <w:rStyle w:val="Strong"/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Выполнение работ «под ключ»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 — предполагает результат, при котором не требуется дополнительных доработок, оборудование принимается в эксплуатацию в полном объеме.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отчётной документации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Субподрядчик предоставляет Подрядчику исполнительную документацию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количестве двух экземпляров на бумажном носителе информации, содержащую оригинальные подписи и печати, и один экземпляр на электронном носителе информации (цветная скан-копия бумажного экземпляра).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Актов, исполнительных схем и протоколов, Субподрядчик предварительно уточняет у Заказчика за 10 дней до начала работ.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отчётной документации по выполненным работам в соответствии с требованиями регламентирующих документов: СП 68.13330.2017 «Приемка в эксплуатацию законченных строительством объектов. Основные положения», «Правил технической эксплуатации электрических станций и сетей РФ» утвержденные приказом Минэнерго России от 4 октября 2022 г. N 1070;  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Требования об ответственности подрядчика за недостатки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Все замечания, указания, предписания надзорных органов, предъявленные Заказчику по качеству выполнения Работ во время выполнения Работ, устраняются Субподрядчик в указанные сроки за счет собственных средств.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Общие требования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Приемка и оплата выполненных работ осуществляется по факту.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Заказчик оставляет за собой право корректировать объемы работ, не превышающие установленного лимита по договору с письменного уведомления Субподрядчика.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Оплата дополнительных объемов работ и затрат будет производиться по согласованию с Заказчиком по факту их выполнения в рамках суммы Договора. Заказчик не предполагает заключение каких-либо дополнительных соглашений.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должен обладать собственным (либо в аренде) спец. инструментом и приспособлениями (или у привлекаемых субподрядчиков). Все необходимые специальные работы (включая доставки необходимого оборудования и техники, материалов, аппаратуры) организуются и выполняются Субподрядчиком за счёт собственных средств.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обязан соблюдать технологическую, производственную и трудовую дисциплину.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Должна производиться своевременная (ежедневная) уборка рабочих мест.</w:t>
            </w:r>
          </w:p>
        </w:tc>
      </w:tr>
    </w:tbl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426" w:hanging="425"/>
        <w:rPr>
          <w:sz w:val="26"/>
          <w:szCs w:val="26"/>
        </w:rPr>
      </w:pPr>
      <w:bookmarkStart w:id="32" w:name="_Toc54643137"/>
      <w:bookmarkStart w:id="33" w:name="_Toc54618151"/>
      <w:bookmarkStart w:id="34" w:name="_Toc54279844"/>
      <w:r>
        <w:rPr>
          <w:sz w:val="26"/>
          <w:szCs w:val="26"/>
        </w:rPr>
        <w:t>Требования к документации по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ценообразованию на этапе закупки</w:t>
      </w:r>
      <w:bookmarkEnd w:id="32"/>
      <w:bookmarkEnd w:id="33"/>
      <w:bookmarkEnd w:id="34"/>
    </w:p>
    <w:p>
      <w:pPr>
        <w:pStyle w:val="ListParagraph"/>
        <w:spacing w:before="80" w:after="0"/>
        <w:ind w:left="-142" w:firstLine="426"/>
        <w:contextualSpacing/>
        <w:jc w:val="both"/>
        <w:rPr>
          <w:rFonts w:eastAsia="MS PGothic"/>
          <w:lang w:eastAsia="ja-JP"/>
        </w:rPr>
      </w:pPr>
      <w:r>
        <w:rPr>
          <w:rFonts w:eastAsia="MS PGothic"/>
          <w:lang w:eastAsia="ja-JP"/>
        </w:rPr>
        <w:t xml:space="preserve">3.1. </w:t>
      </w:r>
      <w:r>
        <w:rPr>
          <w:iCs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</w:t>
      </w:r>
      <w:r>
        <w:rPr>
          <w:rFonts w:eastAsia="MS PGothic"/>
          <w:lang w:eastAsia="ja-JP"/>
        </w:rPr>
        <w:t>Документации о закупке (с указанием понижающего коэффициента).</w:t>
      </w:r>
    </w:p>
    <w:p>
      <w:pPr>
        <w:pStyle w:val="ListParagraph"/>
        <w:spacing w:before="80" w:after="0"/>
        <w:ind w:left="-142" w:firstLine="426"/>
        <w:contextualSpacing/>
        <w:jc w:val="both"/>
        <w:rPr>
          <w:rFonts w:eastAsia="MS PGothic"/>
          <w:lang w:eastAsia="ja-JP"/>
        </w:rPr>
      </w:pPr>
      <w:r>
        <w:rPr>
          <w:rFonts w:eastAsia="MS PGothic"/>
          <w:lang w:eastAsia="ja-JP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426" w:hanging="425"/>
        <w:rPr>
          <w:sz w:val="26"/>
          <w:szCs w:val="26"/>
        </w:rPr>
      </w:pPr>
      <w:r>
        <w:rPr>
          <w:sz w:val="26"/>
          <w:szCs w:val="26"/>
        </w:rPr>
        <w:t>Требования к документации по ценообразованию на этапе заключения договора</w:t>
      </w:r>
    </w:p>
    <w:p>
      <w:pPr>
        <w:pStyle w:val="ListParagraph"/>
        <w:spacing w:before="80" w:after="0"/>
        <w:ind w:left="-142" w:firstLine="426"/>
        <w:contextualSpacing/>
        <w:jc w:val="both"/>
        <w:rPr>
          <w:bCs/>
          <w:iCs/>
          <w:lang w:eastAsia="x-none"/>
        </w:rPr>
      </w:pPr>
      <w:r>
        <w:rPr>
          <w:rFonts w:eastAsia="MS PGothic"/>
          <w:lang w:eastAsia="ja-JP"/>
        </w:rPr>
        <w:t xml:space="preserve">4.1. </w:t>
      </w:r>
      <w:r>
        <w:rPr>
          <w:bCs/>
          <w:iCs/>
          <w:lang w:eastAsia="x-none"/>
        </w:rPr>
        <w:t xml:space="preserve">Сметная документация разрабатывается </w:t>
      </w:r>
      <w:r>
        <w:rPr>
          <w:iCs/>
        </w:rPr>
        <w:t xml:space="preserve">Участником </w:t>
      </w:r>
      <w:r>
        <w:rPr>
          <w:bCs/>
          <w:iCs/>
          <w:lang w:eastAsia="x-none"/>
        </w:rPr>
        <w:t>в соответствии с требованиями, указанными в приложении №3 к настоящим Техническим требованиям, и включается в состав договора.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0"/>
        </w:numPr>
        <w:ind w:left="42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6" w:hanging="42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extDirection w:val="lrTb"/>
          <w:docGrid w:type="default" w:linePitch="381" w:charSpace="0"/>
        </w:sect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 №1. Спецификация</w:t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7166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851"/>
        <w:gridCol w:w="1555"/>
        <w:gridCol w:w="1760"/>
      </w:tblGrid>
      <w:tr>
        <w:trPr>
          <w:trHeight w:val="480" w:hRule="atLeast"/>
        </w:trPr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БРО-6 GSM + ethernet, блок радиоканальный объектовый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Маяк КП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Модуль сопряжения  МС-16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Астра РИ-М РР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ИВЭПР 112-2-2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БР-12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Аккумулятор 12в  7а/ч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ИО 102-20 Б/2П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Астра 321Т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Астра РИ-М РПДК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Фотон 9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ИО 418-1 "Мираж" Извещатель охранный объемный комбинированно-совмещённый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Шорох 2 Датчик вибрационный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КС-4 коробка коммутационная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 КСВВнг LS 2*0.5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 КСВВнг LS 6*0.5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ВВГ (А) FLRS 3*1,5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ParLan Cat5e 4*2*0,52 PVC внутренний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Труба гофрированная ПВХ 20 мм с протяжкой легкая серая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 канал 15*10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Кабель-канал 25*16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Кабель-канал 40*25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Саморез 3,5*35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Дюбель 6*35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Крепеж клипса D20мм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Антена GSM 9 dbТриада-МА  Sota GSM  10м</w:t>
            </w:r>
          </w:p>
        </w:tc>
        <w:tc>
          <w:tcPr>
            <w:tcW w:w="1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/>
      </w:r>
    </w:p>
    <w:sectPr>
      <w:headerReference w:type="default" r:id="rId15"/>
      <w:headerReference w:type="first" r:id="rId16"/>
      <w:footerReference w:type="default" r:id="rId17"/>
      <w:footerReference w:type="first" r:id="rId18"/>
      <w:type w:val="nextPage"/>
      <w:pgSz w:w="11906" w:h="16838"/>
      <w:pgMar w:left="1134" w:right="851" w:gutter="0" w:header="680" w:top="1134" w:footer="737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3500755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205522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7924905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2806383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7681059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5219348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7271"/>
    <w:pPr>
      <w:keepNext w:val="true"/>
      <w:numPr>
        <w:ilvl w:val="2"/>
        <w:numId w:val="3"/>
      </w:numPr>
      <w:spacing w:before="120" w:after="60"/>
      <w:ind w:left="426" w:hanging="425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a7271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c67f2"/>
    <w:rPr>
      <w:sz w:val="28"/>
      <w:szCs w:val="28"/>
    </w:rPr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бычный1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9" w:customStyle="1">
    <w:name w:val="Обычный2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BodyText2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FFFD-8935-47A0-BFA3-1964121E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Application>AlterOffice/3.4.0.9$Linux_X86_64 LibreOffice_project/b8daf9e823b1a5463a2f48435ddc2e8696e7d4fc</Application>
  <AppVersion>15.0000</AppVersion>
  <Pages>11</Pages>
  <Words>1897</Words>
  <Characters>13164</Characters>
  <CharactersWithSpaces>14776</CharactersWithSpaces>
  <Paragraphs>272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2025-07-10T06:26:00Z</dcterms:created>
  <dc:creator>Быстров Олег Геннадьевич</dc:creator>
  <dc:description/>
  <dc:language>ru-RU</dc:language>
  <cp:lastModifiedBy>kuzmichevatav@corp.gidroogk.com</cp:lastModifiedBy>
  <cp:lastPrinted>2006-07-26T14:04:00Z</cp:lastPrinted>
  <dcterms:modified xsi:type="dcterms:W3CDTF">2026-08-25T16:46:15Z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