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customXml/itemProps7.xml" ContentType="application/vnd.openxmlformats-officedocument.customXmlProperties+xml"/>
  <Override PartName="/word/footer3.xml" ContentType="application/vnd.openxmlformats-officedocument.wordprocessingml.footer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УТВЕРЖДАЮ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Первый зам. Генерального директора – 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главный инженер АО «Сахаэнерго»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____________________Копырин Н.М.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tabs>
          <w:tab w:val="left" w:leader="none" w:pos="567"/>
          <w:tab w:val="clear" w:leader="none" w:pos="708"/>
        </w:tabs>
        <w:spacing w:line="24" w:lineRule="atLeast"/>
        <w:ind w:firstLine="567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«____»_________________2026 г.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Style w:val="917"/>
        <w:keepNext w:val="true"/>
        <w:keepLines w:val="true"/>
        <w:pBdr/>
        <w:spacing/>
        <w: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jc w:val="center"/>
        <w:rPr>
          <w:lang w:val="ru-RU"/>
        </w:rPr>
      </w:pPr>
      <w:r>
        <w:rPr>
          <w:b/>
          <w:lang w:val="ru-RU"/>
        </w:rPr>
        <w:t xml:space="preserve">Технические требования на выполнение работ</w:t>
      </w:r>
      <w:r>
        <w:rPr>
          <w:lang w:val="ru-RU"/>
        </w:rPr>
      </w:r>
      <w:r>
        <w:rPr>
          <w:lang w:val="ru-RU"/>
        </w:rPr>
      </w:r>
    </w:p>
    <w:p>
      <w:pPr>
        <w:widowControl w:val="false"/>
        <w:pBdr/>
        <w:spacing w:line="24" w:lineRule="atLeast"/>
        <w:ind/>
        <w:jc w:val="center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«</w:t>
      </w:r>
      <w:r>
        <w:rPr>
          <w:rFonts w:eastAsia="Calibri"/>
          <w:lang w:val="ru-RU"/>
        </w:rPr>
        <w:t xml:space="preserve">ОКПД2 71.20.19.190. </w:t>
      </w:r>
      <w:r>
        <w:rPr>
          <w:rFonts w:eastAsia="Calibri"/>
          <w:lang w:val="ru-RU"/>
        </w:rPr>
        <w:t xml:space="preserve">Техническое освидетельствование (диагностирование) технических устройств ТЭЦ п. Депутатский»</w:t>
      </w:r>
      <w:r>
        <w:rPr>
          <w:rFonts w:eastAsia="Calibri"/>
          <w:lang w:val="ru-RU"/>
        </w:rPr>
      </w:r>
      <w:r>
        <w:rPr>
          <w:rFonts w:eastAsia="Calibri"/>
          <w:lang w:val="ru-RU"/>
        </w:rPr>
      </w:r>
    </w:p>
    <w:p>
      <w:pPr>
        <w:keepNext w:val="true"/>
        <w:keepLines w:val="true"/>
        <w:pBdr/>
        <w:spacing/>
        <w:ind/>
        <w:jc w:val="center"/>
        <w:rPr>
          <w:rFonts w:eastAsia="Calibri"/>
          <w:b/>
          <w:bCs/>
          <w:i/>
          <w:lang w:val="ru-RU"/>
        </w:rPr>
      </w:pPr>
      <w:r>
        <w:rPr>
          <w:rFonts w:eastAsia="Calibri"/>
          <w:b/>
          <w:i/>
          <w:lang w:val="ru-RU"/>
        </w:rPr>
      </w:r>
      <w:r>
        <w:rPr>
          <w:rFonts w:eastAsia="Calibri"/>
          <w:b/>
          <w:i/>
          <w:lang w:val="ru-RU"/>
        </w:rPr>
      </w:r>
      <w:r>
        <w:rPr>
          <w:rFonts w:eastAsia="Calibri"/>
          <w:b/>
          <w:bCs/>
          <w:i/>
          <w:lang w:val="ru-RU"/>
        </w:rPr>
      </w:r>
    </w:p>
    <w:p>
      <w:pPr>
        <w:keepNext w:val="true"/>
        <w:keepLines w:val="true"/>
        <w:pBdr/>
        <w:spacing/>
        <w:ind/>
        <w:jc w:val="center"/>
        <w:rPr>
          <w:rFonts w:eastAsia="Calibri"/>
          <w:b/>
          <w:bCs/>
          <w:i/>
          <w:lang w:val="ru-RU"/>
        </w:rPr>
      </w:pPr>
      <w:r>
        <w:rPr>
          <w:rFonts w:eastAsia="Calibri"/>
          <w:b/>
          <w:i/>
          <w:lang w:val="ru-RU"/>
        </w:rPr>
      </w:r>
      <w:r>
        <w:rPr>
          <w:rFonts w:eastAsia="Calibri"/>
          <w:b/>
          <w:i/>
          <w:lang w:val="ru-RU"/>
        </w:rPr>
      </w:r>
      <w:r>
        <w:rPr>
          <w:rFonts w:eastAsia="Calibri"/>
          <w:b/>
          <w:bCs/>
          <w:i/>
          <w:lang w:val="ru-RU"/>
        </w:rPr>
      </w:r>
    </w:p>
    <w:p>
      <w:pPr>
        <w:keepNext w:val="true"/>
        <w:keepLines w:val="true"/>
        <w:pBdr/>
        <w:spacing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Bdr/>
        <w:spacing/>
        <w:ind/>
        <w:jc w:val="center"/>
        <w:rPr>
          <w:b/>
          <w:bCs/>
          <w:sz w:val="26"/>
          <w:szCs w:val="26"/>
          <w:lang w:val="ru-RU"/>
        </w:rPr>
      </w:pP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  <w:r>
        <w:rPr>
          <w:b/>
          <w:bCs/>
          <w:sz w:val="26"/>
          <w:szCs w:val="26"/>
          <w:lang w:val="ru-RU"/>
        </w:rPr>
      </w:r>
    </w:p>
    <w:p>
      <w:pPr>
        <w:pStyle w:val="918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</w:rPr>
      </w:r>
    </w:p>
    <w:p>
      <w:pPr>
        <w:pStyle w:val="918"/>
        <w:pBdr/>
        <w:spacing/>
        <w:ind/>
        <w:rPr>
          <w:b w:val="0"/>
          <w:bCs w:val="0"/>
          <w:color w:val="000000"/>
          <w:highlight w:val="none"/>
        </w:rPr>
      </w:pP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</w:p>
    <w:p>
      <w:pPr>
        <w:pStyle w:val="918"/>
        <w:pBdr/>
        <w:spacing/>
        <w:ind/>
        <w:rPr>
          <w:b w:val="0"/>
          <w:bCs w:val="0"/>
          <w:color w:val="000000"/>
          <w:highlight w:val="none"/>
        </w:rPr>
      </w:pP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</w:p>
    <w:p>
      <w:pPr>
        <w:pBdr/>
        <w:shd w:val="nil" w:color="auto"/>
        <w:spacing/>
        <w:ind/>
        <w:rPr>
          <w:b w:val="0"/>
          <w:bCs w:val="0"/>
          <w:color w:val="000000"/>
          <w:highlight w:val="none"/>
        </w:rPr>
      </w:pPr>
      <w:r>
        <w:rPr>
          <w:b w:val="0"/>
          <w:bCs w:val="0"/>
          <w:color w:val="000000"/>
          <w:highlight w:val="none"/>
        </w:rPr>
        <w:br w:type="page" w:clear="all"/>
      </w:r>
      <w:r>
        <w:rPr>
          <w:b w:val="0"/>
          <w:bCs w:val="0"/>
          <w:color w:val="000000"/>
          <w:highlight w:val="none"/>
        </w:rPr>
      </w:r>
      <w:r>
        <w:rPr>
          <w:b w:val="0"/>
          <w:bCs w:val="0"/>
          <w:color w:val="000000"/>
          <w:highlight w:val="none"/>
        </w:rPr>
      </w:r>
    </w:p>
    <w:p>
      <w:pPr>
        <w:pStyle w:val="918"/>
        <w:pBdr/>
        <w:spacing/>
        <w:ind/>
        <w:rPr>
          <w:b w:val="0"/>
          <w:bCs w:val="0"/>
          <w:color w:val="000000"/>
          <w:highlight w:val="none"/>
        </w:rPr>
      </w:pPr>
      <w:r/>
      <w:bookmarkStart w:id="1" w:name="_Toc1"/>
      <w:r>
        <w:rPr>
          <w:b w:val="0"/>
          <w:bCs w:val="0"/>
          <w:color w:val="000000"/>
        </w:rPr>
        <w:t xml:space="preserve">1. </w:t>
      </w:r>
      <w:r>
        <w:rPr>
          <w:b w:val="0"/>
          <w:bCs w:val="0"/>
          <w:color w:val="000000"/>
        </w:rPr>
        <w:t xml:space="preserve">Общие сведения</w:t>
      </w:r>
      <w:bookmarkEnd w:id="1"/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  <w:highlight w:val="none"/>
        </w:rPr>
      </w:r>
    </w:p>
    <w:p>
      <w:pPr>
        <w:pStyle w:val="919"/>
        <w:pBdr/>
        <w:spacing/>
        <w:ind/>
        <w:rPr/>
      </w:pPr>
      <w:r/>
      <w:bookmarkStart w:id="2" w:name="_Toc2"/>
      <w:r>
        <w:t xml:space="preserve">1.1 Обозначения и сокращения</w:t>
      </w:r>
      <w:bookmarkEnd w:id="2"/>
      <w:r/>
      <w:r/>
    </w:p>
    <w:p>
      <w:pPr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9125" w:type="dxa"/>
        <w:jc w:val="center"/>
        <w:tblBorders/>
        <w:tblLayout w:type="fixed"/>
        <w:tblLook w:val="04A0" w:firstRow="1" w:lastRow="0" w:firstColumn="1" w:lastColumn="0" w:noHBand="0" w:noVBand="1"/>
      </w:tblPr>
      <w:tblGrid>
        <w:gridCol w:w="1783"/>
        <w:gridCol w:w="7342"/>
      </w:tblGrid>
      <w:tr>
        <w:trPr>
          <w:cantSplit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center"/>
              <w:rPr>
                <w:i/>
              </w:rPr>
            </w:pPr>
            <w:r>
              <w:rPr>
                <w:i/>
                <w:lang w:val="ru-RU"/>
              </w:rPr>
              <w:t xml:space="preserve">ТЭЦ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both"/>
              <w:rPr>
                <w:i/>
              </w:rPr>
            </w:pPr>
            <w:r>
              <w:rPr>
                <w:i/>
                <w:lang w:val="ru-RU"/>
              </w:rPr>
              <w:t xml:space="preserve">Теплоэлектроцентраль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cantSplit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center"/>
              <w:rPr>
                <w:i/>
              </w:rPr>
            </w:pPr>
            <w:r>
              <w:rPr>
                <w:i/>
                <w:lang w:val="ru-RU"/>
              </w:rPr>
              <w:t xml:space="preserve">ТО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both"/>
              <w:rPr>
                <w:i/>
              </w:rPr>
            </w:pPr>
            <w:r>
              <w:rPr>
                <w:i/>
                <w:lang w:val="ru-RU"/>
              </w:rPr>
              <w:t xml:space="preserve">Техническое освидетельствование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center"/>
              <w:rPr>
                <w:i/>
              </w:rPr>
            </w:pPr>
            <w:r>
              <w:rPr>
                <w:i/>
                <w:lang w:val="ru-RU"/>
              </w:rPr>
              <w:t xml:space="preserve">ПК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both"/>
              <w:rPr>
                <w:i/>
              </w:rPr>
            </w:pPr>
            <w:r>
              <w:rPr>
                <w:i/>
                <w:lang w:val="ru-RU"/>
              </w:rPr>
              <w:t xml:space="preserve">Паровой котел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3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ПП</w:t>
            </w:r>
            <w:r>
              <w:rPr>
                <w:i/>
                <w:lang w:val="ru-RU"/>
              </w:rPr>
            </w:r>
            <w:r>
              <w:rPr>
                <w:i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Подогреватель пароводяной</w:t>
            </w:r>
            <w:r>
              <w:rPr>
                <w:i/>
                <w:lang w:val="ru-RU"/>
              </w:rPr>
            </w:r>
            <w:r>
              <w:rPr>
                <w:i/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3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ТТ</w:t>
            </w:r>
            <w:r>
              <w:rPr>
                <w:i/>
                <w:lang w:val="ru-RU"/>
              </w:rPr>
            </w:r>
            <w:r>
              <w:rPr>
                <w:i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Технические требования</w:t>
            </w:r>
            <w:r>
              <w:rPr>
                <w:i/>
                <w:lang w:val="ru-RU"/>
              </w:rPr>
            </w:r>
            <w:r>
              <w:rPr>
                <w:i/>
                <w:lang w:val="ru-RU"/>
              </w:rPr>
            </w:r>
          </w:p>
        </w:tc>
      </w:tr>
    </w:tbl>
    <w:p>
      <w:pPr>
        <w:keepNext w:val="true"/>
        <w:keepLines w:val="true"/>
        <w:pBdr/>
        <w:spacing/>
        <w:ind/>
        <w:rPr/>
      </w:pPr>
      <w:r/>
      <w:r/>
    </w:p>
    <w:p>
      <w:pPr>
        <w:pBdr/>
        <w:shd w:val="nil" w:color="auto"/>
        <w:spacing/>
        <w:ind/>
        <w:rPr/>
      </w:pPr>
      <w:r>
        <w:rPr>
          <w:highlight w:val="none"/>
        </w:rPr>
        <w:br w:type="page" w:clear="all"/>
      </w:r>
      <w:r>
        <w:rPr>
          <w:highlight w:val="none"/>
        </w:rPr>
      </w:r>
      <w:r/>
    </w:p>
    <w:p>
      <w:pPr>
        <w:pStyle w:val="919"/>
        <w:pBdr/>
        <w:spacing/>
        <w:ind/>
        <w:rPr>
          <w:highlight w:val="none"/>
        </w:rPr>
      </w:pPr>
      <w:r/>
      <w:bookmarkStart w:id="3" w:name="_Toc3"/>
      <w:r>
        <w:rPr>
          <w:color w:val="000000"/>
        </w:rPr>
        <w:t xml:space="preserve">1.2 Наименование закупаемой продукции</w:t>
      </w:r>
      <w:bookmarkEnd w:id="3"/>
      <w:r/>
      <w:r>
        <w:rPr>
          <w:highlight w:val="none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rFonts w:eastAsia="Calibri"/>
          <w:lang w:val="ru-RU"/>
        </w:rPr>
        <w:t xml:space="preserve">«</w:t>
      </w:r>
      <w:r>
        <w:rPr>
          <w:rFonts w:eastAsia="Calibri"/>
          <w:lang w:val="ru-RU"/>
        </w:rPr>
        <w:t xml:space="preserve">ОКПД 2 71.20.19.190</w:t>
      </w:r>
      <w:r>
        <w:rPr>
          <w:rFonts w:eastAsia="Calibri"/>
          <w:lang w:val="ru-RU"/>
        </w:rPr>
        <w:t xml:space="preserve"> Техническое освидетельствование (диагностирование) технических устройств ТЭЦ п. Депутатский</w:t>
      </w:r>
      <w:r>
        <w:rPr>
          <w:rFonts w:eastAsia="Calibri"/>
          <w:lang w:val="ru-RU"/>
        </w:rPr>
        <w:t xml:space="preserve">»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9"/>
        <w:pBdr/>
        <w:spacing/>
        <w:ind/>
        <w:rPr>
          <w:lang w:val="ru-RU"/>
        </w:rPr>
      </w:pPr>
      <w:r/>
      <w:bookmarkStart w:id="4" w:name="_Toc4"/>
      <w:r>
        <w:rPr>
          <w:color w:val="000000"/>
          <w:lang w:val="ru-RU"/>
        </w:rPr>
        <w:t xml:space="preserve">1.3 Цель выполнения работ </w:t>
      </w:r>
      <w:bookmarkEnd w:id="4"/>
      <w:r>
        <w:rPr>
          <w:lang w:val="ru-RU"/>
        </w:rPr>
      </w:r>
      <w:r>
        <w:rPr>
          <w:lang w:val="ru-RU"/>
        </w:rPr>
      </w:r>
    </w:p>
    <w:p>
      <w:pPr>
        <w:widowControl w:val="false"/>
        <w:pBdr/>
        <w:tabs>
          <w:tab w:val="left" w:leader="none" w:pos="426"/>
        </w:tabs>
        <w:spacing/>
        <w:ind w:firstLine="709"/>
        <w:jc w:val="both"/>
        <w:rPr/>
      </w:pPr>
      <w:r>
        <w:rPr>
          <w:bCs/>
          <w:color w:val="000000"/>
          <w:highlight w:val="white"/>
          <w:lang w:val="ru-RU"/>
        </w:rPr>
        <w:t xml:space="preserve">Проверка технического состояния паропроводов на соответствие</w:t>
      </w:r>
      <w:r>
        <w:rPr>
          <w:bCs/>
          <w:color w:val="000000"/>
          <w:highlight w:val="none"/>
          <w:lang w:val="ru-RU"/>
        </w:rPr>
        <w:t xml:space="preserve"> </w:t>
      </w:r>
      <w:r>
        <w:rPr>
          <w:bCs/>
          <w:color w:val="000000"/>
          <w:highlight w:val="white"/>
          <w:lang w:val="ru-RU"/>
        </w:rPr>
        <w:t xml:space="preserve">требованиям нормативных правовых актов Российской Федерации в области промышленной</w:t>
      </w:r>
      <w:r>
        <w:rPr>
          <w:bCs/>
          <w:color w:val="000000"/>
          <w:highlight w:val="none"/>
          <w:lang w:val="ru-RU"/>
        </w:rPr>
        <w:t xml:space="preserve"> </w:t>
      </w:r>
      <w:r>
        <w:rPr>
          <w:bCs/>
          <w:color w:val="000000"/>
          <w:highlight w:val="white"/>
          <w:lang w:val="ru-RU"/>
        </w:rPr>
        <w:t xml:space="preserve">безопасности и определение возможности дальнейшей безопасной эксплуатации.</w:t>
      </w:r>
      <w:r>
        <w:rPr>
          <w:bCs/>
          <w:color w:val="000000"/>
          <w:highlight w:val="white"/>
          <w:lang w:val="ru-RU"/>
        </w:rPr>
      </w:r>
      <w:r/>
    </w:p>
    <w:p>
      <w:pPr>
        <w:widowControl w:val="false"/>
        <w:pBdr/>
        <w:tabs>
          <w:tab w:val="left" w:leader="none" w:pos="426"/>
        </w:tabs>
        <w:spacing/>
        <w:ind w:firstLine="709"/>
        <w:jc w:val="both"/>
        <w:rPr>
          <w:color w:val="000000"/>
          <w:highlight w:val="none"/>
          <w:lang w:val="ru-RU"/>
        </w:rPr>
      </w:pPr>
      <w:r>
        <w:rPr>
          <w:bCs/>
          <w:color w:val="000000"/>
          <w:highlight w:val="white"/>
          <w:lang w:val="ru-RU"/>
        </w:rPr>
        <w:t xml:space="preserve">Основанием проведения технического освидетельствования является требования пп. 446,</w:t>
      </w:r>
      <w:r>
        <w:rPr>
          <w:bCs/>
          <w:color w:val="000000"/>
          <w:highlight w:val="none"/>
          <w:lang w:val="ru-RU"/>
        </w:rPr>
        <w:t xml:space="preserve"> </w:t>
      </w:r>
      <w:r>
        <w:rPr>
          <w:bCs/>
          <w:color w:val="000000"/>
          <w:highlight w:val="white"/>
          <w:lang w:val="ru-RU"/>
        </w:rPr>
        <w:t xml:space="preserve">448 действующих Федеральных норм и правил в области промышленной безопасности</w:t>
      </w:r>
      <w:r>
        <w:rPr>
          <w:bCs/>
          <w:color w:val="000000"/>
          <w:highlight w:val="none"/>
          <w:lang w:val="ru-RU"/>
        </w:rPr>
        <w:t xml:space="preserve"> </w:t>
      </w:r>
      <w:r>
        <w:rPr>
          <w:bCs/>
          <w:color w:val="000000"/>
          <w:highlight w:val="white"/>
          <w:lang w:val="ru-RU"/>
        </w:rPr>
        <w:t xml:space="preserve">«Правила промышленной безопасности при использовании оборудования, работающего под</w:t>
      </w:r>
      <w:r>
        <w:rPr>
          <w:bCs/>
          <w:color w:val="000000"/>
          <w:highlight w:val="none"/>
          <w:lang w:val="ru-RU"/>
        </w:rPr>
        <w:t xml:space="preserve"> </w:t>
      </w:r>
      <w:r>
        <w:rPr>
          <w:bCs/>
          <w:color w:val="000000"/>
          <w:highlight w:val="white"/>
          <w:lang w:val="ru-RU"/>
        </w:rPr>
        <w:t xml:space="preserve">избыточным давлением»</w:t>
      </w:r>
      <w:r>
        <w:rPr>
          <w:bCs/>
          <w:color w:val="000000"/>
          <w:highlight w:val="white"/>
          <w:lang w:val="ru-RU"/>
        </w:rPr>
      </w:r>
      <w:r>
        <w:rPr>
          <w:color w:val="000000"/>
          <w:highlight w:val="none"/>
          <w:lang w:val="ru-RU"/>
        </w:rPr>
      </w:r>
    </w:p>
    <w:p>
      <w:pPr>
        <w:widowControl w:val="false"/>
        <w:pBdr/>
        <w:tabs>
          <w:tab w:val="left" w:leader="none" w:pos="426"/>
        </w:tabs>
        <w:spacing/>
        <w:ind w:firstLine="709"/>
        <w:jc w:val="both"/>
        <w:rPr>
          <w:color w:val="000000"/>
          <w:highlight w:val="white"/>
          <w:lang w:val="ru-RU"/>
        </w:rPr>
      </w:pPr>
      <w:r>
        <w:rPr>
          <w:color w:val="000000"/>
          <w:highlight w:val="white"/>
          <w:lang w:val="ru-RU"/>
        </w:rPr>
      </w:r>
      <w:r>
        <w:rPr>
          <w:color w:val="000000"/>
          <w:highlight w:val="white"/>
          <w:lang w:val="ru-RU"/>
        </w:rPr>
      </w:r>
      <w:r>
        <w:rPr>
          <w:color w:val="000000"/>
          <w:highlight w:val="white"/>
          <w:lang w:val="ru-RU"/>
        </w:rPr>
      </w:r>
    </w:p>
    <w:p>
      <w:pPr>
        <w:widowControl w:val="false"/>
        <w:pBdr/>
        <w:tabs>
          <w:tab w:val="left" w:leader="none" w:pos="426"/>
        </w:tabs>
        <w:spacing/>
        <w:ind w:firstLine="709"/>
        <w:jc w:val="right"/>
        <w:rPr>
          <w:color w:val="000000"/>
          <w:highlight w:val="none"/>
          <w:lang w:val="ru-RU"/>
        </w:rPr>
      </w:pPr>
      <w:r>
        <w:rPr>
          <w:bCs/>
          <w:color w:val="000000"/>
          <w:highlight w:val="none"/>
          <w:lang w:val="ru-RU"/>
        </w:rPr>
        <w:t xml:space="preserve">Таблица 1. Перечень объектов заказчика</w:t>
      </w:r>
      <w:r>
        <w:rPr>
          <w:bCs/>
          <w:color w:val="000000"/>
          <w:highlight w:val="none"/>
          <w:lang w:val="ru-RU"/>
        </w:rPr>
      </w:r>
      <w:r>
        <w:rPr>
          <w:color w:val="000000"/>
          <w:highlight w:val="none"/>
          <w:lang w:val="ru-RU"/>
        </w:rPr>
      </w:r>
    </w:p>
    <w:tbl>
      <w:tblPr>
        <w:tblW w:w="9609" w:type="dxa"/>
        <w:tblInd w:w="5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70"/>
        <w:gridCol w:w="2655"/>
        <w:gridCol w:w="2430"/>
        <w:gridCol w:w="2712"/>
        <w:gridCol w:w="124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7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5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объекта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0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 xml:space="preserve">(место оказания услуг)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(в отношении которого оказываются услуги)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5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0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bidi w:val="true"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8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1005"/>
              <w:widowControl w:val="false"/>
              <w:numPr>
                <w:ilvl w:val="0"/>
                <w:numId w:val="36"/>
              </w:num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5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Мини-ТЭЦ п. Депутатский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0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Усть-Янский</w:t>
            </w:r>
            <w:r>
              <w:rPr>
                <w:rFonts w:eastAsia="Calibri" w:cs="Times New Roman"/>
                <w:b w:val="0"/>
                <w:bCs w:val="0"/>
                <w:color w:val="000000"/>
                <w:sz w:val="24"/>
                <w:szCs w:val="24"/>
                <w:lang w:bidi="ru-RU"/>
              </w:rPr>
              <w:t xml:space="preserve"> улус, </w:t>
            </w:r>
            <w:r>
              <w:rPr>
                <w:rFonts w:eastAsia="Calibri" w:cs="Times New Roman"/>
                <w:b w:val="0"/>
                <w:bCs w:val="0"/>
                <w:color w:val="000000"/>
                <w:sz w:val="24"/>
                <w:szCs w:val="24"/>
                <w:lang w:bidi="ru-RU"/>
              </w:rPr>
              <w:t xml:space="preserve">п</w:t>
            </w:r>
            <w:r>
              <w:rPr>
                <w:rFonts w:eastAsia="Calibri" w:cs="Times New Roman"/>
                <w:b w:val="0"/>
                <w:bCs w:val="0"/>
                <w:color w:val="000000"/>
                <w:sz w:val="24"/>
                <w:szCs w:val="24"/>
                <w:lang w:bidi="ru-RU"/>
              </w:rPr>
              <w:t xml:space="preserve">. </w:t>
            </w:r>
            <w:r>
              <w:rPr>
                <w:rFonts w:eastAsia="Calibri" w:cs="Times New Roman"/>
                <w:b w:val="0"/>
                <w:bCs w:val="0"/>
                <w:color w:val="000000"/>
                <w:sz w:val="24"/>
                <w:szCs w:val="24"/>
                <w:lang w:bidi="ru-RU"/>
              </w:rPr>
              <w:t xml:space="preserve">Депутатский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bidi w:val="false"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b w:val="0"/>
                <w:i w:val="0"/>
                <w:strike w:val="0"/>
                <w:sz w:val="24"/>
                <w:szCs w:val="24"/>
                <w:u w:val="none"/>
              </w:rPr>
              <w:t xml:space="preserve">Здание Мини-ТЭЦ в п. Депутатский  инв.</w:t>
            </w:r>
            <w:r>
              <w:rPr>
                <w:rFonts w:ascii="Times New Roman" w:hAnsi="Times New Roman"/>
                <w:b w:val="0"/>
                <w:i w:val="0"/>
                <w:strike w:val="0"/>
                <w:sz w:val="24"/>
                <w:szCs w:val="24"/>
                <w:u w:val="none"/>
              </w:rPr>
              <w:t xml:space="preserve">№000011102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17"/>
              <w:widowControl w:val="false"/>
              <w:pBdr/>
              <w:bidi w:val="false"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widowControl w:val="false"/>
        <w:pBdr/>
        <w:tabs>
          <w:tab w:val="left" w:leader="none" w:pos="426"/>
        </w:tabs>
        <w:spacing/>
        <w:ind w:firstLine="709"/>
        <w:jc w:val="right"/>
        <w:rPr>
          <w:color w:val="000000"/>
          <w:highlight w:val="white"/>
          <w:lang w:val="ru-RU"/>
        </w:rPr>
      </w:pPr>
      <w:r>
        <w:rPr>
          <w:bCs/>
          <w:color w:val="000000"/>
          <w:highlight w:val="none"/>
          <w:lang w:val="ru-RU"/>
        </w:rPr>
      </w:r>
      <w:r>
        <w:rPr>
          <w:bCs/>
          <w:color w:val="000000"/>
          <w:highlight w:val="none"/>
          <w:lang w:val="ru-RU"/>
        </w:rPr>
      </w:r>
      <w:r>
        <w:rPr>
          <w:color w:val="000000"/>
          <w:highlight w:val="white"/>
          <w:lang w:val="ru-RU"/>
        </w:rPr>
      </w:r>
    </w:p>
    <w:p>
      <w:pPr>
        <w:pStyle w:val="921"/>
        <w:pBdr/>
        <w:tabs>
          <w:tab w:val="left" w:leader="none" w:pos="0"/>
        </w:tabs>
        <w:spacing w:after="0" w:before="0" w:line="24" w:lineRule="atLeast"/>
        <w:ind w:firstLine="709"/>
        <w:jc w:val="both"/>
        <w:rPr>
          <w:rFonts w:ascii="Times New Roman" w:hAnsi="Times New Roman"/>
          <w:i w:val="0"/>
          <w:color w:val="000000"/>
          <w:lang w:val="ru-RU"/>
        </w:rPr>
        <w:sectPr>
          <w:headerReference w:type="default" r:id="rId9"/>
          <w:headerReference w:type="first" r:id="rId10"/>
          <w:footerReference w:type="default" r:id="rId15"/>
          <w:footerReference w:type="first" r:id="rId16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i w:val="0"/>
          <w:color w:val="000000"/>
          <w:lang w:val="ru-RU"/>
        </w:rPr>
      </w:r>
    </w:p>
    <w:p>
      <w:pPr>
        <w:pBdr/>
        <w:spacing w:line="24" w:lineRule="atLeast"/>
        <w:ind w:firstLine="709"/>
        <w:jc w:val="center"/>
        <w:rPr>
          <w:b/>
          <w:bCs/>
          <w:highlight w:val="none"/>
          <w:lang w:val="ru-RU"/>
        </w:rPr>
      </w:pPr>
      <w:r>
        <w:rPr>
          <w:b/>
          <w:lang w:val="ru-RU"/>
        </w:rPr>
        <w:t xml:space="preserve">2. Требования к продукции</w:t>
      </w:r>
      <w:r>
        <w:rPr>
          <w:b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Bdr/>
        <w:spacing w:line="24" w:lineRule="atLeast"/>
        <w:ind w:firstLine="709"/>
        <w:jc w:val="left"/>
        <w:rPr>
          <w:b/>
          <w:bCs/>
          <w:highlight w:val="none"/>
          <w:lang w:val="ru-RU"/>
        </w:rPr>
      </w:pPr>
      <w:r>
        <w:rPr>
          <w:b/>
          <w:highlight w:val="none"/>
          <w:lang w:val="ru-RU"/>
        </w:rPr>
        <w:t xml:space="preserve">2.1. Требования к объемам и срокам оказания услуг</w:t>
      </w:r>
      <w:r>
        <w:rPr>
          <w:b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Bdr/>
        <w:spacing w:line="24" w:lineRule="atLeast"/>
        <w:ind w:firstLine="709"/>
        <w:jc w:val="left"/>
        <w:rPr>
          <w:b/>
          <w:bCs/>
          <w:lang w:val="ru-RU"/>
        </w:rPr>
      </w:pPr>
      <w:r>
        <w:rPr>
          <w:b/>
          <w:highlight w:val="none"/>
          <w:lang w:val="ru-RU"/>
        </w:rPr>
        <w:t xml:space="preserve">2.1.1. Требования к перечню и объему услуг</w:t>
      </w:r>
      <w:r>
        <w:rPr>
          <w:b/>
          <w:highlight w:val="none"/>
          <w:lang w:val="ru-RU"/>
        </w:rPr>
      </w:r>
      <w:r>
        <w:rPr>
          <w:b/>
          <w:bCs/>
          <w:lang w:val="ru-RU"/>
        </w:rPr>
      </w:r>
    </w:p>
    <w:p>
      <w:pPr>
        <w:pBdr/>
        <w:spacing w:line="24" w:lineRule="atLeast"/>
        <w:ind w:firstLine="709"/>
        <w:jc w:val="right"/>
        <w:rPr>
          <w:b/>
          <w:lang w:val="ru-RU"/>
        </w:rPr>
      </w:pPr>
      <w:r>
        <w:rPr>
          <w:b/>
          <w:lang w:val="ru-RU"/>
        </w:rPr>
        <w:t xml:space="preserve">Таблица 2. Перечень и объем оказываемых услуг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921"/>
        <w:pBdr/>
        <w:spacing w:after="0" w:before="0"/>
        <w:ind/>
        <w:rPr>
          <w:rFonts w:ascii="Times New Roman" w:hAnsi="Times New Roman"/>
          <w:bCs w:val="0"/>
          <w:i w:val="0"/>
          <w:color w:val="000000"/>
          <w:lang w:val="ru-RU"/>
        </w:rPr>
      </w:pP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bCs w:val="0"/>
          <w:i w:val="0"/>
          <w:color w:val="000000"/>
          <w:lang w:val="ru-RU"/>
        </w:rPr>
      </w:r>
    </w:p>
    <w:tbl>
      <w:tblPr>
        <w:tblStyle w:val="1155"/>
        <w:tblpPr w:horzAnchor="margin" w:tblpXSpec="left" w:vertAnchor="text" w:tblpY="145" w:leftFromText="180" w:topFromText="0" w:rightFromText="180" w:bottomFromText="0"/>
        <w:tblW w:w="15021" w:type="dxa"/>
        <w:tblBorders/>
        <w:tblLayout w:type="fixed"/>
        <w:tblLook w:val="04A0" w:firstRow="1" w:lastRow="0" w:firstColumn="1" w:lastColumn="0" w:noHBand="0" w:noVBand="1"/>
      </w:tblPr>
      <w:tblGrid>
        <w:gridCol w:w="896"/>
        <w:gridCol w:w="6403"/>
        <w:gridCol w:w="1161"/>
        <w:gridCol w:w="2040"/>
        <w:gridCol w:w="2647"/>
        <w:gridCol w:w="1874"/>
      </w:tblGrid>
      <w:tr>
        <w:trPr>
          <w:trHeight w:val="77"/>
        </w:trPr>
        <w:tc>
          <w:tcPr>
            <w:tcBorders/>
            <w:tcW w:w="896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№ п/п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6403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Наименование оборудования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161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Рег. №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040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Параметры рабочей среды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647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Вид работ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874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Примечание 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>
                <w:lang w:val="ru-RU"/>
              </w:rPr>
            </w:pPr>
            <w:r>
              <w:rPr>
                <w:lang w:val="ru-RU"/>
              </w:rPr>
              <w:t xml:space="preserve">Паропровод от задвижек РОУ до задвижек теплообменников сетевой воды, до задвижек паропровода выхлопного пара турбин, до задвижки паропровода деаэраторов. L=12 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32Я         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vertAlign w:val="baseline"/>
              </w:rPr>
            </w:pP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vertAlign w:val="baseline"/>
              </w:rPr>
            </w:r>
            <w:r>
              <w:rPr>
                <w:vertAlign w:val="baseline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>
                <w:lang w:val="ru-RU"/>
              </w:rPr>
            </w:pPr>
            <w:r>
              <w:rPr>
                <w:lang w:val="ru-RU"/>
              </w:rPr>
              <w:t xml:space="preserve">Паропровод </w:t>
            </w:r>
            <w:r>
              <w:rPr>
                <w:lang w:val="ru-RU"/>
              </w:rPr>
              <w:t xml:space="preserve">от главной задвижки котла КЕ-35-24-350 ВЦКС(5). L=12 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33Я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расходомера задвижек сдвоенного паропровода </w:t>
            </w:r>
            <w:r>
              <w:rPr>
                <w:lang w:val="ru-RU"/>
              </w:rPr>
              <w:t xml:space="preserve">котла КЕ-35-24-350 ВЦКС(4)</w:t>
            </w:r>
            <w:r>
              <w:rPr>
                <w:lang w:val="ru-RU"/>
              </w:rPr>
              <w:t xml:space="preserve">. L=12 м.</w:t>
            </w:r>
            <w:r/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34Я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</w:t>
            </w:r>
            <w:r>
              <w:rPr>
                <w:lang w:val="ru-RU"/>
              </w:rPr>
              <w:t xml:space="preserve">аропровод от расходомера задвижек сдвоенного паропровода </w:t>
            </w:r>
            <w:r>
              <w:rPr>
                <w:lang w:val="ru-RU"/>
              </w:rPr>
              <w:t xml:space="preserve">котла КЕ-35-24-350 ВЦКС(5)</w:t>
            </w:r>
            <w:r>
              <w:rPr>
                <w:lang w:val="ru-RU"/>
              </w:rPr>
              <w:t xml:space="preserve">. L=12 м.</w:t>
            </w:r>
            <w:r/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35Я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</w:t>
            </w:r>
            <w:r>
              <w:rPr>
                <w:lang w:val="ru-RU"/>
              </w:rPr>
              <w:t xml:space="preserve">аропровод от главной задвижки </w:t>
            </w:r>
            <w:r>
              <w:rPr>
                <w:lang w:val="ru-RU"/>
              </w:rPr>
              <w:t xml:space="preserve">котла КЕ-35-24-350 ВЦКС(4)</w:t>
            </w:r>
            <w:r>
              <w:rPr>
                <w:lang w:val="ru-RU"/>
              </w:rPr>
              <w:t xml:space="preserve">. L=63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36Я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задвижек сдвоенного паропровода задвижек РОУ </w:t>
            </w:r>
            <w:r>
              <w:rPr>
                <w:lang w:val="ru-RU"/>
              </w:rPr>
              <w:t xml:space="preserve">котла КЕ-35-24-350 ВЦКС(4,5)</w:t>
            </w:r>
            <w:r>
              <w:rPr>
                <w:lang w:val="ru-RU"/>
              </w:rPr>
              <w:t xml:space="preserve">. L=55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37Я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Редукционно-охладительная установка (РОУ) №3Н-55-1 </w:t>
            </w:r>
            <w:r>
              <w:rPr>
                <w:lang w:val="ru-RU"/>
              </w:rPr>
              <w:t xml:space="preserve">котла КЕ-35-24-350 ВЦКС(4,5)</w:t>
            </w:r>
            <w:r>
              <w:rPr>
                <w:lang w:val="ru-RU"/>
              </w:rPr>
              <w:t xml:space="preserve">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38Я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Редукционно-охладительная установка (РОУ) №3Н-55-2 </w:t>
            </w:r>
            <w:r>
              <w:rPr>
                <w:lang w:val="ru-RU"/>
              </w:rPr>
              <w:t xml:space="preserve">котла КЕ-35-24-350 ВЦКС(4,5)</w:t>
            </w:r>
            <w:r>
              <w:rPr>
                <w:lang w:val="ru-RU"/>
              </w:rPr>
              <w:t xml:space="preserve">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39Я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>
                <w:lang w:val="ru-RU"/>
              </w:rPr>
            </w:pPr>
            <w:r>
              <w:rPr>
                <w:lang w:val="ru-RU"/>
              </w:rPr>
              <w:t xml:space="preserve">Паропровод от паровой конденсационной турбины №3 до задвижки Ду400 (для отвода пара от паровой турбины на РОУ)</w:t>
            </w:r>
            <w:r>
              <w:rPr>
                <w:lang w:val="ru-RU"/>
              </w:rPr>
              <w:t xml:space="preserve">. L=11,5 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40Я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>
                <w:lang w:val="ru-RU"/>
              </w:rPr>
            </w:pPr>
            <w:r>
              <w:rPr>
                <w:lang w:val="ru-RU"/>
              </w:rPr>
              <w:t xml:space="preserve">Паропровод от паровой конденсационной турбины №2 до Задвижки Ду400 (для отвода пара от паровой турбины на РОУ)</w:t>
            </w:r>
            <w:r>
              <w:rPr>
                <w:lang w:val="ru-RU"/>
              </w:rPr>
              <w:t xml:space="preserve">. L=11,5 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41Я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141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вспомогательный от задвижек Ду150 до паровой конденсационной турбины </w:t>
            </w:r>
            <w:r>
              <w:rPr>
                <w:lang w:val="ru-RU"/>
              </w:rPr>
              <w:t xml:space="preserve">№1 (для отвода от паровой турбины в деараторы)</w:t>
            </w:r>
            <w:r>
              <w:rPr>
                <w:lang w:val="ru-RU"/>
              </w:rPr>
              <w:t xml:space="preserve">. L=10,5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42Я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задвижек Ду200 деараторов до задвижек Ду 150 вспомогательного </w:t>
            </w:r>
            <w:r>
              <w:rPr>
                <w:lang w:val="ru-RU"/>
              </w:rPr>
              <w:t xml:space="preserve">трубопровода турбин № 1,2 (для отвода пара от паровой турбины в деараторы)</w:t>
            </w:r>
            <w:r>
              <w:rPr>
                <w:lang w:val="ru-RU"/>
              </w:rPr>
              <w:t xml:space="preserve">. L=17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43Я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85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паровой противодавленческой турбины №3 до задвижки Ду500 (для </w:t>
            </w:r>
            <w:r>
              <w:rPr>
                <w:lang w:val="ru-RU"/>
              </w:rPr>
              <w:t xml:space="preserve">отвода пара от паровой турбины на РОУ)</w:t>
            </w:r>
            <w:r>
              <w:rPr>
                <w:lang w:val="ru-RU"/>
              </w:rPr>
              <w:t xml:space="preserve">. L=21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44Я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для фланцевого соединения Ду500 до Ду400 конденсационной турбины </w:t>
            </w:r>
            <w:r>
              <w:rPr>
                <w:lang w:val="ru-RU"/>
              </w:rPr>
              <w:t xml:space="preserve">№2 (для отвода пара от паровой турбины на РОУ)</w:t>
            </w:r>
            <w:r>
              <w:rPr>
                <w:lang w:val="ru-RU"/>
              </w:rPr>
              <w:t xml:space="preserve">. L=12 м.</w:t>
            </w:r>
            <w:r/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45Я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для фланцевого соединения Ду500 до задвижки Ду400 конденсационной </w:t>
            </w:r>
            <w:r>
              <w:rPr>
                <w:lang w:val="ru-RU"/>
              </w:rPr>
              <w:t xml:space="preserve">турбины №1 (для отвода пара от паровой турбины на РОУ)</w:t>
            </w:r>
            <w:r>
              <w:rPr>
                <w:lang w:val="ru-RU"/>
              </w:rPr>
              <w:t xml:space="preserve">. L=16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46Я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16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вспомогательный от задвижки Ду 150 до паровой конденсационной </w:t>
            </w:r>
            <w:r>
              <w:rPr>
                <w:lang w:val="ru-RU"/>
              </w:rPr>
              <w:t xml:space="preserve">турбины №2 (для отвода пара от паровой турбины в деараторы)</w:t>
            </w:r>
            <w:r>
              <w:rPr>
                <w:lang w:val="ru-RU"/>
              </w:rPr>
              <w:t xml:space="preserve">. L=56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47Я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вспомогательный от задвижки Ду150 до паровой конденсационной </w:t>
            </w:r>
            <w:r>
              <w:rPr>
                <w:lang w:val="ru-RU"/>
              </w:rPr>
              <w:t xml:space="preserve">турбины №1 (для отвода пара от паровой турбины в деараторы)</w:t>
            </w:r>
            <w:r>
              <w:rPr>
                <w:lang w:val="ru-RU"/>
              </w:rPr>
              <w:t xml:space="preserve">. L=62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48Я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Р=0,12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=120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18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парового сита до турбины №3 (для подачи пара от паровых котловдо </w:t>
            </w:r>
            <w:r>
              <w:rPr>
                <w:lang w:val="ru-RU"/>
              </w:rPr>
              <w:t xml:space="preserve">паровой турбины)</w:t>
            </w:r>
            <w:r>
              <w:rPr>
                <w:lang w:val="ru-RU"/>
              </w:rPr>
              <w:t xml:space="preserve">. L=65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49Я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19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парового сита до турбины №2 (для подачи пара от паровых котлов до </w:t>
            </w:r>
            <w:r>
              <w:rPr>
                <w:lang w:val="ru-RU"/>
              </w:rPr>
              <w:t xml:space="preserve">паровой турбины)</w:t>
            </w:r>
            <w:r>
              <w:rPr>
                <w:lang w:val="ru-RU"/>
              </w:rPr>
              <w:t xml:space="preserve">. L=80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50Я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парового сита до турбины №1 (для подачи пара от паровых котлов до </w:t>
            </w:r>
            <w:r>
              <w:rPr>
                <w:lang w:val="ru-RU"/>
              </w:rPr>
              <w:t xml:space="preserve">паровой турбины)</w:t>
            </w:r>
            <w:r>
              <w:rPr>
                <w:lang w:val="ru-RU"/>
              </w:rPr>
              <w:t xml:space="preserve">. L=9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51Я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ГПЗ до парового сита турбины №3 (для подачи пара от паровых котлов </w:t>
            </w:r>
            <w:r>
              <w:rPr>
                <w:lang w:val="ru-RU"/>
              </w:rPr>
              <w:t xml:space="preserve">до паровой турбины)</w:t>
            </w:r>
            <w:r>
              <w:rPr>
                <w:lang w:val="ru-RU"/>
              </w:rPr>
              <w:t xml:space="preserve">. L=7,5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52Я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397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ГПЗ до парового сита турбины №2 (для подачи пара от паровых котлов </w:t>
            </w:r>
            <w:r>
              <w:rPr>
                <w:lang w:val="ru-RU"/>
              </w:rPr>
              <w:t xml:space="preserve">до паровой турбины)</w:t>
            </w:r>
            <w:r>
              <w:rPr>
                <w:lang w:val="ru-RU"/>
              </w:rPr>
              <w:t xml:space="preserve">. L=7,5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53Я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817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ГПЗ до парового сита турбины №1 (для подачи пара от паровых котлов </w:t>
            </w:r>
            <w:r>
              <w:rPr>
                <w:lang w:val="ru-RU"/>
              </w:rPr>
              <w:t xml:space="preserve">до паровой турбины)</w:t>
            </w:r>
            <w:r>
              <w:rPr>
                <w:lang w:val="ru-RU"/>
              </w:rPr>
              <w:t xml:space="preserve">. L=8,2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54Я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0"/>
        </w:trPr>
        <w:tc>
          <w:tcPr>
            <w:tcBorders/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4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rPr/>
            </w:pPr>
            <w:r>
              <w:rPr>
                <w:lang w:val="ru-RU"/>
              </w:rPr>
              <w:t xml:space="preserve">Паропровод от фланцев Ду300 сдвоенного паропровода котлоагрегатов до ГПЗ </w:t>
            </w:r>
            <w:r>
              <w:rPr>
                <w:lang w:val="ru-RU"/>
              </w:rPr>
              <w:t xml:space="preserve">паровых турбины №1,2,3 (для подачи пара от паровых котлов до паровой турбины)</w:t>
            </w:r>
            <w:r>
              <w:rPr>
                <w:lang w:val="ru-RU"/>
              </w:rPr>
              <w:t xml:space="preserve">. L=100 м.</w:t>
            </w:r>
            <w:r>
              <w:rPr>
                <w:lang w:val="ru-RU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16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55Я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Пар, Р=2,4 Мпа, Т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=350 </w:t>
            </w:r>
            <w:r>
              <w:rPr>
                <w:vertAlign w:val="superscript"/>
                <w:lang w:val="ru-RU"/>
              </w:rPr>
              <w:t xml:space="preserve">0</w:t>
            </w:r>
            <w:r>
              <w:rPr>
                <w:vertAlign w:val="baseline"/>
                <w:lang w:val="ru-RU"/>
              </w:rPr>
              <w:t xml:space="preserve">С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64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ТО и разработка (актуализация) паспорта оборудования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87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" w:lineRule="atLeast"/>
              <w:ind/>
              <w:contextualSpacing w:val="true"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921"/>
        <w:pBdr/>
        <w:spacing w:after="0" w:before="0"/>
        <w:ind/>
        <w:rPr>
          <w:rFonts w:ascii="Times New Roman" w:hAnsi="Times New Roman"/>
          <w:bCs w:val="0"/>
          <w:i w:val="0"/>
          <w:color w:val="000000"/>
          <w:lang w:val="ru-RU"/>
        </w:rPr>
        <w:sectPr>
          <w:footnotePr/>
          <w:endnotePr/>
          <w:type w:val="nextPage"/>
          <w:pgSz w:h="11906" w:orient="landscape" w:w="16838"/>
          <w:pgMar w:top="1418" w:right="1134" w:bottom="851" w:left="1134" w:header="709" w:footer="709" w:gutter="0"/>
          <w:cols w:num="1" w:sep="0" w:space="1701" w:equalWidth="1"/>
          <w:titlePg/>
        </w:sectPr>
      </w:pP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i w:val="0"/>
          <w:color w:val="000000"/>
          <w:lang w:val="ru-RU"/>
        </w:rPr>
      </w:r>
      <w:r>
        <w:rPr>
          <w:rFonts w:ascii="Times New Roman" w:hAnsi="Times New Roman"/>
          <w:bCs w:val="0"/>
          <w:i w:val="0"/>
          <w:color w:val="000000"/>
          <w:lang w:val="ru-RU"/>
        </w:rPr>
      </w:r>
    </w:p>
    <w:p>
      <w:pPr>
        <w:pStyle w:val="920"/>
        <w:numPr>
          <w:ilvl w:val="0"/>
          <w:numId w:val="0"/>
        </w:numPr>
        <w:pBdr/>
        <w:spacing/>
        <w:ind w:firstLine="0" w:left="0"/>
        <w:rPr>
          <w:b/>
          <w:bCs/>
        </w:rPr>
      </w:pPr>
      <w:r>
        <w:rPr>
          <w:b/>
          <w:bCs/>
        </w:rPr>
      </w:r>
      <w:bookmarkStart w:id="13" w:name="_Toc54643706"/>
      <w:r>
        <w:rPr>
          <w:b/>
          <w:bCs/>
        </w:rPr>
      </w:r>
      <w:bookmarkStart w:id="14" w:name="_Toc51339696"/>
      <w:r>
        <w:rPr>
          <w:b/>
          <w:bCs/>
          <w:lang w:val="ru-RU"/>
        </w:rPr>
        <w:t xml:space="preserve">2.1.2. Требования </w:t>
      </w:r>
      <w:bookmarkEnd w:id="14"/>
      <w:r>
        <w:rPr>
          <w:b/>
          <w:bCs/>
          <w:lang w:val="ru-RU"/>
        </w:rPr>
        <w:t xml:space="preserve">к срокам оказания услуг</w:t>
      </w:r>
      <w:bookmarkEnd w:id="13"/>
      <w:r>
        <w:rPr>
          <w:b/>
          <w:bCs/>
        </w:rPr>
      </w:r>
      <w:r>
        <w:rPr>
          <w:b/>
          <w:bCs/>
        </w:rPr>
      </w:r>
    </w:p>
    <w:p>
      <w:pPr>
        <w:pStyle w:val="918"/>
        <w:keepLines w:val="true"/>
        <w:pBdr/>
        <w:tabs>
          <w:tab w:val="clear" w:leader="none" w:pos="0"/>
        </w:tabs>
        <w:spacing w:after="60" w:before="240"/>
        <w:ind w:firstLine="0" w:left="0"/>
        <w:jc w:val="right"/>
        <w:rPr>
          <w:sz w:val="24"/>
          <w:szCs w:val="24"/>
          <w:lang w:val="ru-RU"/>
        </w:rPr>
      </w:pPr>
      <w:r/>
      <w:bookmarkStart w:id="15" w:name="_Toc54643707"/>
      <w:r/>
      <w:bookmarkStart w:id="16" w:name="_Toc50125127"/>
      <w:r/>
      <w:bookmarkStart w:id="17" w:name="_Toc51339697"/>
      <w:r/>
      <w:bookmarkStart w:id="18" w:name="_Toc501251261"/>
      <w:r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</w:rPr>
        <w:t xml:space="preserve"> срокам </w:t>
      </w:r>
      <w:bookmarkEnd w:id="16"/>
      <w:r/>
      <w:bookmarkEnd w:id="17"/>
      <w:r/>
      <w:bookmarkEnd w:id="19"/>
      <w:r>
        <w:rPr>
          <w:sz w:val="24"/>
          <w:szCs w:val="24"/>
          <w:lang w:val="ru-RU"/>
        </w:rPr>
        <w:t xml:space="preserve">оказания услуг</w:t>
      </w:r>
      <w:bookmarkEnd w:id="15"/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tbl>
      <w:tblPr>
        <w:tblW w:w="9776" w:type="dxa"/>
        <w:tblInd w:w="226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37"/>
        <w:gridCol w:w="3508"/>
        <w:gridCol w:w="2835"/>
        <w:gridCol w:w="2695"/>
      </w:tblGrid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vAlign w:val="center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8" w:type="dxa"/>
            <w:vAlign w:val="center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8" w:type="dxa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" w:type="dxa"/>
            <w:textDirection w:val="lrTb"/>
            <w:noWrap w:val="false"/>
          </w:tcPr>
          <w:p>
            <w:pPr>
              <w:pStyle w:val="1005"/>
              <w:widowControl w:val="false"/>
              <w:numPr>
                <w:ilvl w:val="0"/>
                <w:numId w:val="35"/>
              </w:num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8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 xml:space="preserve">Техническое освидетельствование и разработка (актуализация) паспортов паропроводов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С даты подписания настоящего Договора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pStyle w:val="917"/>
              <w:widowControl w:val="false"/>
              <w:pBdr/>
              <w:spacing/>
              <w:ind/>
              <w:jc w:val="center"/>
              <w:rPr>
                <w:color w:val="000000"/>
              </w:rPr>
            </w:pPr>
            <w:r/>
            <w:bookmarkStart w:id="20" w:name="_Toc46743510"/>
            <w:r/>
            <w:bookmarkEnd w:id="20"/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01.11.202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7 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/>
        <w:shd w:val="nil" w:color="000000"/>
        <w:spacing/>
        <w:ind/>
        <w:rPr>
          <w:rFonts w:ascii="Times New Roman" w:hAnsi="Times New Roman"/>
          <w:bCs w:val="0"/>
          <w:i w:val="0"/>
          <w:color w:val="000000"/>
          <w:lang w:val="ru-RU"/>
        </w:rPr>
      </w:pPr>
      <w:r>
        <w:rPr>
          <w:rFonts w:ascii="Times New Roman" w:hAnsi="Times New Roman"/>
          <w:bCs w:val="0"/>
          <w:i w:val="0"/>
          <w:color w:val="000000"/>
          <w:lang w:val="ru-RU"/>
        </w:rPr>
      </w:r>
      <w:r>
        <w:rPr>
          <w:rFonts w:ascii="Times New Roman" w:hAnsi="Times New Roman"/>
          <w:bCs w:val="0"/>
          <w:i w:val="0"/>
          <w:color w:val="000000"/>
          <w:lang w:val="ru-RU"/>
        </w:rPr>
      </w:r>
      <w:r>
        <w:rPr>
          <w:rFonts w:ascii="Times New Roman" w:hAnsi="Times New Roman"/>
          <w:bCs w:val="0"/>
          <w:i w:val="0"/>
          <w:color w:val="000000"/>
          <w:lang w:val="ru-RU"/>
        </w:rPr>
      </w:r>
    </w:p>
    <w:p>
      <w:pPr>
        <w:pStyle w:val="919"/>
        <w:pBdr/>
        <w:spacing/>
        <w:ind/>
        <w:rPr>
          <w:highlight w:val="none"/>
          <w:lang w:val="ru-RU"/>
        </w:rPr>
      </w:pPr>
      <w:r/>
      <w:bookmarkStart w:id="6" w:name="_Toc6"/>
      <w:r>
        <w:rPr>
          <w:color w:val="000000"/>
          <w:lang w:val="ru-RU"/>
        </w:rPr>
        <w:t xml:space="preserve">1.5 Иные требования и сведения общего характера</w:t>
      </w:r>
      <w:bookmarkEnd w:id="6"/>
      <w:r>
        <w:rPr>
          <w:lang w:val="ru-RU"/>
        </w:rPr>
      </w:r>
      <w:r>
        <w:rPr>
          <w:highlight w:val="none"/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Специализированная организация, проводящая ТО объекта должна иметь: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</w:rPr>
        <w:t xml:space="preserve"></w:t>
      </w:r>
      <w:r>
        <w:rPr>
          <w:color w:val="000000"/>
          <w:lang w:val="ru-RU"/>
        </w:rPr>
        <w:t xml:space="preserve">действующую лицензию, выданную федеральной службой по экологическому, технологическому и атомному надзору на осуществление деятельности по проведению ТО и переоформленную в соответствии с</w:t>
      </w:r>
      <w:r>
        <w:rPr>
          <w:color w:val="000000"/>
          <w:lang w:val="ru-RU"/>
        </w:rPr>
        <w:t xml:space="preserve"> требованиями п. 6.1. ст.22 ФЗ №99 от 04.05.2011 «О лицензировании отдельных видов </w:t>
      </w:r>
      <w:r>
        <w:rPr>
          <w:color w:val="000000"/>
          <w:lang w:val="ru-RU"/>
        </w:rPr>
        <w:t xml:space="preserve">деятельности» на проведение ТО </w:t>
      </w:r>
      <w:r>
        <w:rPr>
          <w:color w:val="000000"/>
          <w:lang w:val="ru-RU"/>
        </w:rPr>
        <w:t xml:space="preserve">технических устройств, эксплуатируемых на ОПО»;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</w:rPr>
        <w:t xml:space="preserve"></w:t>
      </w:r>
      <w:r>
        <w:rPr>
          <w:color w:val="000000"/>
          <w:lang w:val="ru-RU"/>
        </w:rPr>
        <w:t xml:space="preserve">в своем составе или на основании Договора подразделения (лабораторию) неразрушающего контрол</w:t>
      </w:r>
      <w:r>
        <w:rPr>
          <w:color w:val="000000"/>
          <w:lang w:val="ru-RU"/>
        </w:rPr>
        <w:t xml:space="preserve">я (далее – НК), аттестованные в соответствии с СДАНК-01-2020 «Правила аттестации и основные требования к лабораториям неразрушающего контроля» (приняты решением наблюдательного совета единой системы оценки соответствия в области промышленной, экологической</w:t>
      </w:r>
      <w:r>
        <w:rPr>
          <w:color w:val="000000"/>
          <w:lang w:val="ru-RU"/>
        </w:rPr>
        <w:t xml:space="preserve"> безопасности, безопасности в энергетике и строительстве от 29.12.2020 № 99-БНС)», утвержденными приказом Ростехнадзора от 1 декабря 2020 года </w:t>
      </w:r>
      <w:r>
        <w:rPr>
          <w:color w:val="000000"/>
        </w:rPr>
        <w:t xml:space="preserve">N</w:t>
      </w:r>
      <w:r>
        <w:rPr>
          <w:color w:val="000000"/>
          <w:lang w:val="ru-RU"/>
        </w:rPr>
        <w:t xml:space="preserve"> 478, и располагающие на правах собственности или иных законных основаниях необходимыми для проведения техническ</w:t>
      </w:r>
      <w:r>
        <w:rPr>
          <w:color w:val="000000"/>
          <w:lang w:val="ru-RU"/>
        </w:rPr>
        <w:t xml:space="preserve">ого освидетельствования конкретных видов (типов) объектов котлонадзора комплектом измерительных, диагностических приборов и устройств;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</w:rPr>
        <w:t xml:space="preserve"></w:t>
      </w:r>
      <w:r>
        <w:rPr>
          <w:color w:val="000000"/>
          <w:lang w:val="ru-RU"/>
        </w:rPr>
        <w:t xml:space="preserve">э</w:t>
      </w:r>
      <w:r>
        <w:rPr>
          <w:color w:val="000000"/>
          <w:lang w:val="ru-RU"/>
        </w:rPr>
        <w:t xml:space="preserve">кспертов, прошедших аттестацию в соответствии с положением об аттестации экспертов в области промышленной безопасности, утвержденным постановлением правительства Российской Федерации от 02.06.2022 г. №1009. Эксперт, проводивший ЭПБ перечисленных технически</w:t>
      </w:r>
      <w:r>
        <w:rPr>
          <w:color w:val="000000"/>
          <w:lang w:val="ru-RU"/>
        </w:rPr>
        <w:t xml:space="preserve">х устройств, должен соответствовать следующим требованиям: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1.</w:t>
      </w:r>
      <w:r>
        <w:rPr>
          <w:color w:val="000000"/>
          <w:lang w:val="ru-RU"/>
        </w:rPr>
        <w:tab/>
        <w:t xml:space="preserve">быть аттестованным в области промышленной безопасности по областям аттестации Э7ТУ и Э12ТУ, установленным Приказом Ростехнадзора от 31.08.2022 № 287;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2.</w:t>
      </w:r>
      <w:r>
        <w:rPr>
          <w:color w:val="000000"/>
          <w:lang w:val="ru-RU"/>
        </w:rPr>
        <w:tab/>
        <w:t xml:space="preserve">знать законодательные акты, нормативно-пр</w:t>
      </w:r>
      <w:r>
        <w:rPr>
          <w:color w:val="000000"/>
          <w:lang w:val="ru-RU"/>
        </w:rPr>
        <w:t xml:space="preserve">авовые акты Российской Федерации, технические документы по вопросам экспертизы промышленной безопасности опасных производственных объектов, связанных с объектами экспертизы, используемых средств измерений, испытательного оборудования, методов технического </w:t>
      </w:r>
      <w:r>
        <w:rPr>
          <w:color w:val="000000"/>
          <w:lang w:val="ru-RU"/>
        </w:rPr>
        <w:t xml:space="preserve">диагностирования технических устройств.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Заверенные копии лицензии и удостоверений об аттестации экспертов должны быть предоставлены Заказчику до начала проведения работ совместно с приказом руководителя организации (Подрядчика) о назначении руководителя ра</w:t>
      </w:r>
      <w:r>
        <w:rPr>
          <w:color w:val="000000"/>
          <w:lang w:val="ru-RU"/>
        </w:rPr>
        <w:t xml:space="preserve">бот и определения экспертной группы.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Кроме этого к исполнителю предъявляются следующие требования: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lang w:val="ru-RU"/>
        </w:rPr>
      </w:pPr>
      <w:r>
        <w:rPr>
          <w:color w:val="000000"/>
        </w:rPr>
        <w:t xml:space="preserve"></w:t>
      </w:r>
      <w:r>
        <w:rPr>
          <w:color w:val="000000"/>
          <w:lang w:val="ru-RU"/>
        </w:rPr>
        <w:t xml:space="preserve">организация не должна находиться в процессе ликвидации или реорганизации, на ее имущество не должен быть наложен арест;</w:t>
      </w:r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709"/>
        <w:jc w:val="both"/>
        <w:rPr>
          <w:color w:val="000000"/>
          <w:highlight w:val="none"/>
          <w:lang w:val="ru-RU"/>
        </w:rPr>
      </w:pPr>
      <w:r>
        <w:rPr>
          <w:color w:val="000000"/>
        </w:rPr>
        <w:t xml:space="preserve"></w:t>
      </w:r>
      <w:r>
        <w:rPr>
          <w:color w:val="000000"/>
          <w:lang w:val="ru-RU"/>
        </w:rPr>
        <w:t xml:space="preserve">деятельность орган</w:t>
      </w:r>
      <w:r>
        <w:rPr>
          <w:color w:val="000000"/>
          <w:lang w:val="ru-RU"/>
        </w:rPr>
        <w:t xml:space="preserve">изации не должна быть приостановлена в порядке, предусмотренном Кодексом РФ об административных правонарушениях на день рассмотрения заявки на участие в конкурсе.</w:t>
      </w:r>
      <w:r>
        <w:rPr>
          <w:color w:val="000000"/>
          <w:highlight w:val="none"/>
          <w:lang w:val="ru-RU"/>
        </w:rPr>
      </w:r>
      <w:r>
        <w:rPr>
          <w:color w:val="000000"/>
          <w:highlight w:val="none"/>
          <w:lang w:val="ru-RU"/>
        </w:rPr>
      </w:r>
    </w:p>
    <w:p>
      <w:pPr>
        <w:pBdr/>
        <w:spacing/>
        <w:ind w:firstLine="709"/>
        <w:jc w:val="both"/>
        <w:rPr>
          <w:color w:val="000000"/>
          <w:lang w:val="ru-RU"/>
        </w:rPr>
      </w:pPr>
      <w:r>
        <w:rPr>
          <w:color w:val="000000"/>
          <w:highlight w:val="none"/>
          <w:lang w:val="ru-RU"/>
        </w:rPr>
      </w:r>
      <w:r>
        <w:rPr>
          <w:rFonts w:eastAsia="Arial Unicode MS"/>
          <w:color w:val="000000"/>
          <w:sz w:val="24"/>
          <w:szCs w:val="24"/>
        </w:rPr>
        <w:t xml:space="preserve">Допуск командированного персонала подрядной организации регламентируется «Регламентом допуска подрядных организаций и командированного персонала на объекты АО «Сахаэнерго» ИСМ РГ-00-017.03-23»;  </w:t>
      </w: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Bdr/>
        <w:spacing/>
        <w:ind w:firstLine="709"/>
        <w:jc w:val="both"/>
        <w:rPr>
          <w:lang w:val="ru-RU"/>
        </w:rPr>
        <w:sectPr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18"/>
        <w:pBdr/>
        <w:spacing/>
        <w:ind/>
        <w:rPr>
          <w:b w:val="0"/>
          <w:bCs w:val="0"/>
          <w:color w:val="000000"/>
          <w:lang w:val="ru-RU"/>
        </w:rPr>
      </w:pPr>
      <w:r/>
      <w:bookmarkStart w:id="7" w:name="_Toc7"/>
      <w:r>
        <w:rPr>
          <w:b w:val="0"/>
          <w:bCs w:val="0"/>
          <w:color w:val="000000"/>
          <w:lang w:val="ru-RU"/>
        </w:rPr>
        <w:t xml:space="preserve">2. Требования к продукции</w:t>
      </w:r>
      <w:bookmarkEnd w:id="7"/>
      <w:r>
        <w:rPr>
          <w:b w:val="0"/>
          <w:bCs w:val="0"/>
          <w:color w:val="000000"/>
          <w:lang w:val="ru-RU"/>
        </w:rPr>
      </w:r>
      <w:r>
        <w:rPr>
          <w:b w:val="0"/>
          <w:bCs w:val="0"/>
          <w:color w:val="000000"/>
          <w:lang w:val="ru-RU"/>
        </w:rPr>
      </w:r>
    </w:p>
    <w:p>
      <w:pPr>
        <w:pStyle w:val="919"/>
        <w:pBdr/>
        <w:spacing/>
        <w:ind/>
        <w:rPr>
          <w:color w:val="000000"/>
          <w:lang w:val="ru-RU"/>
        </w:rPr>
      </w:pPr>
      <w:r/>
      <w:bookmarkStart w:id="8" w:name="_Toc8"/>
      <w:r>
        <w:rPr>
          <w:color w:val="000000"/>
          <w:lang w:val="ru-RU"/>
        </w:rPr>
        <w:t xml:space="preserve">2.1 Требования к объемам и срокам выполнения работ</w:t>
      </w:r>
      <w:bookmarkEnd w:id="8"/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Style w:val="920"/>
        <w:numPr>
          <w:ilvl w:val="0"/>
          <w:numId w:val="0"/>
        </w:numPr>
        <w:pBdr/>
        <w:spacing/>
        <w:ind/>
        <w:rPr>
          <w:lang w:val="ru-RU"/>
        </w:rPr>
      </w:pPr>
      <w:r/>
      <w:bookmarkStart w:id="9" w:name="_Toc9"/>
      <w:r>
        <w:rPr>
          <w:lang w:val="ru-RU"/>
        </w:rPr>
        <w:t xml:space="preserve">2.1.1 </w:t>
      </w:r>
      <w:r>
        <w:rPr>
          <w:lang w:val="ru-RU"/>
        </w:rPr>
        <w:t xml:space="preserve">Требования к видам и объемам работ</w:t>
      </w:r>
      <w:bookmarkEnd w:id="9"/>
      <w:r>
        <w:rPr>
          <w:lang w:val="ru-RU"/>
        </w:rPr>
      </w:r>
      <w:r>
        <w:rPr>
          <w:lang w:val="ru-RU"/>
        </w:rPr>
      </w:r>
    </w:p>
    <w:p>
      <w:pPr>
        <w:pBdr/>
        <w:spacing/>
        <w:ind w:firstLine="567"/>
        <w:jc w:val="right"/>
        <w:rPr>
          <w:lang w:val="ru-RU"/>
        </w:rPr>
      </w:pPr>
      <w:r>
        <w:rPr>
          <w:lang w:val="ru-RU"/>
        </w:rPr>
        <w:t xml:space="preserve">Таблица 2. Перечень и объем выполняемых работа</w:t>
      </w:r>
      <w:r>
        <w:rPr>
          <w:lang w:val="ru-RU"/>
        </w:rPr>
      </w:r>
      <w:r>
        <w:rPr>
          <w:lang w:val="ru-RU"/>
        </w:rPr>
      </w:r>
    </w:p>
    <w:tbl>
      <w:tblPr>
        <w:tblW w:w="147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14285"/>
      </w:tblGrid>
      <w:tr>
        <w:trPr>
          <w:trHeight w:val="50"/>
        </w:trPr>
        <w:tc>
          <w:tcPr>
            <w:tcBorders/>
            <w:tcW w:w="455" w:type="dxa"/>
            <w:vAlign w:val="center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№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vAlign w:val="center"/>
            <w:textDirection w:val="lrTb"/>
            <w:noWrap w:val="false"/>
          </w:tcPr>
          <w:p>
            <w:pPr>
              <w:keepNext w:val="true"/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Наименование этапов работ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50"/>
        </w:trPr>
        <w:tc>
          <w:tcPr>
            <w:tcBorders/>
            <w:tcW w:w="45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271"/>
        </w:trPr>
        <w:tc>
          <w:tcPr>
            <w:tcBorders/>
            <w:tcW w:w="45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Разработка Подрядчиком и согласование с Заказчиком «Программы проведения технического освидетельствования </w:t>
            </w:r>
            <w:r>
              <w:rPr>
                <w:lang w:val="ru-RU"/>
              </w:rPr>
              <w:t xml:space="preserve">оборудований, технических устройств работающих под избыточным давлением применяемых на ТЭЦ АО "Сахаэнерго</w:t>
            </w:r>
            <w:r>
              <w:rPr>
                <w:lang w:val="ru-RU"/>
              </w:rPr>
              <w:t xml:space="preserve">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271"/>
        </w:trPr>
        <w:tc>
          <w:tcPr>
            <w:tcBorders/>
            <w:tcW w:w="45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textDirection w:val="lrTb"/>
            <w:noWrap w:val="false"/>
          </w:tcPr>
          <w:p>
            <w:pPr>
              <w:pBdr/>
              <w:tabs>
                <w:tab w:val="left" w:leader="none" w:pos="447"/>
              </w:tabs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Проведение технического освидетельствования (ТО) технических устройств: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1. При проведении ТО на технические устройства выполняются следующие ви</w:t>
            </w:r>
            <w:r>
              <w:rPr>
                <w:lang w:val="ru-RU"/>
              </w:rPr>
              <w:t xml:space="preserve">ды работ: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1.1. Анализ технической и эксплуатационной документации на техническое устройство, анализ ранее выполненных обследований и испытаний;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highlight w:val="none"/>
                <w:lang w:val="ru-RU"/>
              </w:rPr>
            </w:pPr>
            <w:r>
              <w:rPr>
                <w:lang w:val="ru-RU"/>
              </w:rPr>
              <w:t xml:space="preserve">1.2. Наружный осмотр;</w:t>
            </w:r>
            <w:r>
              <w:rPr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lang w:val="ru-RU"/>
              </w:rPr>
            </w:pPr>
            <w:r>
              <w:rPr>
                <w:highlight w:val="none"/>
                <w:lang w:val="ru-RU"/>
              </w:rPr>
              <w:t xml:space="preserve">1.3. </w:t>
            </w:r>
            <w:r>
              <w:rPr>
                <w:lang w:val="ru-RU"/>
              </w:rPr>
              <w:t xml:space="preserve">Испытания на прочность и герметичность</w:t>
            </w:r>
            <w:r>
              <w:rPr>
                <w:highlight w:val="none"/>
                <w:lang w:val="ru-RU"/>
              </w:rPr>
              <w:t xml:space="preserve">, проведение гидравлического  испытания;</w:t>
            </w:r>
            <w:r>
              <w:rPr>
                <w:highlight w:val="none"/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1.4. Оценка фактического состояния технического устройс</w:t>
            </w:r>
            <w:r>
              <w:rPr>
                <w:lang w:val="ru-RU"/>
              </w:rPr>
              <w:t xml:space="preserve">тва путем проведения неразрушающего контроля и ТО;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highlight w:val="none"/>
                <w:lang w:val="ru-RU"/>
              </w:rPr>
            </w:pPr>
            <w:r>
              <w:rPr>
                <w:lang w:val="ru-RU"/>
              </w:rPr>
              <w:t xml:space="preserve">1.5. Анализ результатов контроля (и исследований);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Bdr/>
              <w:tabs>
                <w:tab w:val="left" w:leader="none" w:pos="447"/>
              </w:tabs>
              <w:spacing/>
              <w:ind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  <w:t xml:space="preserve">1.6. Проверка вспомогательных элементов (арматура, дренажные устройства и т.д.)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Bdr/>
              <w:tabs>
                <w:tab w:val="left" w:leader="none" w:pos="459"/>
              </w:tabs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1.6. Выдача рекомендаций по ремонту.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1982"/>
        </w:trPr>
        <w:tc>
          <w:tcPr>
            <w:tcBorders/>
            <w:tcW w:w="45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textDirection w:val="lrTb"/>
            <w:noWrap w:val="false"/>
          </w:tcPr>
          <w:p>
            <w:pPr>
              <w:pBdr/>
              <w:tabs>
                <w:tab w:val="left" w:leader="none" w:pos="459"/>
              </w:tabs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1. Внесение записей в паспорта технических устройств о проведении технического освидетельствования (ТО) (с указанием сроков проведения следующих ТО</w:t>
            </w:r>
            <w:r>
              <w:rPr>
                <w:lang w:val="ru-RU"/>
              </w:rPr>
              <w:t xml:space="preserve">);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59"/>
              </w:tabs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Подготовка и передача Заказчику Заключений технического освидетельствования (ТО) на каждое техническое устройство (согласно Перечня в таблице №1) с указанием остаточного ресурса, условий дальнейше</w:t>
            </w:r>
            <w:r>
              <w:rPr>
                <w:lang w:val="ru-RU"/>
              </w:rPr>
              <w:t xml:space="preserve">й эксплуатации оборудования, компенсирующих мероприятий и сроков проведения следующего ТО.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459"/>
              </w:tabs>
              <w:spacing/>
              <w:ind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3. По результатам технического освидетельствования (ТО)  техническ</w:t>
            </w:r>
            <w:r>
              <w:rPr>
                <w:lang w:val="ru-RU"/>
              </w:rPr>
              <w:t xml:space="preserve">их устро</w:t>
            </w:r>
            <w:r>
              <w:rPr>
                <w:lang w:val="ru-RU"/>
              </w:rPr>
              <w:t xml:space="preserve">йств экспертом специализированной организации должна быть внесена запись в паспорт</w:t>
            </w:r>
            <w:r>
              <w:rPr>
                <w:lang w:val="ru-RU"/>
              </w:rPr>
              <w:t xml:space="preserve"> технического устройства о проведении ТО с указанием максимальных разрешенных параметров эксплуатации (давление, температура) и сроков следующего освидетельствования.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5528"/>
        </w:trPr>
        <w:tc>
          <w:tcPr>
            <w:tcBorders/>
            <w:tcW w:w="45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285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По результатам технического освидетельствования (ТО) предоставляется технический отчёт (заключение) по каждому техническому устройству (Отчет/заключение технического освидетельствования).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Описание конечного результата выполненных работ: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Результаты работ должны быть предс</w:t>
            </w:r>
            <w:r>
              <w:rPr>
                <w:lang w:val="ru-RU"/>
              </w:rPr>
              <w:t xml:space="preserve">тавлены: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в виде технического отчёта (заключения) о проведённом техническом освидетельствования технического устройства;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в виде записи в паспорт технического устройства о проведённом техническом освидетельствовании.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Технический отчёт (заключение) о пров</w:t>
            </w:r>
            <w:r>
              <w:rPr>
                <w:lang w:val="ru-RU"/>
              </w:rPr>
              <w:t xml:space="preserve">едённом техническом освидетельствования технического устройства должно содержать: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наименование технического освидетельствования (ТО) с краткой характеристикой и назначением объекта ТО, цель проведения ТО;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дата и место проведения ТО;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вводную часть, вк</w:t>
            </w:r>
            <w:r>
              <w:rPr>
                <w:lang w:val="ru-RU"/>
              </w:rPr>
              <w:t xml:space="preserve">лючающую основание для проведения ТО, сведения об организации проводившей ТО, экспертах и наличии лицензии на право проведения ТО;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общие сведения о Заказчике и наличии лицензии на право проведения соответствующих видов деятельности;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результаты </w:t>
            </w:r>
            <w:r>
              <w:rPr>
                <w:lang w:val="ru-RU"/>
              </w:rPr>
              <w:t xml:space="preserve">проведенного ТО;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результаты проведенного неразрушающего, разрушающего контроля;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заключительную часть с обоснованными выводами, а также рекомендациями по техническим решениям и проведению компенсирующих мероприятий;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сроки проведения следующих ТО по: </w:t>
            </w:r>
            <w:r>
              <w:rPr>
                <w:lang w:val="ru-RU"/>
              </w:rPr>
              <w:t xml:space="preserve"> на</w:t>
            </w:r>
            <w:r>
              <w:rPr>
                <w:lang w:val="ru-RU"/>
              </w:rPr>
              <w:t xml:space="preserve">ружному осмотру, гидравлическому испытанию</w:t>
            </w:r>
            <w:r>
              <w:rPr>
                <w:lang w:val="ru-RU"/>
              </w:rPr>
              <w:t xml:space="preserve">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 w:firstLine="600"/>
              <w:rPr>
                <w:lang w:val="ru-RU"/>
              </w:rPr>
            </w:pPr>
            <w:r>
              <w:rPr>
                <w:lang w:val="ru-RU"/>
              </w:rPr>
              <w:t xml:space="preserve">- приложения, содержащие перечень использованной при ТО нормативной технической и методической документации, актов испытаний (при проведении их силами Исполнителя).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keepNext w:val="true"/>
        <w:pBdr/>
        <w:tabs>
          <w:tab w:val="left" w:leader="none" w:pos="567"/>
        </w:tabs>
        <w:spacing w:line="24" w:lineRule="atLeast"/>
        <w:ind/>
        <w:outlineLvl w:val="2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</w:r>
      <w:r>
        <w:rPr>
          <w:rFonts w:eastAsia="Calibri"/>
          <w:b/>
          <w:sz w:val="28"/>
          <w:szCs w:val="28"/>
          <w:lang w:val="ru-RU"/>
        </w:rPr>
      </w:r>
      <w:r>
        <w:rPr>
          <w:rFonts w:eastAsia="Calibri"/>
          <w:b/>
          <w:sz w:val="28"/>
          <w:szCs w:val="28"/>
          <w:lang w:val="ru-RU"/>
        </w:rPr>
      </w:r>
    </w:p>
    <w:p>
      <w:pPr>
        <w:pBdr/>
        <w:spacing/>
        <w:ind/>
        <w:outlineLvl w:val="2"/>
        <w:rPr>
          <w:rFonts w:eastAsia="Calibri"/>
          <w:b/>
          <w:bCs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br w:type="page" w:clear="all"/>
      </w:r>
      <w:r>
        <w:rPr>
          <w:rFonts w:eastAsia="Calibri"/>
          <w:b/>
          <w:bCs/>
          <w:sz w:val="28"/>
          <w:szCs w:val="28"/>
          <w:lang w:val="ru-RU"/>
        </w:rPr>
      </w:r>
      <w:r>
        <w:rPr>
          <w:rFonts w:eastAsia="Calibri"/>
          <w:b/>
          <w:bCs/>
          <w:sz w:val="28"/>
          <w:szCs w:val="28"/>
          <w:lang w:val="ru-RU"/>
        </w:rPr>
      </w:r>
    </w:p>
    <w:p>
      <w:pPr>
        <w:pStyle w:val="918"/>
        <w:pBdr/>
        <w:spacing/>
        <w:ind/>
        <w:rPr>
          <w:lang w:val="ru-RU"/>
        </w:rPr>
      </w:pPr>
      <w:r/>
      <w:bookmarkStart w:id="10" w:name="_Toc10"/>
      <w:r>
        <w:rPr>
          <w:lang w:val="ru-RU"/>
        </w:rPr>
        <w:t xml:space="preserve">3. Требования к срока</w:t>
      </w:r>
      <w:r>
        <w:rPr>
          <w:lang w:val="ru-RU"/>
        </w:rPr>
        <w:t xml:space="preserve">м выполнения работ</w:t>
      </w:r>
      <w:bookmarkEnd w:id="10"/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jc w:val="right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  <w:lang w:val="ru-RU"/>
        </w:rPr>
        <w:t xml:space="preserve">Таблица 3. </w:t>
      </w:r>
      <w:r>
        <w:rPr>
          <w:b/>
          <w:bCs/>
        </w:rPr>
        <w:t xml:space="preserve">Требования по срокам выполнения работ</w:t>
      </w:r>
      <w:r>
        <w:rPr>
          <w:b/>
          <w:bCs/>
        </w:rPr>
      </w:r>
      <w:r>
        <w:rPr>
          <w:b/>
          <w:bCs/>
        </w:rPr>
      </w:r>
    </w:p>
    <w:tbl>
      <w:tblPr>
        <w:tblW w:w="147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864"/>
        <w:gridCol w:w="8048"/>
      </w:tblGrid>
      <w:tr>
        <w:trPr>
          <w:trHeight w:val="50"/>
        </w:trPr>
        <w:tc>
          <w:tcPr>
            <w:shd w:val="clear" w:color="ffffff" w:fill="ffffff"/>
            <w:tcBorders/>
            <w:tcW w:w="8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№ п/п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shd w:val="clear" w:color="ffffff" w:fill="ffffff"/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Наименование работ/ этапа работ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864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Требования к началу срока выполнения работ/ этапа работ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8048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Требования к окончанию срока выполнения работ / этапа работ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  <w:tr>
        <w:trPr>
          <w:trHeight w:val="96"/>
        </w:trPr>
        <w:tc>
          <w:tcPr>
            <w:shd w:val="clear" w:color="ffffff" w:fill="ffffff"/>
            <w:tcBorders/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shd w:val="clear" w:color="ffffff" w:fill="ffffff"/>
            <w:tcBorders/>
            <w:tcW w:w="2977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2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864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 w:right="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3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8048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 w:right="5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4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  <w:tr>
        <w:trPr/>
        <w:tc>
          <w:tcPr>
            <w:shd w:val="clear" w:color="ffffff" w:fill="ffffff"/>
            <w:tcBorders/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1</w:t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shd w:val="clear" w:color="ffffff" w:fill="ffffff"/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rFonts w:eastAsia="Calibri"/>
                <w:lang w:val="ru-RU"/>
              </w:rPr>
              <w:t xml:space="preserve">ОКПД2 71.20.19.190. </w:t>
            </w:r>
            <w:r>
              <w:rPr>
                <w:rFonts w:eastAsia="Calibri"/>
                <w:lang w:val="ru-RU"/>
              </w:rPr>
              <w:t xml:space="preserve">Техническое освидетельствование (диагностирование) технических устройств ТЭЦ п. Депутатский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86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С даты подписания настоящего Договора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/>
            <w:tcW w:w="804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tabs>
                <w:tab w:val="left" w:leader="none" w:pos="1134"/>
                <w:tab w:val="left" w:leader="none" w:pos="1418"/>
              </w:tabs>
              <w:spacing/>
              <w:ind w:left="360"/>
              <w:jc w:val="center"/>
              <w:rPr>
                <w:highlight w:val="yellow"/>
              </w:rPr>
            </w:pPr>
            <w:r>
              <w:rPr>
                <w:bCs/>
                <w:highlight w:val="none"/>
                <w:lang w:val="ru-RU"/>
              </w:rPr>
              <w:t xml:space="preserve">01.11.2027 г.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</w:tbl>
    <w:p>
      <w:pPr>
        <w:pBdr/>
        <w:spacing/>
        <w:ind/>
        <w:rPr>
          <w:color w:val="000000"/>
          <w:lang w:val="ru-RU"/>
        </w:rPr>
      </w:pPr>
      <w:r>
        <w:rPr>
          <w:color w:val="000000"/>
          <w:lang w:val="ru-RU"/>
        </w:rPr>
      </w: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Bdr/>
        <w:shd w:val="nil" w:color="auto"/>
        <w:spacing/>
        <w:ind/>
        <w:rPr>
          <w:color w:val="000000"/>
          <w:lang w:val="ru-RU"/>
        </w:rPr>
      </w:pPr>
      <w:r>
        <w:rPr>
          <w:color w:val="000000"/>
          <w:highlight w:val="none"/>
          <w:lang w:val="ru-RU"/>
        </w:rPr>
        <w:br w:type="page" w:clear="all"/>
      </w: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Style w:val="919"/>
        <w:pBdr/>
        <w:spacing/>
        <w:ind/>
        <w:rPr>
          <w:color w:val="000000"/>
          <w:highlight w:val="none"/>
          <w:lang w:val="ru-RU"/>
        </w:rPr>
      </w:pPr>
      <w:r/>
      <w:bookmarkStart w:id="11" w:name="_Toc11"/>
      <w:r>
        <w:rPr>
          <w:color w:val="000000"/>
          <w:lang w:val="ru-RU"/>
        </w:rPr>
        <w:t xml:space="preserve">2.2 </w:t>
      </w:r>
      <w:r>
        <w:rPr>
          <w:color w:val="000000"/>
          <w:lang w:val="ru-RU"/>
        </w:rPr>
        <w:t xml:space="preserve">Требования к качеству продукции</w:t>
      </w:r>
      <w:bookmarkEnd w:id="11"/>
      <w:r>
        <w:rPr>
          <w:color w:val="000000"/>
          <w:highlight w:val="none"/>
          <w:lang w:val="ru-RU"/>
        </w:rPr>
      </w:r>
      <w:r>
        <w:rPr>
          <w:color w:val="000000"/>
          <w:highlight w:val="none"/>
          <w:lang w:val="ru-RU"/>
        </w:rPr>
      </w:r>
    </w:p>
    <w:p>
      <w:pPr>
        <w:pBdr/>
        <w:spacing/>
        <w:ind/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Таблица 4.Требования к качеству работ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tbl>
      <w:tblPr>
        <w:tblStyle w:val="1155"/>
        <w:tblpPr w:horzAnchor="text" w:tblpXSpec="left" w:vertAnchor="text" w:tblpY="1" w:leftFromText="180" w:topFromText="0" w:rightFromText="180" w:bottomFromText="0"/>
        <w:tblW w:w="14746" w:type="dxa"/>
        <w:tblBorders/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6803"/>
        <w:gridCol w:w="1701"/>
        <w:gridCol w:w="1417"/>
        <w:gridCol w:w="1599"/>
      </w:tblGrid>
      <w:tr>
        <w:trPr>
          <w:trHeight w:val="1006"/>
        </w:trPr>
        <w:tc>
          <w:tcPr>
            <w:tcBorders/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№ п/п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Наименование параметра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6803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Требование заказчика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gridSpan w:val="2"/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59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rPr>
          <w:trHeight w:val="276"/>
        </w:trPr>
        <w:tc>
          <w:tcPr>
            <w:tcBorders/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680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Согласие с требованием/указание характеристик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Предоставление подтверждающего документа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59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2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3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4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5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6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Требования к выполнению работ: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Общие требования к выполнению работ: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lang w:val="ru-RU"/>
              </w:rPr>
              <w:t xml:space="preserve">Общие требования к выполнению работ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lang w:val="ru-RU"/>
              </w:rPr>
              <w:t xml:space="preserve">Наличие комплекта необходимого оборудования для выполнения работ по техническому освидетельствованию</w:t>
            </w:r>
            <w:r>
              <w:rPr>
                <w:lang w:val="ru-RU"/>
              </w:rPr>
              <w:t xml:space="preserve"> техническ</w:t>
            </w:r>
            <w:r>
              <w:rPr>
                <w:lang w:val="ru-RU"/>
              </w:rPr>
              <w:t xml:space="preserve">их устро</w:t>
            </w:r>
            <w:r>
              <w:rPr>
                <w:lang w:val="ru-RU"/>
              </w:rPr>
              <w:t xml:space="preserve">йств</w:t>
            </w:r>
            <w:r>
              <w:rPr>
                <w:lang w:val="ru-RU"/>
              </w:rPr>
              <w:t xml:space="preserve">.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917"/>
              <w:widowControl w:val="tru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ar-SA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50"/>
        </w:trPr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Наличие свидетельства об аккредитации экспертной организации.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917"/>
              <w:widowControl w:val="tru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ar-SA"/>
              </w:rPr>
              <w:t xml:space="preserve">Участник закупки предоставляет копию свидетельства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Исполнитель    должен     предварительно     направить     проект     заключения по техническому освидетельствованию Заказчику для согласования.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Р</w:t>
            </w:r>
            <w:r>
              <w:rPr>
                <w:lang w:val="ru-RU"/>
              </w:rPr>
              <w:t xml:space="preserve">аботы по техническому освидетельствованию выполняются в сроки, согласованные Сторонами. Исполнитель направляет проект производства работ (ППР), проект графика работ Заказчику для согласования. Без утвержденного Заказчиком ППР и графика работы не начинаются</w:t>
            </w:r>
            <w:r>
              <w:rPr>
                <w:lang w:val="ru-RU"/>
              </w:rPr>
              <w:t xml:space="preserve">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Наличие лицензии на осуществление деятельности по проведению экспертизы промышленной безопасности (в соответствии с Федеральным за</w:t>
            </w:r>
            <w:r>
              <w:rPr>
                <w:highlight w:val="white"/>
                <w:lang w:val="ru-RU"/>
              </w:rPr>
              <w:t xml:space="preserve">коном о</w:t>
            </w:r>
            <w:r>
              <w:rPr>
                <w:highlight w:val="white"/>
                <w:lang w:val="ru-RU"/>
              </w:rPr>
              <w:t xml:space="preserve">т 4 мая 2011 г. № 99-ФЗ «О лицензировании отдельных видов деятельности», </w:t>
            </w:r>
            <w:r>
              <w:rPr>
                <w:highlight w:val="white"/>
                <w:lang w:val="ru-RU"/>
              </w:rPr>
              <w:t xml:space="preserve">Федеральным законом от 21 июля 1997 г. № 116-Ф</w:t>
            </w:r>
            <w:r>
              <w:rPr>
                <w:highlight w:val="white"/>
                <w:lang w:val="ru-RU"/>
              </w:rPr>
              <w:t xml:space="preserve">З</w:t>
            </w:r>
            <w:r>
              <w:rPr>
                <w:highlight w:val="white"/>
                <w:lang w:val="ru-RU"/>
              </w:rPr>
              <w:t xml:space="preserve"> «О </w:t>
            </w:r>
            <w:r>
              <w:rPr>
                <w:lang w:val="ru-RU"/>
              </w:rPr>
              <w:t xml:space="preserve">промышленной </w:t>
            </w:r>
            <w:r>
              <w:rPr>
                <w:lang w:val="ru-RU"/>
              </w:rPr>
              <w:t xml:space="preserve">безопасности опасных производственных объектов») (приложить копию лицензии, заверенную подписью руководителя и печатью организации).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917"/>
              <w:widowControl w:val="tru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ar-SA"/>
              </w:rPr>
              <w:t xml:space="preserve">Участник закупки предоставляет копию лицензии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Иметь или привлекать на договорной основе аттестованную в установленном порядке лабораторию неразрушаю</w:t>
            </w:r>
            <w:r>
              <w:rPr>
                <w:lang w:val="ru-RU"/>
              </w:rPr>
              <w:t xml:space="preserve">щего контроля (в соответствии с СДАНК-01-2020), (предоставить копию Свидетельства об аттестации лаборатории, заверенную рук</w:t>
            </w:r>
            <w:r>
              <w:rPr>
                <w:lang w:val="ru-RU"/>
              </w:rPr>
              <w:t xml:space="preserve">оводителем или договор).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917"/>
              <w:widowControl w:val="tru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ar-SA"/>
              </w:rPr>
              <w:t xml:space="preserve">Участник закупки предоставляет копию свидетельства или договора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  <w:r>
              <w:rPr>
                <w:rFonts w:eastAsia="Calibri"/>
                <w:b/>
                <w:bCs/>
                <w:lang w:val="ru-RU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Наличие оборудования, приборов, материалов и средств информационного обеспечения, необходимых для проведения технического освидетельствования. Оборудование для проведения измерений параметров сред при проведении испытаний должно</w:t>
            </w:r>
            <w:r>
              <w:rPr>
                <w:lang w:val="ru-RU"/>
              </w:rPr>
              <w:t xml:space="preserve"> отвечать современным требованиям (в соответствии с Федеральным законом от 21 июля 1997 г. № 116-ФЗ «О промышленной безопасности опасных производственных объектов»), (приложить копии свидетельств о поверке оборудования, приборов, материалов).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Требования </w:t>
            </w:r>
            <w:r>
              <w:rPr>
                <w:b/>
                <w:lang w:val="ru-RU"/>
              </w:rPr>
              <w:t xml:space="preserve">к организации работ: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Требования к организации работ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Перед началом работ необходимо предо</w:t>
            </w:r>
            <w:r>
              <w:rPr>
                <w:lang w:val="ru-RU"/>
              </w:rPr>
              <w:t xml:space="preserve">ставить в адрес АО «Сахаэнерго» приказ на назначение ответственного руководителя, производителя и членов бригады; список работников, с указанием фамилии и инициалов, должности, удостоверений по специализации работ и лиц, которые имеют право выдачи нарядов.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Работы на объекте должны проводиться по наряду-допуску в действующих предприятиях (Правила Безопасности РД 34.04.201-97 с изменениями и дополнениями № 1/2000), выдаваемому ответственным работникам по форме, установленной прилож. №7.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Исполнитель обязан ознакомиться с условиями и особенностями энергообъекта филиалов АО «Сахаэнерго» и правилами нахождения на его территории перед подписанием договора. Исполнитель должен хорошо изучить условия, при которых предстоит выполнить весь объем ра</w:t>
            </w:r>
            <w:r>
              <w:rPr>
                <w:lang w:val="ru-RU"/>
              </w:rPr>
              <w:t xml:space="preserve">боты и факторы, которые могут отрицательно повлиять на выполнение договора.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Исполнитель должен соблюдать требования технического регламента АО «Сахаэнерго» о допуске подрядных организаций, согласно «</w:t>
            </w:r>
            <w:r>
              <w:rPr>
                <w:i w:val="0"/>
                <w:iCs w:val="0"/>
                <w:color w:val="000000"/>
                <w:sz w:val="24"/>
                <w:szCs w:val="24"/>
                <w:highlight w:val="none"/>
              </w:rPr>
              <w:t xml:space="preserve">Регламент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(ИСМ РГ-00-017.03-23</w:t>
            </w:r>
            <w:r>
              <w:rPr>
                <w:lang w:val="ru-RU"/>
              </w:rPr>
              <w:t xml:space="preserve">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Требования к контролю качества работ и материалов: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Cs/>
                <w:lang w:val="ru-RU"/>
              </w:rPr>
              <w:t xml:space="preserve">Требования к контролю качества работ и материалов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Cs/>
                <w:lang w:val="ru-RU"/>
              </w:rPr>
              <w:t xml:space="preserve">При техническом освидетельствовании технических устройств обязательно присутствие лица, ответственного за исправное состояние и безопасную эксплуатацию оборудований со стороны Заказчика.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b/>
                <w:lang w:val="ru-RU"/>
              </w:rPr>
              <w:t xml:space="preserve">Требования к персоналу подрядчика: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Требования к персоналу подрядчика</w:t>
            </w:r>
            <w:r/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lang w:val="ru-RU"/>
              </w:rPr>
              <w:t xml:space="preserve">Персонал должен быть обучен, иметь соответствующую квалификацию и опыт проведения данного вида услуг.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Иметь специалистов неразрушающего контроля, аттестованных в соответствии с ПБ 03-440-02 «Правила аттестации специалистов в области неразрушающего контроля» не ниже 2 уровня, в областях, соответствующих объектам технического освидетельствования и по видам к</w:t>
            </w:r>
            <w:r>
              <w:rPr>
                <w:lang w:val="ru-RU"/>
              </w:rPr>
              <w:t xml:space="preserve">онтроля (приложить копию удостоверения и протокола об аттестации в области неразрушающего контроля).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17"/>
              <w:widowControl w:val="tru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 w:bidi="ar-SA"/>
              </w:rPr>
              <w:t xml:space="preserve">Участник закупки предоставляет копию удостоверения и протокола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53"/>
        </w:trPr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Требования к результатам работ: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53"/>
        </w:trPr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Общие требования к результатам работ: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rPr>
          <w:trHeight w:val="53"/>
        </w:trPr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/>
            <w:tcW w:w="2551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Общие требования к результатам работ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Технический отчет (в двух экземплярах) по техническому освидетельствованию технических устройств с выводами о возможности продления срока их безопасной эксплуатации.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53"/>
        </w:trPr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Требования к порядку приемки результатов работ: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  <w:t xml:space="preserve">Требования к порядку приемки результатов работ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Приемка-сдача результатов работ производится по документам: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1. Акт выполненных работ (оказанных услуг);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2. Счет;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3. Счет-фактура/УПД;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left" w:leader="none" w:pos="567"/>
              </w:tabs>
              <w:spacing w:line="24" w:lineRule="atLeast"/>
              <w:ind/>
              <w:rPr>
                <w:lang w:val="ru-RU"/>
              </w:rPr>
            </w:pPr>
            <w:r>
              <w:rPr>
                <w:lang w:val="ru-RU"/>
              </w:rPr>
              <w:t xml:space="preserve">4. Акты технического освидетельствования исполняются в бумажном варианте в 2-х </w:t>
            </w:r>
            <w:r>
              <w:rPr>
                <w:lang w:val="ru-RU"/>
              </w:rPr>
              <w:t xml:space="preserve">экземплярах и электронные версии документов; Электронные версии документов, имеющие подписи и согласования, представляются файлами, получаемыми путем сканирования бумажного оригинала в формате Acrobat Reader (PDF). Р</w:t>
            </w:r>
            <w:r>
              <w:rPr>
                <w:lang w:val="ru-RU"/>
              </w:rPr>
              <w:t xml:space="preserve">азмеры, форматы и содержание текстовых документов и чертежей, выполненные в электронных форматах, должны быть идентичны бумажному оригиналу, к которому они прилагаются.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bCs/>
                <w:lang w:val="ru-RU"/>
              </w:rPr>
            </w:pPr>
            <w:r>
              <w:rPr>
                <w:lang w:val="ru-RU"/>
              </w:rPr>
              <w:t xml:space="preserve">В случае обнаружения аварийных мест, Исполнитель составляет акт неотложных мер.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gridSpan w:val="2"/>
            <w:tcBorders/>
            <w:tcW w:w="935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Требо</w:t>
            </w:r>
            <w:r>
              <w:rPr>
                <w:b/>
                <w:lang w:val="ru-RU"/>
              </w:rPr>
              <w:t xml:space="preserve">вания к оформлению документации: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да/нет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-//-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>
              <w:bottom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numPr>
                <w:ilvl w:val="2"/>
                <w:numId w:val="31"/>
              </w:numPr>
              <w:pBdr/>
              <w:tabs>
                <w:tab w:val="left" w:leader="none" w:pos="567"/>
              </w:tabs>
              <w:spacing w:line="24" w:lineRule="atLeast"/>
              <w:ind w:firstLine="0" w:left="0"/>
              <w:contextualSpacing w:val="true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  <w:r>
              <w:rPr>
                <w:rFonts w:eastAsia="Calibri"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lang w:val="ru-RU"/>
              </w:rPr>
              <w:t xml:space="preserve">Требования к оформлению документации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67"/>
              </w:tabs>
              <w:spacing w:line="24" w:lineRule="atLeast"/>
              <w:ind/>
              <w:rPr>
                <w:b/>
                <w:lang w:val="ru-RU"/>
              </w:rPr>
            </w:pPr>
            <w:r>
              <w:rPr>
                <w:lang w:val="ru-RU"/>
              </w:rPr>
              <w:t xml:space="preserve">Электронные версии документов, имеющих подписи и согласования, предоставляются файлами, получаемыми путем сканирования бумажного оригинала в формате Acrobat Reader (PDF).</w:t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t xml:space="preserve">Согласие с требованием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bottom w:val="single" w:color="000000" w:sz="4" w:space="0"/>
            </w:tcBorders>
            <w:tcW w:w="15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widowControl w:val="false"/>
        <w:pBdr/>
        <w:shd w:val="clear" w:color="auto" w:fill="ffffff"/>
        <w:tabs>
          <w:tab w:val="left" w:leader="none" w:pos="426"/>
          <w:tab w:val="left" w:leader="none" w:pos="567"/>
        </w:tabs>
        <w:spacing/>
        <w:ind/>
        <w:jc w:val="both"/>
        <w:rPr>
          <w:bCs/>
          <w:iCs/>
          <w:shd w:val="clear" w:color="auto" w:fill="ffff99"/>
          <w:lang w:val="ru-RU"/>
        </w:rPr>
      </w:pPr>
      <w:r>
        <w:rPr>
          <w:bCs/>
          <w:iCs/>
          <w:shd w:val="clear" w:color="auto" w:fill="ffff99"/>
          <w:lang w:val="ru-RU"/>
        </w:rPr>
      </w:r>
      <w:r>
        <w:rPr>
          <w:bCs/>
          <w:iCs/>
          <w:shd w:val="clear" w:color="auto" w:fill="ffff99"/>
          <w:lang w:val="ru-RU"/>
        </w:rPr>
      </w:r>
      <w:r>
        <w:rPr>
          <w:bCs/>
          <w:iCs/>
          <w:shd w:val="clear" w:color="auto" w:fill="ffff99"/>
          <w:lang w:val="ru-RU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11"/>
          <w:headerReference w:type="first" r:id="rId12"/>
          <w:footerReference w:type="default" r:id="rId17"/>
          <w:footerReference w:type="first" r:id="rId18"/>
          <w:footnotePr/>
          <w:endnotePr/>
          <w:type w:val="nextPage"/>
          <w:pgSz w:h="11906" w:orient="landscape" w:w="16838"/>
          <w:pgMar w:top="1417" w:right="1134" w:bottom="1417" w:left="1134" w:header="1134" w:footer="724" w:gutter="0"/>
          <w:cols w:num="1" w:sep="0" w:space="1701" w:equalWidth="1"/>
        </w:sectPr>
      </w:pPr>
      <w:r/>
      <w:r/>
    </w:p>
    <w:p>
      <w:pPr>
        <w:pStyle w:val="917"/>
        <w:widowControl w:val="false"/>
        <w:pBdr/>
        <w:tabs>
          <w:tab w:val="left" w:leader="none" w:pos="426"/>
          <w:tab w:val="clear" w:leader="none" w:pos="708"/>
        </w:tabs>
        <w:spacing w:after="0" w:before="60"/>
        <w:ind/>
        <w:jc w:val="center"/>
        <w:rPr>
          <w:b/>
          <w:bCs/>
          <w:i w:val="0"/>
          <w:color w:val="000000"/>
          <w:sz w:val="24"/>
          <w:szCs w:val="24"/>
          <w:highlight w:val="none"/>
        </w:rPr>
      </w:pPr>
      <w:r>
        <w:rPr>
          <w:b/>
          <w:bCs/>
          <w:i w:val="0"/>
          <w:iCs w:val="0"/>
          <w:color w:val="000000"/>
          <w:sz w:val="24"/>
          <w:szCs w:val="24"/>
          <w:highlight w:val="none"/>
        </w:rPr>
        <w:t xml:space="preserve">4. Приложения</w:t>
      </w:r>
      <w:r>
        <w:rPr>
          <w:b/>
          <w:bCs/>
          <w:i w:val="0"/>
          <w:color w:val="000000"/>
          <w:sz w:val="24"/>
          <w:szCs w:val="24"/>
          <w:highlight w:val="none"/>
        </w:rPr>
      </w:r>
      <w:r>
        <w:rPr>
          <w:b/>
          <w:bCs/>
          <w:i w:val="0"/>
          <w:color w:val="000000"/>
          <w:sz w:val="24"/>
          <w:szCs w:val="24"/>
          <w:highlight w:val="none"/>
        </w:rPr>
      </w:r>
    </w:p>
    <w:p>
      <w:pPr>
        <w:pStyle w:val="917"/>
        <w:widowControl w:val="false"/>
        <w:pBdr/>
        <w:tabs>
          <w:tab w:val="left" w:leader="none" w:pos="426"/>
          <w:tab w:val="clear" w:leader="none" w:pos="708"/>
        </w:tabs>
        <w:spacing w:after="0" w:before="60"/>
        <w:ind/>
        <w:jc w:val="both"/>
        <w:rPr>
          <w:bCs w:val="0"/>
          <w:i w:val="0"/>
          <w:iCs/>
          <w:color w:val="000000"/>
          <w:sz w:val="24"/>
          <w:szCs w:val="24"/>
          <w:highlight w:val="none"/>
        </w:rPr>
      </w:pPr>
      <w:r>
        <w:rPr>
          <w:i w:val="0"/>
          <w:iCs w:val="0"/>
          <w:color w:val="000000"/>
          <w:sz w:val="24"/>
          <w:szCs w:val="24"/>
          <w:highlight w:val="none"/>
        </w:rPr>
      </w:r>
      <w:r>
        <w:rPr>
          <w:i w:val="0"/>
          <w:iCs w:val="0"/>
          <w:color w:val="000000"/>
          <w:sz w:val="24"/>
          <w:szCs w:val="24"/>
          <w:highlight w:val="none"/>
        </w:rPr>
        <w:t xml:space="preserve">Приложение №1: «Регламент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(ИСМ РГ-00-017.03-23);</w:t>
      </w:r>
      <w:r>
        <w:rPr>
          <w:bCs w:val="0"/>
          <w:i w:val="0"/>
          <w:iCs/>
          <w:color w:val="000000"/>
          <w:sz w:val="24"/>
          <w:szCs w:val="24"/>
          <w:highlight w:val="none"/>
        </w:rPr>
      </w:r>
      <w:r>
        <w:rPr>
          <w:bCs w:val="0"/>
          <w:i w:val="0"/>
          <w:iCs/>
          <w:color w:val="000000"/>
          <w:sz w:val="24"/>
          <w:szCs w:val="24"/>
          <w:highlight w:val="none"/>
        </w:rPr>
      </w:r>
    </w:p>
    <w:p>
      <w:pPr>
        <w:pBdr/>
        <w:spacing/>
        <w:ind/>
        <w:rPr/>
      </w:pPr>
      <w:r/>
      <w:r/>
    </w:p>
    <w:sectPr>
      <w:headerReference w:type="default" r:id="rId13"/>
      <w:headerReference w:type="first" r:id="rId14"/>
      <w:footerReference w:type="default" r:id="rId19"/>
      <w:footerReference w:type="first" r:id="rId20"/>
      <w:footnotePr/>
      <w:endnotePr/>
      <w:type w:val="nextPage"/>
      <w:pgSz w:h="16838" w:orient="portrait" w:w="11906"/>
      <w:pgMar w:top="1134" w:right="851" w:bottom="1134" w:left="1418" w:header="709" w:footer="709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Consolas">
    <w:panose1 w:val="020B0609020204030204"/>
  </w:font>
  <w:font w:name="Calibri Light (Заголовки)">
    <w:panose1 w:val="020F0502020204030204"/>
  </w:font>
  <w:font w:name="Verdana">
    <w:panose1 w:val="020B060403050404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23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25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31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50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41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8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b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930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06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0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2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66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8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2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781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94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hanging="705" w:left="1859"/>
      </w:pPr>
      <w:rPr>
        <w:rFonts w:hint="default" w:ascii="Times New Roman" w:hAnsi="Times New Roman" w:cs="Times New Roman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234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54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7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94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114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83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54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13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9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6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327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53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8608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/>
      </w:rPr>
      <w:start w:val="1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00" w:left="130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952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4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3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  <w:color w:val="auto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1019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1020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1021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856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2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994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2204"/>
      </w:pPr>
      <w:rPr>
        <w:b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432" w:left="1283"/>
      </w:pPr>
      <w:rPr>
        <w:rFonts w:hint="default" w:ascii="Symbol" w:hAnsi="Symbol" w:cs="Symbol"/>
        <w:b w:val="0"/>
        <w:u w:val="no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355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291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  <w:color w:val="auto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29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30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94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hanging="705" w:left="1859"/>
      </w:pPr>
      <w:rPr>
        <w:rFonts w:hint="default" w:ascii="Times New Roman" w:hAnsi="Times New Roman" w:cs="Times New Roman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234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54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7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94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114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83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54"/>
      </w:pPr>
      <w:rPr>
        <w:rFonts w:hint="default" w:ascii="Wingdings" w:hAnsi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3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28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727"/>
      </w:pPr>
      <w:pStyle w:val="920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44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88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60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047"/>
      </w:pPr>
      <w:rPr>
        <w:rFonts w:hint="default" w:ascii="Wingdings" w:hAnsi="Wingdings" w:cs="Wingdings"/>
      </w:rPr>
      <w:start w:val="1"/>
      <w:suff w:val="tab"/>
    </w:lvl>
  </w:abstractNum>
  <w:abstractNum w:abstractNumId="33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94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0"/>
        </w:tabs>
        <w:spacing/>
        <w:ind w:hanging="705" w:left="1859"/>
      </w:pPr>
      <w:rPr>
        <w:rFonts w:hint="default" w:ascii="Times New Roman" w:hAnsi="Times New Roman" w:cs="Times New Roman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234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54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7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94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114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83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54"/>
      </w:pPr>
      <w:rPr>
        <w:rFonts w:hint="default" w:ascii="Wingdings" w:hAnsi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25"/>
  </w:num>
  <w:num w:numId="2">
    <w:abstractNumId w:val="3"/>
  </w:num>
  <w:num w:numId="3">
    <w:abstractNumId w:val="32"/>
  </w:num>
  <w:num w:numId="4">
    <w:abstractNumId w:val="21"/>
  </w:num>
  <w:num w:numId="5">
    <w:abstractNumId w:val="31"/>
  </w:num>
  <w:num w:numId="6">
    <w:abstractNumId w:val="10"/>
  </w:num>
  <w:num w:numId="7">
    <w:abstractNumId w:val="6"/>
  </w:num>
  <w:num w:numId="8">
    <w:abstractNumId w:val="11"/>
  </w:num>
  <w:num w:numId="9">
    <w:abstractNumId w:val="26"/>
  </w:num>
  <w:num w:numId="10">
    <w:abstractNumId w:val="4"/>
  </w:num>
  <w:num w:numId="11">
    <w:abstractNumId w:val="7"/>
  </w:num>
  <w:num w:numId="12">
    <w:abstractNumId w:val="12"/>
  </w:num>
  <w:num w:numId="13">
    <w:abstractNumId w:val="28"/>
  </w:num>
  <w:num w:numId="14">
    <w:abstractNumId w:val="29"/>
  </w:num>
  <w:num w:numId="15">
    <w:abstractNumId w:val="15"/>
  </w:num>
  <w:num w:numId="16">
    <w:abstractNumId w:val="9"/>
  </w:num>
  <w:num w:numId="17">
    <w:abstractNumId w:val="0"/>
  </w:num>
  <w:num w:numId="18">
    <w:abstractNumId w:val="19"/>
  </w:num>
  <w:num w:numId="19">
    <w:abstractNumId w:val="23"/>
  </w:num>
  <w:num w:numId="20">
    <w:abstractNumId w:val="13"/>
  </w:num>
  <w:num w:numId="21">
    <w:abstractNumId w:val="18"/>
  </w:num>
  <w:num w:numId="22">
    <w:abstractNumId w:val="17"/>
  </w:num>
  <w:num w:numId="23">
    <w:abstractNumId w:val="27"/>
  </w:num>
  <w:num w:numId="24">
    <w:abstractNumId w:val="22"/>
  </w:num>
  <w:num w:numId="25">
    <w:abstractNumId w:val="14"/>
  </w:num>
  <w:num w:numId="26">
    <w:abstractNumId w:val="5"/>
  </w:num>
  <w:num w:numId="27">
    <w:abstractNumId w:val="33"/>
  </w:num>
  <w:num w:numId="28">
    <w:abstractNumId w:val="30"/>
  </w:num>
  <w:num w:numId="29">
    <w:abstractNumId w:val="24"/>
  </w:num>
  <w:num w:numId="30">
    <w:abstractNumId w:val="2"/>
  </w:num>
  <w:num w:numId="31">
    <w:abstractNumId w:val="1"/>
  </w:num>
  <w:num w:numId="32">
    <w:abstractNumId w:val="16"/>
  </w:num>
  <w:num w:numId="33">
    <w:abstractNumId w:val="8"/>
  </w:num>
  <w:num w:numId="34">
    <w:abstractNumId w:val="20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06">
    <w:name w:val="Heading 4 Char"/>
    <w:basedOn w:val="927"/>
    <w:link w:val="92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7">
    <w:name w:val="Heading 5 Char"/>
    <w:basedOn w:val="927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8">
    <w:name w:val="Heading 6 Char"/>
    <w:basedOn w:val="927"/>
    <w:link w:val="92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9">
    <w:name w:val="Heading 7 Char"/>
    <w:basedOn w:val="927"/>
    <w:link w:val="9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0">
    <w:name w:val="Heading 8 Char"/>
    <w:basedOn w:val="927"/>
    <w:link w:val="9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1">
    <w:name w:val="Heading 9 Char"/>
    <w:basedOn w:val="927"/>
    <w:link w:val="9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2">
    <w:name w:val="Title"/>
    <w:basedOn w:val="917"/>
    <w:next w:val="917"/>
    <w:link w:val="93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3">
    <w:name w:val="Subtitle Char"/>
    <w:basedOn w:val="927"/>
    <w:link w:val="9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Quote Char"/>
    <w:basedOn w:val="927"/>
    <w:link w:val="9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Intense Quote Char"/>
    <w:basedOn w:val="927"/>
    <w:link w:val="9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6">
    <w:name w:val="Endnote Text Char"/>
    <w:basedOn w:val="927"/>
    <w:link w:val="987"/>
    <w:uiPriority w:val="99"/>
    <w:semiHidden/>
    <w:pPr>
      <w:pBdr/>
      <w:spacing/>
      <w:ind/>
    </w:pPr>
    <w:rPr>
      <w:sz w:val="20"/>
      <w:szCs w:val="20"/>
    </w:rPr>
  </w:style>
  <w:style w:type="paragraph" w:styleId="917" w:default="1">
    <w:name w:val="Normal"/>
    <w:qFormat/>
    <w:pPr>
      <w:pBdr/>
      <w:spacing/>
      <w:ind/>
    </w:pPr>
    <w:rPr>
      <w:rFonts w:eastAsia="Times New Roman" w:cs="Times New Roman"/>
      <w:sz w:val="24"/>
      <w:szCs w:val="24"/>
      <w:lang w:val="en-GB"/>
    </w:rPr>
  </w:style>
  <w:style w:type="paragraph" w:styleId="918">
    <w:name w:val="Heading 1"/>
    <w:basedOn w:val="917"/>
    <w:next w:val="917"/>
    <w:qFormat/>
    <w:pPr>
      <w:pBdr/>
      <w:spacing/>
      <w:ind/>
      <w:jc w:val="center"/>
      <w:outlineLvl w:val="0"/>
    </w:pPr>
    <w:rPr>
      <w:b/>
      <w:bCs/>
    </w:rPr>
  </w:style>
  <w:style w:type="paragraph" w:styleId="919">
    <w:name w:val="Heading 2"/>
    <w:basedOn w:val="917"/>
    <w:next w:val="917"/>
    <w:qFormat/>
    <w:pPr>
      <w:pBdr/>
      <w:spacing/>
      <w:ind/>
      <w:outlineLvl w:val="1"/>
    </w:pPr>
  </w:style>
  <w:style w:type="paragraph" w:styleId="920">
    <w:name w:val="Heading 3"/>
    <w:basedOn w:val="917"/>
    <w:next w:val="917"/>
    <w:link w:val="956"/>
    <w:qFormat/>
    <w:pPr>
      <w:keepNext w:val="true"/>
      <w:keepLines w:val="true"/>
      <w:numPr>
        <w:ilvl w:val="2"/>
        <w:numId w:val="3"/>
      </w:numPr>
      <w:pBdr/>
      <w:spacing w:before="200"/>
      <w:ind w:hanging="556" w:left="1276"/>
      <w:outlineLvl w:val="2"/>
    </w:pPr>
    <w:rPr>
      <w:color w:val="000000"/>
    </w:rPr>
  </w:style>
  <w:style w:type="paragraph" w:styleId="921">
    <w:name w:val="Heading 4"/>
    <w:basedOn w:val="917"/>
    <w:next w:val="917"/>
    <w:link w:val="93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22">
    <w:name w:val="Heading 5"/>
    <w:basedOn w:val="917"/>
    <w:next w:val="917"/>
    <w:link w:val="93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23">
    <w:name w:val="Heading 6"/>
    <w:basedOn w:val="917"/>
    <w:next w:val="917"/>
    <w:link w:val="93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4">
    <w:name w:val="Heading 7"/>
    <w:basedOn w:val="917"/>
    <w:next w:val="917"/>
    <w:link w:val="93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5">
    <w:name w:val="Heading 8"/>
    <w:basedOn w:val="917"/>
    <w:next w:val="917"/>
    <w:link w:val="93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6">
    <w:name w:val="Heading 9"/>
    <w:basedOn w:val="917"/>
    <w:next w:val="917"/>
    <w:link w:val="93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7" w:default="1">
    <w:name w:val="Default Paragraph Font"/>
    <w:uiPriority w:val="1"/>
    <w:semiHidden/>
    <w:unhideWhenUsed/>
    <w:pPr>
      <w:pBdr/>
      <w:spacing/>
      <w:ind/>
    </w:pPr>
  </w:style>
  <w:style w:type="table" w:styleId="9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character" w:styleId="930" w:customStyle="1">
    <w:name w:val="Heading 1 Char"/>
    <w:basedOn w:val="927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31" w:customStyle="1">
    <w:name w:val="Heading 2 Char"/>
    <w:basedOn w:val="927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32" w:customStyle="1">
    <w:name w:val="Heading 3 Char"/>
    <w:basedOn w:val="927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33" w:customStyle="1">
    <w:name w:val="Заголовок 4 Знак"/>
    <w:basedOn w:val="927"/>
    <w:link w:val="921"/>
    <w:uiPriority w:val="9"/>
    <w:qFormat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34" w:customStyle="1">
    <w:name w:val="Заголовок 5 Знак"/>
    <w:basedOn w:val="927"/>
    <w:link w:val="922"/>
    <w:uiPriority w:val="9"/>
    <w:qFormat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35" w:customStyle="1">
    <w:name w:val="Заголовок 6 Знак"/>
    <w:basedOn w:val="927"/>
    <w:link w:val="92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6" w:customStyle="1">
    <w:name w:val="Заголовок 7 Знак"/>
    <w:basedOn w:val="927"/>
    <w:link w:val="924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7" w:customStyle="1">
    <w:name w:val="Заголовок 8 Знак"/>
    <w:basedOn w:val="927"/>
    <w:link w:val="92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8" w:customStyle="1">
    <w:name w:val="Заголовок 9 Знак"/>
    <w:basedOn w:val="927"/>
    <w:link w:val="926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9" w:customStyle="1">
    <w:name w:val="Title Char"/>
    <w:basedOn w:val="92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40" w:customStyle="1">
    <w:name w:val="Подзаголовок Знак"/>
    <w:basedOn w:val="927"/>
    <w:link w:val="98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1" w:customStyle="1">
    <w:name w:val="Цитата 2 Знак"/>
    <w:basedOn w:val="927"/>
    <w:link w:val="984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942">
    <w:name w:val="Intense Emphasis"/>
    <w:basedOn w:val="92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943" w:customStyle="1">
    <w:name w:val="Выделенная цитата Знак"/>
    <w:basedOn w:val="927"/>
    <w:link w:val="985"/>
    <w:uiPriority w:val="30"/>
    <w:qFormat/>
    <w:pPr>
      <w:pBdr/>
      <w:spacing/>
      <w:ind/>
    </w:pPr>
    <w:rPr>
      <w:i/>
      <w:iCs/>
      <w:color w:val="2e74b5" w:themeColor="accent1" w:themeShade="BF"/>
    </w:rPr>
  </w:style>
  <w:style w:type="character" w:styleId="944">
    <w:name w:val="Intense Reference"/>
    <w:basedOn w:val="92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945">
    <w:name w:val="Subtle Emphasis"/>
    <w:basedOn w:val="9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6">
    <w:name w:val="Emphasis"/>
    <w:basedOn w:val="927"/>
    <w:uiPriority w:val="20"/>
    <w:qFormat/>
    <w:pPr>
      <w:pBdr/>
      <w:spacing/>
      <w:ind/>
    </w:pPr>
    <w:rPr>
      <w:i/>
      <w:iCs/>
    </w:rPr>
  </w:style>
  <w:style w:type="character" w:styleId="947">
    <w:name w:val="Subtle Reference"/>
    <w:basedOn w:val="9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8">
    <w:name w:val="Book Title"/>
    <w:basedOn w:val="9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9" w:customStyle="1">
    <w:name w:val="Header Char"/>
    <w:basedOn w:val="927"/>
    <w:uiPriority w:val="99"/>
    <w:qFormat/>
    <w:pPr>
      <w:pBdr/>
      <w:spacing/>
      <w:ind/>
    </w:pPr>
  </w:style>
  <w:style w:type="character" w:styleId="950" w:customStyle="1">
    <w:name w:val="Footer Char"/>
    <w:basedOn w:val="927"/>
    <w:uiPriority w:val="99"/>
    <w:qFormat/>
    <w:pPr>
      <w:pBdr/>
      <w:spacing/>
      <w:ind/>
    </w:pPr>
  </w:style>
  <w:style w:type="character" w:styleId="951" w:customStyle="1">
    <w:name w:val="Footnote Text Char"/>
    <w:basedOn w:val="9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952" w:customStyle="1">
    <w:name w:val="Текст концевой сноски Знак"/>
    <w:basedOn w:val="927"/>
    <w:link w:val="987"/>
    <w:uiPriority w:val="99"/>
    <w:semiHidden/>
    <w:qFormat/>
    <w:pPr>
      <w:pBdr/>
      <w:spacing/>
      <w:ind/>
    </w:pPr>
    <w:rPr>
      <w:sz w:val="20"/>
      <w:szCs w:val="20"/>
    </w:rPr>
  </w:style>
  <w:style w:type="character" w:styleId="953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54">
    <w:name w:val="footnote reference"/>
    <w:pPr>
      <w:pBdr/>
      <w:spacing/>
      <w:ind/>
    </w:pPr>
    <w:rPr>
      <w:vertAlign w:val="superscript"/>
    </w:rPr>
  </w:style>
  <w:style w:type="character" w:styleId="955" w:customStyle="1">
    <w:name w:val="Основной текст 3 Знак"/>
    <w:link w:val="1002"/>
    <w:qFormat/>
    <w:pPr>
      <w:pBdr/>
      <w:spacing/>
      <w:ind/>
    </w:pPr>
    <w:rPr>
      <w:sz w:val="16"/>
      <w:szCs w:val="16"/>
      <w:lang w:val="en-GB"/>
    </w:rPr>
  </w:style>
  <w:style w:type="character" w:styleId="956" w:customStyle="1">
    <w:name w:val="Заголовок 3 Знак"/>
    <w:link w:val="920"/>
    <w:semiHidden/>
    <w:qFormat/>
    <w:pPr>
      <w:pBdr/>
      <w:spacing/>
      <w:ind/>
    </w:pPr>
    <w:rPr>
      <w:rFonts w:ascii="Times New Roman" w:hAnsi="Times New Roman"/>
      <w:b w:val="0"/>
      <w:bCs w:val="0"/>
      <w:i w:val="0"/>
      <w:iCs w:val="0"/>
      <w:color w:val="000000"/>
      <w:sz w:val="24"/>
      <w:szCs w:val="24"/>
    </w:rPr>
  </w:style>
  <w:style w:type="character" w:styleId="957">
    <w:name w:val="annotation reference"/>
    <w:qFormat/>
    <w:pPr>
      <w:pBdr/>
      <w:spacing/>
      <w:ind/>
    </w:pPr>
    <w:rPr>
      <w:sz w:val="16"/>
      <w:szCs w:val="16"/>
    </w:rPr>
  </w:style>
  <w:style w:type="character" w:styleId="958" w:customStyle="1">
    <w:name w:val="Текст примечания Знак"/>
    <w:link w:val="1006"/>
    <w:uiPriority w:val="99"/>
    <w:qFormat/>
    <w:pPr>
      <w:pBdr/>
      <w:spacing/>
      <w:ind/>
    </w:pPr>
    <w:rPr>
      <w:lang w:val="en-GB"/>
    </w:rPr>
  </w:style>
  <w:style w:type="character" w:styleId="959" w:customStyle="1">
    <w:name w:val="Тема примечания Знак"/>
    <w:link w:val="1007"/>
    <w:qFormat/>
    <w:pPr>
      <w:pBdr/>
      <w:spacing/>
      <w:ind/>
    </w:pPr>
    <w:rPr>
      <w:b/>
      <w:bCs/>
      <w:lang w:val="en-GB"/>
    </w:rPr>
  </w:style>
  <w:style w:type="character" w:styleId="960" w:customStyle="1">
    <w:name w:val="Основной текст с отступом 3 Знак"/>
    <w:link w:val="1008"/>
    <w:qFormat/>
    <w:pPr>
      <w:pBdr/>
      <w:spacing/>
      <w:ind/>
    </w:pPr>
    <w:rPr>
      <w:sz w:val="16"/>
      <w:szCs w:val="16"/>
    </w:rPr>
  </w:style>
  <w:style w:type="character" w:styleId="961" w:customStyle="1">
    <w:name w:val="Основной текст Знак"/>
    <w:link w:val="979"/>
    <w:qFormat/>
    <w:pPr>
      <w:pBdr/>
      <w:spacing/>
      <w:ind/>
    </w:pPr>
    <w:rPr>
      <w:sz w:val="28"/>
      <w:szCs w:val="28"/>
    </w:rPr>
  </w:style>
  <w:style w:type="character" w:styleId="962" w:customStyle="1">
    <w:name w:val="Заголовок Знак"/>
    <w:link w:val="1011"/>
    <w:qFormat/>
    <w:pPr>
      <w:pBdr/>
      <w:spacing/>
      <w:ind/>
    </w:pPr>
    <w:rPr>
      <w:b/>
      <w:bCs/>
      <w:sz w:val="24"/>
      <w:szCs w:val="24"/>
    </w:rPr>
  </w:style>
  <w:style w:type="character" w:styleId="963" w:customStyle="1">
    <w:name w:val="Верхний колонтитул Знак"/>
    <w:link w:val="1013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64" w:customStyle="1">
    <w:name w:val="Нижний колонтитул Знак"/>
    <w:link w:val="1014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65" w:customStyle="1">
    <w:name w:val="Основной текст 2 Знак"/>
    <w:link w:val="1015"/>
    <w:qFormat/>
    <w:pPr>
      <w:pBdr/>
      <w:spacing/>
      <w:ind/>
    </w:pPr>
    <w:rPr>
      <w:sz w:val="24"/>
      <w:szCs w:val="24"/>
    </w:rPr>
  </w:style>
  <w:style w:type="character" w:styleId="966" w:customStyle="1">
    <w:name w:val="Основной текст с отступом Знак"/>
    <w:link w:val="1016"/>
    <w:qFormat/>
    <w:pPr>
      <w:pBdr/>
      <w:spacing/>
      <w:ind/>
    </w:pPr>
    <w:rPr>
      <w:sz w:val="24"/>
      <w:szCs w:val="24"/>
    </w:rPr>
  </w:style>
  <w:style w:type="character" w:styleId="967">
    <w:name w:val="Strong"/>
    <w:qFormat/>
    <w:pPr>
      <w:pBdr/>
      <w:spacing/>
      <w:ind/>
    </w:pPr>
    <w:rPr>
      <w:b/>
      <w:bCs/>
    </w:rPr>
  </w:style>
  <w:style w:type="character" w:styleId="968" w:customStyle="1">
    <w:name w:val="Текст сноски Знак"/>
    <w:link w:val="999"/>
    <w:uiPriority w:val="99"/>
    <w:qFormat/>
    <w:pPr>
      <w:pBdr/>
      <w:spacing/>
      <w:ind/>
    </w:pPr>
    <w:rPr>
      <w:lang w:val="en-GB"/>
    </w:rPr>
  </w:style>
  <w:style w:type="character" w:styleId="969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970">
    <w:name w:val="FollowedHyperlink"/>
    <w:pPr>
      <w:pBdr/>
      <w:spacing/>
      <w:ind/>
    </w:pPr>
    <w:rPr>
      <w:color w:val="800080"/>
      <w:u w:val="single"/>
    </w:rPr>
  </w:style>
  <w:style w:type="character" w:styleId="971" w:customStyle="1">
    <w:name w:val="3. Подпункт Знак"/>
    <w:link w:val="1021"/>
    <w:qFormat/>
    <w:pPr>
      <w:pBdr/>
      <w:spacing/>
      <w:ind/>
    </w:pPr>
    <w:rPr>
      <w:b/>
      <w:bCs/>
      <w:sz w:val="24"/>
      <w:szCs w:val="24"/>
    </w:rPr>
  </w:style>
  <w:style w:type="character" w:styleId="972" w:customStyle="1">
    <w:name w:val="Абзац списка Знак"/>
    <w:link w:val="1005"/>
    <w:uiPriority w:val="34"/>
    <w:qFormat/>
    <w:pPr>
      <w:pBdr/>
      <w:spacing/>
      <w:ind/>
    </w:pPr>
    <w:rPr>
      <w:sz w:val="24"/>
      <w:szCs w:val="24"/>
    </w:rPr>
  </w:style>
  <w:style w:type="character" w:styleId="973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974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75">
    <w:name w:val="endnote reference"/>
    <w:pPr>
      <w:pBdr/>
      <w:spacing/>
      <w:ind/>
    </w:pPr>
    <w:rPr>
      <w:vertAlign w:val="superscript"/>
    </w:rPr>
  </w:style>
  <w:style w:type="character" w:styleId="976" w:customStyle="1">
    <w:name w:val="Ссылка указателя"/>
    <w:qFormat/>
    <w:pPr>
      <w:pBdr/>
      <w:spacing/>
      <w:ind/>
    </w:pPr>
  </w:style>
  <w:style w:type="character" w:styleId="977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978" w:customStyle="1">
    <w:name w:val="Заголовок"/>
    <w:basedOn w:val="917"/>
    <w:next w:val="979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79">
    <w:name w:val="Body Text"/>
    <w:basedOn w:val="917"/>
    <w:link w:val="961"/>
    <w:pPr>
      <w:pBdr/>
      <w:spacing w:after="120" w:line="360" w:lineRule="auto"/>
      <w:ind w:firstLine="567"/>
      <w:jc w:val="both"/>
    </w:pPr>
    <w:rPr>
      <w:sz w:val="28"/>
      <w:szCs w:val="28"/>
    </w:rPr>
  </w:style>
  <w:style w:type="paragraph" w:styleId="980">
    <w:name w:val="List"/>
    <w:basedOn w:val="979"/>
    <w:pPr>
      <w:pBdr/>
      <w:spacing/>
      <w:ind/>
    </w:pPr>
    <w:rPr>
      <w:rFonts w:cs="Lohit Devanagari"/>
    </w:rPr>
  </w:style>
  <w:style w:type="paragraph" w:styleId="981">
    <w:name w:val="Caption"/>
    <w:basedOn w:val="917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82">
    <w:name w:val="index heading"/>
    <w:basedOn w:val="978"/>
    <w:pPr>
      <w:pBdr/>
      <w:spacing/>
      <w:ind/>
    </w:pPr>
  </w:style>
  <w:style w:type="paragraph" w:styleId="983">
    <w:name w:val="Subtitle"/>
    <w:basedOn w:val="917"/>
    <w:next w:val="917"/>
    <w:link w:val="94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4">
    <w:name w:val="Quote"/>
    <w:basedOn w:val="917"/>
    <w:next w:val="917"/>
    <w:link w:val="94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985">
    <w:name w:val="Intense Quote"/>
    <w:basedOn w:val="917"/>
    <w:next w:val="917"/>
    <w:link w:val="943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paragraph" w:styleId="986">
    <w:name w:val="No Spacing"/>
    <w:basedOn w:val="917"/>
    <w:uiPriority w:val="1"/>
    <w:qFormat/>
    <w:pPr>
      <w:pBdr/>
      <w:spacing/>
      <w:ind/>
    </w:pPr>
  </w:style>
  <w:style w:type="paragraph" w:styleId="987">
    <w:name w:val="endnote text"/>
    <w:basedOn w:val="917"/>
    <w:link w:val="952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988">
    <w:name w:val="TOC Heading"/>
    <w:uiPriority w:val="39"/>
    <w:unhideWhenUsed/>
    <w:qFormat/>
    <w:pPr>
      <w:pBdr/>
      <w:spacing/>
      <w:ind/>
    </w:pPr>
  </w:style>
  <w:style w:type="paragraph" w:styleId="989">
    <w:name w:val="table of figures"/>
    <w:basedOn w:val="917"/>
    <w:next w:val="917"/>
    <w:uiPriority w:val="99"/>
    <w:unhideWhenUsed/>
    <w:qFormat/>
    <w:pPr>
      <w:pBdr/>
      <w:spacing/>
      <w:ind/>
    </w:pPr>
  </w:style>
  <w:style w:type="paragraph" w:styleId="990" w:customStyle="1">
    <w:name w:val="Знак Знак Знак Знак Знак Знак Знак Знак Знак1"/>
    <w:basedOn w:val="917"/>
    <w:qFormat/>
    <w:pPr>
      <w:pBdr/>
      <w:spacing w:after="16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91" w:customStyle="1">
    <w:name w:val="Обычный1"/>
    <w:qFormat/>
    <w:pPr>
      <w:pBdr/>
      <w:spacing/>
      <w:ind/>
    </w:pPr>
    <w:rPr>
      <w:rFonts w:eastAsia="Times New Roman" w:cs="Times New Roman"/>
    </w:rPr>
  </w:style>
  <w:style w:type="paragraph" w:styleId="992">
    <w:name w:val="Plain Text"/>
    <w:basedOn w:val="917"/>
    <w:unhideWhenUsed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993" w:customStyle="1">
    <w:name w:val="Подпункт договора"/>
    <w:basedOn w:val="917"/>
    <w:qFormat/>
    <w:pPr>
      <w:pBdr/>
      <w:tabs>
        <w:tab w:val="left" w:leader="none" w:pos="360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4" w:customStyle="1">
    <w:name w:val="Пункт"/>
    <w:basedOn w:val="917"/>
    <w:qFormat/>
    <w:pPr>
      <w:numPr>
        <w:ilvl w:val="2"/>
        <w:numId w:val="1"/>
      </w:numPr>
      <w:pBdr/>
      <w:spacing/>
      <w:ind/>
      <w:jc w:val="both"/>
    </w:pPr>
    <w:rPr>
      <w:sz w:val="28"/>
      <w:lang w:val="ru-RU"/>
    </w:rPr>
  </w:style>
  <w:style w:type="paragraph" w:styleId="995" w:customStyle="1">
    <w:name w:val="Подпункт"/>
    <w:basedOn w:val="994"/>
    <w:qFormat/>
    <w:pPr>
      <w:pBdr/>
      <w:spacing/>
      <w:ind/>
    </w:pPr>
  </w:style>
  <w:style w:type="paragraph" w:styleId="996" w:customStyle="1">
    <w:name w:val="Подподпункт"/>
    <w:basedOn w:val="995"/>
    <w:qFormat/>
    <w:pPr>
      <w:pBdr/>
      <w:spacing/>
      <w:ind/>
    </w:pPr>
  </w:style>
  <w:style w:type="paragraph" w:styleId="997" w:customStyle="1">
    <w:name w:val="Пункт договора"/>
    <w:basedOn w:val="917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8" w:customStyle="1">
    <w:name w:val="Знак"/>
    <w:basedOn w:val="917"/>
    <w:qFormat/>
    <w:pPr>
      <w:pBdr/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99">
    <w:name w:val="footnote text"/>
    <w:basedOn w:val="917"/>
    <w:link w:val="968"/>
    <w:uiPriority w:val="99"/>
    <w:pPr>
      <w:pBdr/>
      <w:spacing/>
      <w:ind/>
    </w:pPr>
    <w:rPr>
      <w:sz w:val="20"/>
      <w:szCs w:val="20"/>
    </w:rPr>
  </w:style>
  <w:style w:type="paragraph" w:styleId="1000" w:customStyle="1">
    <w:name w:val="Раздел договора"/>
    <w:basedOn w:val="917"/>
    <w:next w:val="997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1001">
    <w:name w:val="Balloon Text"/>
    <w:basedOn w:val="917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>
    <w:name w:val="Body Text 3"/>
    <w:basedOn w:val="917"/>
    <w:link w:val="955"/>
    <w:qFormat/>
    <w:pPr>
      <w:pBdr/>
      <w:spacing w:after="120"/>
      <w:ind/>
    </w:pPr>
    <w:rPr>
      <w:sz w:val="16"/>
      <w:szCs w:val="16"/>
    </w:rPr>
  </w:style>
  <w:style w:type="paragraph" w:styleId="1003" w:customStyle="1">
    <w:name w:val="ConsNormal"/>
    <w:qFormat/>
    <w:pPr>
      <w:pBdr/>
      <w:spacing/>
      <w:ind w:right="19772" w:firstLine="720"/>
    </w:pPr>
    <w:rPr>
      <w:rFonts w:ascii="Arial" w:hAnsi="Arial" w:eastAsia="Times New Roman" w:cs="Times New Roman"/>
      <w:sz w:val="32"/>
      <w:lang w:eastAsia="en-US"/>
    </w:rPr>
  </w:style>
  <w:style w:type="paragraph" w:styleId="1004" w:customStyle="1">
    <w:name w:val="Знак Знак Знак Знак Знак Знак Знак Знак Знак"/>
    <w:basedOn w:val="917"/>
    <w:qFormat/>
    <w:pPr>
      <w:pBdr/>
      <w:spacing w:after="16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1005">
    <w:name w:val="List Paragraph"/>
    <w:basedOn w:val="917"/>
    <w:link w:val="972"/>
    <w:uiPriority w:val="34"/>
    <w:qFormat/>
    <w:pPr>
      <w:pBdr/>
      <w:spacing/>
      <w:ind w:left="720"/>
      <w:contextualSpacing w:val="true"/>
    </w:pPr>
    <w:rPr>
      <w:lang w:val="ru-RU"/>
    </w:rPr>
  </w:style>
  <w:style w:type="paragraph" w:styleId="1006">
    <w:name w:val="annotation text"/>
    <w:basedOn w:val="917"/>
    <w:link w:val="958"/>
    <w:uiPriority w:val="99"/>
    <w:qFormat/>
    <w:pPr>
      <w:pBdr/>
      <w:spacing/>
      <w:ind/>
    </w:pPr>
    <w:rPr>
      <w:sz w:val="20"/>
      <w:szCs w:val="20"/>
    </w:rPr>
  </w:style>
  <w:style w:type="paragraph" w:styleId="1007">
    <w:name w:val="annotation subject"/>
    <w:basedOn w:val="1006"/>
    <w:next w:val="1006"/>
    <w:link w:val="959"/>
    <w:qFormat/>
    <w:pPr>
      <w:pBdr/>
      <w:spacing/>
      <w:ind/>
    </w:pPr>
    <w:rPr>
      <w:b/>
      <w:bCs/>
    </w:rPr>
  </w:style>
  <w:style w:type="paragraph" w:styleId="1008">
    <w:name w:val="Body Text Indent 3"/>
    <w:basedOn w:val="917"/>
    <w:link w:val="960"/>
    <w:qFormat/>
    <w:pPr>
      <w:pBdr/>
      <w:spacing w:after="120" w:line="360" w:lineRule="auto"/>
      <w:ind w:firstLine="567" w:left="283"/>
      <w:jc w:val="both"/>
    </w:pPr>
    <w:rPr>
      <w:sz w:val="16"/>
      <w:szCs w:val="16"/>
    </w:rPr>
  </w:style>
  <w:style w:type="paragraph" w:styleId="1009">
    <w:name w:val="Revision"/>
    <w:uiPriority w:val="99"/>
    <w:semiHidden/>
    <w:qFormat/>
    <w:pPr>
      <w:pBdr/>
      <w:spacing/>
      <w:ind/>
    </w:pPr>
    <w:rPr>
      <w:rFonts w:eastAsia="Times New Roman" w:cs="Times New Roman"/>
      <w:sz w:val="24"/>
      <w:szCs w:val="24"/>
      <w:lang w:val="en-GB"/>
    </w:rPr>
  </w:style>
  <w:style w:type="paragraph" w:styleId="1010" w:customStyle="1">
    <w:name w:val="ConsPlusNormal"/>
    <w:qFormat/>
    <w:pPr>
      <w:widowControl w:val="false"/>
      <w:pBdr/>
      <w:spacing/>
      <w:ind w:firstLine="720"/>
    </w:pPr>
    <w:rPr>
      <w:rFonts w:ascii="Arial" w:hAnsi="Arial" w:eastAsia="Times New Roman" w:cs="Arial"/>
    </w:rPr>
  </w:style>
  <w:style w:type="paragraph" w:styleId="1011" w:customStyle="1">
    <w:name w:val="Название1"/>
    <w:basedOn w:val="917"/>
    <w:link w:val="962"/>
    <w:qFormat/>
    <w:pPr>
      <w:widowControl w:val="false"/>
      <w:pBdr/>
      <w:spacing w:after="120"/>
      <w:ind/>
      <w:jc w:val="center"/>
    </w:pPr>
    <w:rPr>
      <w:b/>
      <w:bCs/>
      <w:sz w:val="32"/>
      <w:szCs w:val="20"/>
      <w:lang w:val="ru-RU"/>
    </w:rPr>
  </w:style>
  <w:style w:type="paragraph" w:styleId="1012" w:customStyle="1">
    <w:name w:val="Колонтитул"/>
    <w:basedOn w:val="917"/>
    <w:qFormat/>
    <w:pPr>
      <w:pBdr/>
      <w:spacing/>
      <w:ind/>
    </w:pPr>
  </w:style>
  <w:style w:type="paragraph" w:styleId="1013">
    <w:name w:val="Header"/>
    <w:basedOn w:val="917"/>
    <w:link w:val="963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14">
    <w:name w:val="Footer"/>
    <w:basedOn w:val="917"/>
    <w:link w:val="964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015">
    <w:name w:val="Body Text 2"/>
    <w:basedOn w:val="917"/>
    <w:link w:val="965"/>
    <w:qFormat/>
    <w:pPr>
      <w:pBdr/>
      <w:spacing w:after="120" w:line="480" w:lineRule="auto"/>
      <w:ind/>
    </w:pPr>
  </w:style>
  <w:style w:type="paragraph" w:styleId="1016">
    <w:name w:val="Body Text Indent"/>
    <w:basedOn w:val="917"/>
    <w:link w:val="966"/>
    <w:pPr>
      <w:pBdr/>
      <w:spacing w:after="120"/>
      <w:ind w:left="283"/>
    </w:pPr>
  </w:style>
  <w:style w:type="paragraph" w:styleId="1017" w:customStyle="1">
    <w:name w:val="Пункт 3.3.3"/>
    <w:basedOn w:val="917"/>
    <w:qFormat/>
    <w:pPr>
      <w:keepNext w:val="true"/>
      <w:keepLines w:val="true"/>
      <w:widowControl w:val="false"/>
      <w:pBdr/>
      <w:tabs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1018" w:customStyle="1">
    <w:name w:val="caption1"/>
    <w:basedOn w:val="917"/>
    <w:next w:val="917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1019" w:customStyle="1">
    <w:name w:val="1. Статья"/>
    <w:basedOn w:val="920"/>
    <w:qFormat/>
    <w:pPr>
      <w:keepNext w:val="false"/>
      <w:keepLines w:val="false"/>
      <w:widowControl w:val="false"/>
      <w:numPr>
        <w:ilvl w:val="0"/>
        <w:numId w:val="4"/>
      </w:numPr>
      <w:pBdr/>
      <w:tabs>
        <w:tab w:val="clear" w:leader="none" w:pos="720"/>
        <w:tab w:val="left" w:leader="none" w:pos="2340"/>
      </w:tabs>
      <w:spacing w:before="0"/>
      <w:ind w:right="1462" w:firstLine="0"/>
      <w:jc w:val="center"/>
    </w:pPr>
    <w:rPr>
      <w:color w:val="auto"/>
    </w:rPr>
  </w:style>
  <w:style w:type="paragraph" w:styleId="1020" w:customStyle="1">
    <w:name w:val="2. Пункт"/>
    <w:basedOn w:val="920"/>
    <w:qFormat/>
    <w:pPr>
      <w:keepNext w:val="false"/>
      <w:keepLines w:val="false"/>
      <w:widowControl w:val="false"/>
      <w:numPr>
        <w:ilvl w:val="1"/>
        <w:numId w:val="4"/>
      </w:numPr>
      <w:pBdr/>
      <w:spacing w:before="0"/>
      <w:ind/>
      <w:jc w:val="both"/>
    </w:pPr>
    <w:rPr>
      <w:color w:val="auto"/>
    </w:rPr>
  </w:style>
  <w:style w:type="paragraph" w:styleId="1021" w:customStyle="1">
    <w:name w:val="3. Подпункт"/>
    <w:basedOn w:val="920"/>
    <w:link w:val="971"/>
    <w:qFormat/>
    <w:pPr>
      <w:keepNext w:val="false"/>
      <w:keepLines w:val="false"/>
      <w:widowControl w:val="false"/>
      <w:numPr>
        <w:numId w:val="4"/>
      </w:numPr>
      <w:pBdr/>
      <w:tabs>
        <w:tab w:val="left" w:leader="none" w:pos="1620"/>
      </w:tabs>
      <w:spacing w:before="0"/>
      <w:ind/>
      <w:jc w:val="both"/>
    </w:pPr>
    <w:rPr>
      <w:color w:val="auto"/>
    </w:rPr>
  </w:style>
  <w:style w:type="paragraph" w:styleId="1022" w:customStyle="1">
    <w:name w:val="Содержимое списка"/>
    <w:basedOn w:val="917"/>
    <w:qFormat/>
    <w:pPr>
      <w:pBdr/>
      <w:spacing/>
      <w:ind w:left="567"/>
    </w:pPr>
  </w:style>
  <w:style w:type="paragraph" w:styleId="1023">
    <w:name w:val="toc 1"/>
    <w:basedOn w:val="917"/>
    <w:next w:val="917"/>
    <w:pPr>
      <w:pBdr/>
      <w:spacing w:before="120"/>
      <w:ind/>
    </w:pPr>
    <w:rPr>
      <w:rFonts w:cs="Calibri Light (Заголовки)"/>
      <w:b/>
      <w:bCs/>
    </w:rPr>
  </w:style>
  <w:style w:type="paragraph" w:styleId="1024">
    <w:name w:val="toc 4"/>
    <w:basedOn w:val="917"/>
    <w:next w:val="917"/>
    <w:pPr>
      <w:pBdr/>
      <w:spacing/>
      <w:ind w:left="560"/>
    </w:pPr>
    <w:rPr>
      <w:rFonts w:cstheme="minorHAnsi"/>
      <w:sz w:val="20"/>
      <w:szCs w:val="20"/>
    </w:rPr>
  </w:style>
  <w:style w:type="paragraph" w:styleId="1025">
    <w:name w:val="toc 3"/>
    <w:basedOn w:val="917"/>
    <w:next w:val="917"/>
    <w:pPr>
      <w:pBdr/>
      <w:spacing/>
      <w:ind w:left="280"/>
    </w:pPr>
    <w:rPr>
      <w:rFonts w:cstheme="minorHAnsi"/>
      <w:sz w:val="20"/>
      <w:szCs w:val="20"/>
    </w:rPr>
  </w:style>
  <w:style w:type="paragraph" w:styleId="1026" w:customStyle="1">
    <w:name w:val="Таблица шапка"/>
    <w:basedOn w:val="917"/>
    <w:qFormat/>
    <w:pPr>
      <w:keepNext w:val="true"/>
      <w:pBdr/>
      <w:spacing w:after="40" w:before="40"/>
      <w:ind w:right="57" w:left="57"/>
    </w:pPr>
    <w:rPr>
      <w:sz w:val="22"/>
      <w:szCs w:val="26"/>
    </w:rPr>
  </w:style>
  <w:style w:type="paragraph" w:styleId="1027" w:customStyle="1">
    <w:name w:val="Таблица"/>
    <w:basedOn w:val="917"/>
    <w:qFormat/>
    <w:pPr>
      <w:keepNext w:val="true"/>
      <w:pBdr/>
      <w:spacing w:after="60" w:before="60"/>
      <w:ind/>
      <w:jc w:val="center"/>
    </w:pPr>
    <w:rPr>
      <w:rFonts w:eastAsia="Calibri"/>
      <w:b/>
    </w:rPr>
  </w:style>
  <w:style w:type="paragraph" w:styleId="1028" w:customStyle="1">
    <w:name w:val="Содержимое таблицы"/>
    <w:basedOn w:val="917"/>
    <w:qFormat/>
    <w:pPr>
      <w:widowControl w:val="false"/>
      <w:suppressLineNumbers w:val="true"/>
      <w:pBdr/>
      <w:spacing/>
      <w:ind/>
    </w:pPr>
  </w:style>
  <w:style w:type="paragraph" w:styleId="1029" w:customStyle="1">
    <w:name w:val="Заголовок таблицы"/>
    <w:basedOn w:val="1028"/>
    <w:qFormat/>
    <w:pPr>
      <w:pBdr/>
      <w:spacing/>
      <w:ind/>
      <w:jc w:val="center"/>
    </w:pPr>
    <w:rPr>
      <w:b/>
      <w:bCs/>
    </w:rPr>
  </w:style>
  <w:style w:type="table" w:styleId="1030" w:customStyle="1">
    <w:name w:val="Table Grid Light"/>
    <w:basedOn w:val="92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Plain Table 1"/>
    <w:basedOn w:val="92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Plain Table 2"/>
    <w:basedOn w:val="92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Plain Table 3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Plain Table 4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Plain Table 5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Grid Table 1 Light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Grid Table 1 Light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1 Light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1 Light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1 Light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1 Light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1 Light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Grid Table 2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Grid Table 2 - Accent 1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2 - Accent 2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2 - Accent 3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2 - Accent 4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2 - Accent 5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2 - Accent 6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Grid Table 3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Grid Table 3 - Accent 1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Grid Table 3 - Accent 2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3 - Accent 3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3 - Accent 4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3 - Accent 5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3 - Accent 6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Grid Table 4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Grid Table 4 - Accent 1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Grid Table 4 - Accent 2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Grid Table 4 - Accent 3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Grid Table 4 - Accent 4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Grid Table 4 - Accent 5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Grid Table 4 - Accent 6"/>
    <w:basedOn w:val="928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Grid Table 5 Dark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Grid Table 5 Dark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Grid Table 5 Dark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Grid Table 5 Dark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Grid Table 5 Dark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Grid Table 5 Dark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Grid Table 5 Dark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Grid Table 6 Colorful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Grid Table 6 Colorful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2Horz">
      <w:rPr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Grid Table 6 Colorful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Grid Table 6 Colorful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Grid Table 6 Colorful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Grid Table 6 Colorful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Grid Table 6 Colorful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Grid Table 7 Colorful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Grid Table 7 Colorful - Accent 1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deaf6" w:themeFill="accent1" w:themeFillTint="34"/>
        <w:tcBorders/>
      </w:tcPr>
    </w:tblStylePr>
    <w:tblStylePr w:type="band2Horz">
      <w:rPr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Grid Table 7 Colorful - Accent 2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Grid Table 7 Colorful - Accent 3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Horz">
      <w:rPr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Grid Table 7 Colorful - Accent 4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Grid Table 7 Colorful - Accent 5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Horz">
      <w:rPr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Grid Table 7 Colorful - Accent 6"/>
    <w:basedOn w:val="928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Horz">
      <w:rPr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List Table 1 Light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st Table 1 Light - Accent 1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1 Light - Accent 2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1 Light - Accent 3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1 Light - Accent 4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1 Light - Accent 5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1 Light - Accent 6"/>
    <w:basedOn w:val="9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List Table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st Table 2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2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2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2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2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2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List Table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st Table 3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st Table 3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3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3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3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3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st Table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List Table 4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st Table 4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st Table 4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st Table 4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st Table 4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st Table 4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List Table 5 Dark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List Table 5 Dark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List Table 5 Dark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List Table 5 Dark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List Table 5 Dark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List Table 5 Dark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List Table 5 Dark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st Table 6 Colorful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List Table 6 Colorful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2Horz">
      <w:rPr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List Table 6 Colorful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List Table 6 Colorful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List Table 6 Colorful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List Table 6 Colorful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2Horz">
      <w:rPr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List Table 6 Colorful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2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List Table 7 Colorful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List Table 7 Colorful - Accent 1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 w:themeFill="accent1" w:themeFillTint="40"/>
        <w:tcBorders/>
      </w:tcPr>
    </w:tblStylePr>
    <w:tblStylePr w:type="band2Horz">
      <w:rPr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 w:customStyle="1">
    <w:name w:val="List Table 7 Colorful - Accent 2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 w:customStyle="1">
    <w:name w:val="List Table 7 Colorful - Accent 3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 w:customStyle="1">
    <w:name w:val="List Table 7 Colorful - Accent 4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 w:customStyle="1">
    <w:name w:val="List Table 7 Colorful - Accent 5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 w:themeFill="accent5" w:themeFillTint="40"/>
        <w:tcBorders/>
      </w:tcPr>
    </w:tblStylePr>
    <w:tblStylePr w:type="band2Horz">
      <w:rPr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 w:customStyle="1">
    <w:name w:val="List Table 7 Colorful - Accent 6"/>
    <w:basedOn w:val="928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 w:themeFill="accent6" w:themeFillTint="40"/>
        <w:tcBorders/>
      </w:tcPr>
    </w:tblStylePr>
    <w:tblStylePr w:type="band2Horz">
      <w:rPr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 w:customStyle="1">
    <w:name w:val="Lined - Accent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 w:customStyle="1">
    <w:name w:val="Lined - Accent 1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 w:customStyle="1">
    <w:name w:val="Lined - Accent 2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 w:customStyle="1">
    <w:name w:val="Lined - Accent 3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 w:customStyle="1">
    <w:name w:val="Lined - Accent 4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 w:customStyle="1">
    <w:name w:val="Lined - Accent 5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 w:customStyle="1">
    <w:name w:val="Lined - Accent 6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 w:customStyle="1">
    <w:name w:val="Bordered &amp; Lined - Accent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 w:customStyle="1">
    <w:name w:val="Bordered &amp; Lined - Accent 1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 w:customStyle="1">
    <w:name w:val="Bordered &amp; Lined - Accent 2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 w:customStyle="1">
    <w:name w:val="Bordered &amp; Lined - Accent 3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 w:customStyle="1">
    <w:name w:val="Bordered &amp; Lined - Accent 4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 w:customStyle="1">
    <w:name w:val="Bordered &amp; Lined - Accent 5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 w:customStyle="1">
    <w:name w:val="Bordered &amp; Lined - Accent 6"/>
    <w:basedOn w:val="92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 w:customStyle="1">
    <w:name w:val="Bordered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 w:customStyle="1">
    <w:name w:val="Bordered - Accent 1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 w:customStyle="1">
    <w:name w:val="Bordered - Accent 2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ed7d31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d7d31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d7d31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 w:customStyle="1">
    <w:name w:val="Bordered - Accent 3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5a5a5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5a5a5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5a5a5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 w:customStyle="1">
    <w:name w:val="Bordered - Accent 4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c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c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c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 w:customStyle="1">
    <w:name w:val="Bordered - Accent 5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 w:customStyle="1">
    <w:name w:val="Bordered - Accent 6"/>
    <w:basedOn w:val="92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0ad47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0ad47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>
    <w:name w:val="Table Grid"/>
    <w:basedOn w:val="928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56" w:customStyle="1">
    <w:name w:val="Font Style13"/>
    <w:pPr>
      <w:pBdr/>
      <w:spacing/>
      <w:ind/>
    </w:pPr>
    <w:rPr>
      <w:rFonts w:ascii="Times New Roman" w:hAnsi="Times New Roman" w:cs="Times New Roman"/>
      <w:sz w:val="22"/>
      <w:szCs w:val="22"/>
    </w:rPr>
  </w:style>
  <w:style w:type="paragraph" w:styleId="1157" w:customStyle="1">
    <w:name w:val="Заголовок 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20" w:afterAutospacing="0" w:before="240" w:beforeAutospacing="0" w:line="240" w:lineRule="auto"/>
      <w:ind w:right="0" w:firstLine="720" w:left="0"/>
      <w:contextualSpacing w:val="false"/>
      <w:jc w:val="center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158" w:customStyle="1">
    <w:name w:val="Standard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0" Type="http://schemas.openxmlformats.org/officeDocument/2006/relationships/footer" Target="footer6.xml" /><Relationship Id="rId21" Type="http://schemas.openxmlformats.org/officeDocument/2006/relationships/customXml" Target="../customXml/item1.xml" /><Relationship Id="rId22" Type="http://schemas.openxmlformats.org/officeDocument/2006/relationships/customXml" Target="../customXml/item2.xml" /><Relationship Id="rId23" Type="http://schemas.openxmlformats.org/officeDocument/2006/relationships/customXml" Target="../customXml/item3.xml" /><Relationship Id="rId24" Type="http://schemas.openxmlformats.org/officeDocument/2006/relationships/customXml" Target="../customXml/item4.xml" /><Relationship Id="rId25" Type="http://schemas.openxmlformats.org/officeDocument/2006/relationships/customXml" Target="../customXml/item5.xml" /><Relationship Id="rId26" Type="http://schemas.openxmlformats.org/officeDocument/2006/relationships/customXml" Target="../customXml/item6.xml" /><Relationship Id="rId27" Type="http://schemas.openxmlformats.org/officeDocument/2006/relationships/customXml" Target="../customXml/item7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B21E5D-F93B-461F-A9CE-F5E4E19593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12F8C-E7C4-4E0F-B1C7-31E9B93CA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BE7DDC-4AA1-46F4-BC99-D3A7A2B980D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1C40A8D-4C94-4468-8E53-442ED481E3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E0E5183-4D71-4D13-8804-D1EDDDD8758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87</cp:revision>
  <dcterms:created xsi:type="dcterms:W3CDTF">2020-06-09T22:32:00Z</dcterms:created>
  <dcterms:modified xsi:type="dcterms:W3CDTF">2026-08-24T23:54:23Z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