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«УТВЕРЖДАЮ»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Главный инженер 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Якутской ГРЭС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ПАО "Якутскэнерго"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Н.Н. Аммосов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«____»_______________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Start w:id="6" w:name="_Toc137554584"/>
      <w:bookmarkEnd w:id="4"/>
      <w:bookmarkEnd w:id="5"/>
      <w:bookmarkEnd w:id="6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/>
      </w:pPr>
      <w:r>
        <w:rPr>
          <w:rStyle w:val="Style7"/>
          <w:b w:val="false"/>
          <w:i w:val="false"/>
          <w:shd w:fill="auto" w:val="clear"/>
        </w:rPr>
        <w:t>ОКПД 2 26.51.53 Приобретение приборов химического контроля для Якутской ГРЭС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b w:val="false"/>
          <w:i w:val="false"/>
          <w:shd w:fill="auto" w:val="clear"/>
        </w:rPr>
        <w:t>Лот</w:t>
      </w:r>
    </w:p>
    <w:p>
      <w:pPr>
        <w:pStyle w:val="Normal"/>
        <w:jc w:val="center"/>
        <w:rPr>
          <w:rStyle w:val="Style7"/>
          <w:i w:val="false"/>
          <w:i w:val="false"/>
          <w:shd w:fill="auto" w:val="clear"/>
        </w:rPr>
      </w:pPr>
      <w:r>
        <w:rPr>
          <w:i w:val="false"/>
          <w:shd w:fill="auto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  <w:t>1. Общие сведения</w:t>
            <w:tab/>
            <w:t>3</w:t>
          </w:r>
        </w:p>
        <w:p>
          <w:pPr>
            <w:pStyle w:val="TOC4"/>
            <w:rPr/>
          </w:pPr>
          <w:r>
            <w:rPr/>
            <w:t>1.1. Обозначения и сокращения</w:t>
            <w:tab/>
            <w:t>3</w:t>
          </w:r>
        </w:p>
        <w:p>
          <w:pPr>
            <w:pStyle w:val="TOC4"/>
            <w:rPr/>
          </w:pPr>
          <w:r>
            <w:rPr/>
            <w:t>1.2. Наименование закупаемой продукции</w:t>
            <w:tab/>
            <w:t>4</w:t>
          </w:r>
        </w:p>
        <w:p>
          <w:pPr>
            <w:pStyle w:val="TOC4"/>
            <w:rPr/>
          </w:pPr>
          <w:r>
            <w:rPr/>
            <w:t>1.3.</w:t>
          </w:r>
          <w:hyperlink w:anchor="__RefHeading___Toc35927_2613968454">
            <w:r>
              <w:rPr>
                <w:webHidden/>
                <w:rStyle w:val="Style12"/>
                <w:vanish w:val="false"/>
              </w:rPr>
              <w:t xml:space="preserve">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2. Требования к продукции</w:t>
            <w:tab/>
          </w:r>
          <w:hyperlink w:anchor="__RefHeading___Toc3592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hyperlink w:anchor="__RefHeading___Toc35931_2613968454">
            <w:r>
              <w:rPr>
                <w:webHidden/>
                <w:rStyle w:val="Style12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r>
            <w:rPr/>
            <w:t>2.1.1. Перечень и объем закупаемой продукции</w:t>
            <w:tab/>
            <w:t>4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1.1 Перечень и объем закупаемой продукции</w:t>
            <w:tab/>
          </w:r>
          <w:hyperlink w:anchor="__RefHeading___Toc35935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3"/>
            <w:rPr/>
          </w:pPr>
          <w:r>
            <w:rPr/>
            <w:t xml:space="preserve">      </w:t>
          </w:r>
          <w:hyperlink w:anchor="__RefHeading___Toc35937_2613968454">
            <w:r>
              <w:rPr>
                <w:webHidden/>
                <w:rStyle w:val="Style12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Таблица 2.1 Требования по срокам поставки продукции</w:t>
            <w:tab/>
          </w:r>
          <w:hyperlink w:anchor="__RefHeading___Toc35939_2613968454">
            <w:r>
              <w:rPr>
                <w:webHidden/>
                <w:rStyle w:val="Style12"/>
                <w:vanish w:val="false"/>
              </w:rPr>
              <w:t>4</w:t>
            </w:r>
          </w:hyperlink>
        </w:p>
        <w:p>
          <w:pPr>
            <w:pStyle w:val="TOC4"/>
            <w:rPr/>
          </w:pPr>
          <w:r>
            <w:rPr/>
            <w:t>2.2. Требования к качеству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5943_2613968454">
            <w:r>
              <w:rPr>
                <w:webHidden/>
                <w:rStyle w:val="Style12"/>
                <w:vanish w:val="false"/>
              </w:rPr>
              <w:t xml:space="preserve"> </w:t>
            </w:r>
          </w:hyperlink>
          <w:r>
            <w:rPr/>
            <w:t>Таблица 3. Требования к продукции</w:t>
            <w:tab/>
            <w:t>5</w:t>
          </w:r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rPr/>
            <w:t>3. Требования к документации по ценообразованию на этапе зак</w:t>
          </w:r>
          <w:hyperlink w:anchor="__RefHeading___Toc35945_2613968454">
            <w:r>
              <w:rPr>
                <w:webHidden/>
                <w:rStyle w:val="Style12"/>
                <w:vanish w:val="false"/>
              </w:rPr>
              <w:t>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Heading2"/>
        <w:shd w:fill="FFFFFF" w:val="clear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7" w:name="__RefHeading___Toc35921_2613968454"/>
      <w:bookmarkStart w:id="8" w:name="_Toc51339692"/>
      <w:bookmarkStart w:id="9" w:name="_Toc75446566"/>
      <w:bookmarkEnd w:id="7"/>
      <w:r>
        <w:rPr>
          <w:lang w:val="ru-RU"/>
        </w:rPr>
        <w:t>Общие сведения</w:t>
      </w:r>
      <w:bookmarkEnd w:id="8"/>
      <w:bookmarkEnd w:id="9"/>
    </w:p>
    <w:p>
      <w:pPr>
        <w:pStyle w:val="Heading4"/>
        <w:numPr>
          <w:ilvl w:val="1"/>
          <w:numId w:val="3"/>
        </w:numPr>
        <w:rPr/>
      </w:pPr>
      <w:bookmarkStart w:id="10" w:name="__RefHeading___Toc35923_2613968454"/>
      <w:bookmarkStart w:id="11" w:name="_Toc46743505"/>
      <w:bookmarkStart w:id="12" w:name="_Toc75446567"/>
      <w:bookmarkEnd w:id="10"/>
      <w:r>
        <w:rPr/>
        <w:t>Обозначения и сокращения</w:t>
      </w:r>
      <w:bookmarkEnd w:id="11"/>
      <w:bookmarkEnd w:id="1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ЯГРЭС- Якутская государственная районная электростанция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РФ -Российская Федерация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ТУ -Технические условия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ГОСТ -</w:t>
      </w:r>
      <w:r>
        <w:rPr>
          <w:bCs/>
          <w:color w:val="202124"/>
          <w:sz w:val="24"/>
          <w:szCs w:val="24"/>
          <w:shd w:fill="FFFFFF" w:val="clear"/>
        </w:rPr>
        <w:t xml:space="preserve"> государственный стандарт</w:t>
      </w:r>
    </w:p>
    <w:p>
      <w:pPr>
        <w:pStyle w:val="Normal"/>
        <w:rPr>
          <w:color w:val="202124"/>
          <w:sz w:val="24"/>
          <w:szCs w:val="24"/>
          <w:shd w:fill="FFFFFF" w:val="clear"/>
        </w:rPr>
      </w:pPr>
      <w:r>
        <w:rPr>
          <w:sz w:val="24"/>
          <w:szCs w:val="24"/>
        </w:rPr>
        <w:t>ЗИП -</w:t>
      </w:r>
      <w:r>
        <w:rPr>
          <w:color w:val="202124"/>
          <w:sz w:val="24"/>
          <w:szCs w:val="24"/>
          <w:shd w:fill="FFFFFF" w:val="clear"/>
        </w:rPr>
        <w:t xml:space="preserve"> запасные части, инструменты и принадлежности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РЭ – руководство по эксплуатации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ТО – техническое обслуживание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СИ – средства измерения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3" w:name="__RefHeading___Toc35925_2613968454"/>
      <w:bookmarkStart w:id="14" w:name="_Toc75446568"/>
      <w:bookmarkStart w:id="15" w:name="_Toc46743506"/>
      <w:bookmarkEnd w:id="13"/>
      <w:r>
        <w:rPr/>
        <w:t>Наименование закупаемой продукции</w:t>
      </w:r>
      <w:bookmarkEnd w:id="14"/>
      <w:bookmarkEnd w:id="15"/>
    </w:p>
    <w:p>
      <w:pPr>
        <w:pStyle w:val="Normal"/>
        <w:tabs>
          <w:tab w:val="clear" w:pos="708"/>
          <w:tab w:val="left" w:pos="567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ОКПД 2 26.51.53 Приобретение приборов химического контроля для Якутской ГРЭС</w:t>
      </w:r>
      <w:bookmarkStart w:id="16" w:name="_Toc75446569"/>
    </w:p>
    <w:p>
      <w:pPr>
        <w:pStyle w:val="Normal"/>
        <w:tabs>
          <w:tab w:val="clear" w:pos="708"/>
          <w:tab w:val="left" w:pos="567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b/>
          <w:sz w:val="24"/>
          <w:szCs w:val="24"/>
        </w:rPr>
      </w:pPr>
      <w:bookmarkStart w:id="17" w:name="_Toc46743507"/>
      <w:r>
        <w:rPr>
          <w:b/>
          <w:sz w:val="24"/>
          <w:szCs w:val="24"/>
        </w:rPr>
        <w:t xml:space="preserve">Цель </w:t>
      </w:r>
      <w:bookmarkEnd w:id="17"/>
      <w:r>
        <w:rPr>
          <w:b/>
          <w:sz w:val="24"/>
          <w:szCs w:val="24"/>
        </w:rPr>
        <w:t xml:space="preserve">использования закупаемой продукции 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7"/>
          <w:b w:val="false"/>
          <w:bCs/>
          <w:i w:val="false"/>
          <w:i w:val="false"/>
          <w:sz w:val="24"/>
          <w:szCs w:val="24"/>
        </w:rPr>
      </w:pPr>
      <w:r>
        <w:rPr>
          <w:rStyle w:val="Style7"/>
          <w:b w:val="false"/>
          <w:bCs/>
          <w:i w:val="false"/>
          <w:sz w:val="24"/>
          <w:szCs w:val="24"/>
          <w:shd w:fill="auto" w:val="clear"/>
        </w:rPr>
        <w:t>Обеспечение текущей деятельности в сфере электроэнергетики, в том числе развитие информационной инфраструктуры, хозяйственное обеспечение деятельности.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8" w:name="__RefHeading___Toc35929_2613968454"/>
      <w:bookmarkStart w:id="19" w:name="_Toc51339693"/>
      <w:bookmarkStart w:id="20" w:name="_Toc75446573"/>
      <w:bookmarkEnd w:id="18"/>
      <w:r>
        <w:rPr>
          <w:iCs/>
          <w:sz w:val="24"/>
          <w:szCs w:val="24"/>
        </w:rPr>
        <w:t>Требования к продукции</w:t>
      </w:r>
      <w:bookmarkEnd w:id="19"/>
      <w:bookmarkEnd w:id="20"/>
    </w:p>
    <w:p>
      <w:pPr>
        <w:pStyle w:val="Heading4"/>
        <w:numPr>
          <w:ilvl w:val="1"/>
          <w:numId w:val="3"/>
        </w:numPr>
        <w:rPr/>
      </w:pPr>
      <w:bookmarkStart w:id="21" w:name="__RefHeading___Toc35931_2613968454"/>
      <w:bookmarkStart w:id="22" w:name="_Toc75446574"/>
      <w:bookmarkEnd w:id="21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rPr/>
      </w:pPr>
      <w:bookmarkStart w:id="23" w:name="__RefHeading___Toc35933_2613968454"/>
      <w:bookmarkStart w:id="24" w:name="_Toc75446575"/>
      <w:bookmarkEnd w:id="23"/>
      <w:r>
        <w:rPr>
          <w:lang w:val="ru-RU"/>
        </w:rPr>
        <w:t>Перечень и объем закупаемой продукции</w:t>
      </w:r>
      <w:bookmarkEnd w:id="2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5" w:name="__RefHeading___Toc35935_2613968454"/>
      <w:bookmarkStart w:id="26" w:name="_Toc75446576"/>
      <w:bookmarkStart w:id="27" w:name="_Toc51339695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End w:id="26"/>
    </w:p>
    <w:tbl>
      <w:tblPr>
        <w:tblW w:w="9812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6"/>
        <w:gridCol w:w="3784"/>
        <w:gridCol w:w="1300"/>
        <w:gridCol w:w="962"/>
        <w:gridCol w:w="1200"/>
        <w:gridCol w:w="2109"/>
      </w:tblGrid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Промышленный к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ондуктометр-солемер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переносной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center"/>
              <w:rPr/>
            </w:pPr>
            <w:r>
              <w:rPr>
                <w:rStyle w:val="Style7"/>
                <w:b w:val="false"/>
                <w:i w:val="false"/>
                <w:sz w:val="24"/>
                <w:szCs w:val="24"/>
                <w:shd w:fill="auto" w:val="clear"/>
              </w:rPr>
              <w:t>ОКПД 2 26.51.53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ограничения закупки иностранной продукции (когда национальный режим не предоставляется)</w:t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ппарат для определения стабильности масел против окисления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Газоанализатор двухдетекторный переносной (с поверкой)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Магнитная мешалка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втоматический прибор для определения времени деэмульсации масла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Хроматографа </w:t>
            </w:r>
            <w:r>
              <w:rPr>
                <w:color w:val="000000"/>
                <w:sz w:val="24"/>
                <w:szCs w:val="24"/>
              </w:rPr>
              <w:t xml:space="preserve">для определения калорийности газа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37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Хроматографа </w:t>
            </w:r>
            <w:r>
              <w:rPr>
                <w:color w:val="000000"/>
                <w:sz w:val="24"/>
                <w:szCs w:val="24"/>
              </w:rPr>
              <w:t>для определения растворенных газов в масле и общего содержания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8" w:name="__RefHeading___Toc35937_2613968454"/>
      <w:bookmarkStart w:id="29" w:name="_Toc75446578"/>
      <w:bookmarkStart w:id="30" w:name="_Toc51339696"/>
      <w:bookmarkEnd w:id="28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продукции и оказания сопутствующих услуг</w:t>
      </w:r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1" w:name="__RefHeading___Toc35939_2613968454"/>
      <w:bookmarkStart w:id="32" w:name="_Toc75446579"/>
      <w:bookmarkStart w:id="33" w:name="_Toc50125127"/>
      <w:bookmarkStart w:id="34" w:name="_Toc51339697"/>
      <w:bookmarkStart w:id="35" w:name="_Toc50125126"/>
      <w:bookmarkEnd w:id="3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800" w:type="dxa"/>
        <w:jc w:val="left"/>
        <w:tblInd w:w="2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1"/>
        <w:gridCol w:w="4400"/>
        <w:gridCol w:w="2418"/>
        <w:gridCol w:w="2540"/>
      </w:tblGrid>
      <w:tr>
        <w:trPr/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37" w:name="_Toc46743510"/>
            <w:r>
              <w:rPr>
                <w:b/>
                <w:sz w:val="24"/>
                <w:szCs w:val="24"/>
              </w:rPr>
              <w:t>4</w:t>
            </w:r>
            <w:bookmarkEnd w:id="37"/>
          </w:p>
        </w:tc>
      </w:tr>
      <w:tr>
        <w:trPr>
          <w:trHeight w:val="1222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Промышленный к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ондуктометр-солемер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переносной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 поверкой)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регламенту</w:t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ппарат для определения стабильности масел против окисления 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Газоанализатор двухдетекторный переносной 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Магнитная мешалка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втоматический прибор для определения времени деэмульсации масла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Хроматографа </w:t>
            </w:r>
            <w:r>
              <w:rPr>
                <w:color w:val="000000"/>
                <w:sz w:val="24"/>
                <w:szCs w:val="24"/>
              </w:rPr>
              <w:t xml:space="preserve">для определения калорийности газа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Хроматографа </w:t>
            </w:r>
            <w:r>
              <w:rPr>
                <w:color w:val="000000"/>
                <w:sz w:val="24"/>
                <w:szCs w:val="24"/>
              </w:rPr>
              <w:t>для определения растворенных газов в масле и общего содержания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ind w:right="5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_RefHeading___Toc35941_2613968454"/>
      <w:bookmarkStart w:id="39" w:name="_Toc51339698"/>
      <w:bookmarkStart w:id="40" w:name="_Toc75446581"/>
      <w:bookmarkStart w:id="41" w:name="_Toc46743511"/>
      <w:bookmarkEnd w:id="38"/>
      <w:r>
        <w:rPr/>
        <w:t xml:space="preserve">Требования к </w:t>
      </w:r>
      <w:bookmarkEnd w:id="41"/>
      <w:r>
        <w:rPr>
          <w:lang w:val="ru-RU"/>
        </w:rPr>
        <w:t>качеству продукции</w:t>
      </w:r>
      <w:bookmarkEnd w:id="4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2" w:name="__RefHeading___Toc35943_2613968454"/>
      <w:bookmarkEnd w:id="42"/>
      <w:r>
        <w:rPr>
          <w:sz w:val="24"/>
          <w:szCs w:val="24"/>
        </w:rPr>
        <w:t xml:space="preserve"> </w:t>
      </w:r>
      <w:bookmarkStart w:id="4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3"/>
      <w:r>
        <w:rPr>
          <w:sz w:val="24"/>
          <w:szCs w:val="24"/>
        </w:rPr>
        <w:t xml:space="preserve"> </w:t>
      </w:r>
      <w:bookmarkEnd w:id="39"/>
    </w:p>
    <w:p>
      <w:pPr>
        <w:pStyle w:val="Normal"/>
        <w:jc w:val="both"/>
        <w:rPr>
          <w:rStyle w:val="Style7"/>
          <w:sz w:val="26"/>
          <w:szCs w:val="26"/>
          <w:shd w:fill="auto" w:val="clear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 Таблицы 1.1): «</w:t>
      </w:r>
      <w:r>
        <w:rPr>
          <w:rStyle w:val="Style7"/>
          <w:sz w:val="26"/>
          <w:szCs w:val="26"/>
          <w:shd w:fill="auto" w:val="clear"/>
        </w:rPr>
        <w:t>Приборы и аппаратура для оснащения электротехнической лаборатории»</w:t>
      </w:r>
    </w:p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00"/>
        <w:gridCol w:w="1994"/>
        <w:gridCol w:w="3342"/>
        <w:gridCol w:w="2836"/>
        <w:gridCol w:w="2829"/>
        <w:gridCol w:w="3413"/>
      </w:tblGrid>
      <w:tr>
        <w:trPr/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заказчика*</w:t>
            </w:r>
          </w:p>
        </w:tc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33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i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 оборудования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677004, РФ, Республика Саха (Якутия) г. Якутск, ул. Кржижановского, д. 2</w:t>
            </w:r>
          </w:p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Грузополучатель: Якутская ГРЭС филиал ПАО «Якутскэнерго»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Транспортирование оборудования  в упаковке предприятия-изготовителя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гарантии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Гарантийный срок эксплуатации прибора виброизмерительного при соблюдении Потребителем условий</w:t>
            </w:r>
          </w:p>
          <w:p>
            <w:pPr>
              <w:pStyle w:val="Normal"/>
              <w:widowControl w:val="false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эксплуатации - </w:t>
            </w: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месяца со дня продажи прибора.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27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 оборудованием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технические паспорта;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руководства по эксплуатации. 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технические паспорта;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руководства по эксплуатации, методику поверки.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 при поставке должны сопровождаться следующей документацией: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свидетельством об утверждении типа СИ;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описанием типа (приложением к свидетельству);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методикой поверки СИ данного типа;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- свидетельством о первичной поверке.</w:t>
            </w:r>
          </w:p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до окончания действия свидетельства о поверке СИ на дату поставки должен быть не менее 2/3 межповерочного интервала.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i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</w:t>
            </w:r>
          </w:p>
        </w:tc>
        <w:tc>
          <w:tcPr>
            <w:tcW w:w="5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5.1</w:t>
            </w:r>
          </w:p>
        </w:tc>
        <w:tc>
          <w:tcPr>
            <w:tcW w:w="53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lang w:val="x-none" w:eastAsia="x-none"/>
              </w:rPr>
            </w:pPr>
            <w:r>
              <w:rPr>
                <w:lang w:val="x-none" w:eastAsia="x-none"/>
              </w:rPr>
              <w:t>6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6.1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Требования к происхождению поставляемой продукции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Оборудование и комплектующие заграничных производителей допускается применять только в случае отсутствия аналогов, произведенных в РФ, отвечающих всем техническим требованиям, предъявляемым к ним Заказчиком.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Способ подтверждения: указание параметра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6.2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       оборудованию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lang w:val="x-none" w:eastAsia="x-none"/>
              </w:rPr>
            </w:pPr>
            <w:r>
              <w:rPr>
                <w:sz w:val="24"/>
                <w:szCs w:val="24"/>
              </w:rPr>
              <w:t>Оборудование должно быть новым, ранее не используемым изготовленным, период изготовления: не ранее 2026 года выпуска, и соответствовать настоящим техническим требованиям.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31" w:leader="none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новым следует понимать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>, которое не было в употреблении, не проходило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236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36"/>
      </w:tblGrid>
      <w:tr>
        <w:trPr/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  <w:tr>
        <w:trPr/>
        <w:tc>
          <w:tcPr>
            <w:tcW w:w="236" w:type="dxa"/>
            <w:tcBorders/>
          </w:tcPr>
          <w:p>
            <w:pPr>
              <w:pStyle w:val="Normal"/>
              <w:widowControl w:val="false"/>
              <w:rPr>
                <w:lang w:val="x-none" w:eastAsia="x-none"/>
              </w:rPr>
            </w:pPr>
            <w:r>
              <w:rPr>
                <w:lang w:val="x-none" w:eastAsia="x-none"/>
              </w:rPr>
            </w:r>
          </w:p>
        </w:tc>
      </w:tr>
    </w:tbl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b/>
          <w:bCs/>
          <w:i/>
          <w:sz w:val="24"/>
          <w:szCs w:val="24"/>
        </w:rPr>
        <w:t>«Приборы и аппаратура для оснащения Химического цеха Якутской ГРЭС»</w:t>
      </w:r>
    </w:p>
    <w:tbl>
      <w:tblPr>
        <w:tblStyle w:val="1f0"/>
        <w:tblW w:w="1548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3"/>
        <w:gridCol w:w="1406"/>
        <w:gridCol w:w="2249"/>
        <w:gridCol w:w="935"/>
        <w:gridCol w:w="5051"/>
        <w:gridCol w:w="1551"/>
        <w:gridCol w:w="842"/>
        <w:gridCol w:w="612"/>
        <w:gridCol w:w="1155"/>
        <w:gridCol w:w="944"/>
      </w:tblGrid>
      <w:tr>
        <w:trPr/>
        <w:tc>
          <w:tcPr>
            <w:tcW w:w="7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4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22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53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Требования заказчика *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50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bCs/>
                <w:kern w:val="0"/>
                <w:sz w:val="24"/>
                <w:szCs w:val="24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6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ГОСТ</w:t>
            </w:r>
          </w:p>
        </w:tc>
        <w:tc>
          <w:tcPr>
            <w:tcW w:w="1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9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2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9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0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1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9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b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iCs/>
                <w:kern w:val="0"/>
                <w:sz w:val="24"/>
                <w:szCs w:val="24"/>
                <w:lang w:val="ru-RU" w:eastAsia="en-US" w:bidi="ar-SA"/>
              </w:rPr>
              <w:t>Позиция 1</w:t>
            </w:r>
          </w:p>
        </w:tc>
        <w:tc>
          <w:tcPr>
            <w:tcW w:w="22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Промышленный к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ондуктометр-солемер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переносной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Диапазон измерений УЭП: 0 ... 2000 (1) мкСм/ см; 0 ... 20000 (2) мкСм/ см / Солесодержание: 0 ... 1000 (1) мг/ дм3; 0 .. 10000 (2) мг/ дм3 / Температура: 0 ... 75 °C / (1) - с датчиком ДП-015; (2) - с датчиком ДП-15;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Погрешность УЭП: ±(0,003+0,015*æ) (1) мкСм/ см; ±(0,05+0,015*æ) (2) мкСм/ см / Солесодержание: ±(0,004+0,02*С) (1) мг/ дм3; ±(0,06+0,02*С) (2) мг/ дм3 / Температура: ± 0,3 °C / (1) - с датчиком ДП-015; (2) - с датчиком ДП-15;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деления шкалы УЭП: 0.001 мкСм/ см / Солесодержание: 0.001 мг/ дм3 / Температура: 0.1 °C /;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Вес Блок преобразовательный: 120 г / Датчик ДП-015: 80 г / Датчик ДП-15: 100 гРазмеры (Д x Ш x В)Блок преобразовательный: 65 х 130 х 28 мм / Датчик ДП-015: Ø15 х 130 мм / Датчик ДП-15: Ø15 х 160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Питание от двух элементов типа АА / от двух аккумуляторов типа АА / от сети 220 В (через источник питания);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Атмосферное давление84,0 ... 106,7 (630 ... 800) кПа (мм рт. ст.);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Влажность воздуха&lt;80 % (при +35 °C);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Рабочая температура+5 ... +50 °C;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ДругоеТребования к среде: Температура 0 ... 75 °C; Скорость потока воды через кювету проточную 0.1 ... 1 дм3/ мин</w:t>
            </w:r>
          </w:p>
        </w:tc>
        <w:tc>
          <w:tcPr>
            <w:tcW w:w="155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color w:val="000000"/>
                <w:kern w:val="0"/>
                <w:sz w:val="24"/>
                <w:szCs w:val="24"/>
                <w:lang w:val="ru-RU" w:eastAsia="en-US" w:bidi="ar-SA"/>
              </w:rPr>
              <w:t>Позиция 2</w:t>
            </w:r>
          </w:p>
        </w:tc>
        <w:tc>
          <w:tcPr>
            <w:tcW w:w="224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ппарат для определения стабильности масел против окисления 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Температура термостатирования до 250 °C;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Точность±0,5 °C;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Максимальное число окисляемых проб1...6 штук;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Питание220/50 В/Гц;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Максимальная мощность.2500 Вт;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Габаритные размеры «АПСМ-1М»,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Термостат714×720×325;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Блок регулирования температуры БРТ-6140×237×195;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Маностат1030×150×153;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Пускатель108×105×175;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Штатив120×485×250;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Масса основных блоков «АПСМ-1М», кг;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Термостат38 (без жидкости);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Блок регулирования температуры БРТ-66;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Маностат1030×150×153;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Пускатель108×105×175;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Штатив120×485×250</w:t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/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iCs/>
                <w:kern w:val="0"/>
                <w:sz w:val="24"/>
                <w:szCs w:val="24"/>
                <w:lang w:val="ru-RU" w:eastAsia="en-US" w:bidi="ar-SA"/>
              </w:rPr>
              <w:t>Позиция 3</w:t>
            </w:r>
          </w:p>
        </w:tc>
        <w:tc>
          <w:tcPr>
            <w:tcW w:w="22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Газоанализатор двухдетекторный переносной (с поверкой)</w:t>
            </w:r>
          </w:p>
        </w:tc>
        <w:tc>
          <w:tcPr>
            <w:tcW w:w="935" w:type="dxa"/>
            <w:tcBorders/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Количество измерительных каналов (детекторов) - 2;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Принцип измерения - фотоионизационный и термокаталитический;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Отбор пробы — принудительный;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Госповерка — есть;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Расход, создаваемый микрокомпрессором, л/мин - от 0,1 до 0,7;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Диапазон измерения: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ФИД, мг/м3 0 — 2000;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ФИД при калибровке по пропану C3H8, мг/м3 0 — 500;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ТКД (по метану или пр. углеводороды), % НКПР (% об.) 0 - 50 % НКПР (0 - 2,2 % об.).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Погрешность измерения, %: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ФИД CxHy приведенная в диапазоне (0 - 10) мг/м3 ±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ФИД CxHy относительная в диапазоне (10 - 2000) мг/м3 ±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ТКД приведенная в в диапазоне (0 - 50) % НКПР ± 10.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Сигнализация: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Порог 1 прерывистая звуковая и мигающая световая;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Порог 2 непрерывная звуковая и непрерывная световая.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Пороги срабатывания с каналом ФИД: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- 2 порога в диапазоне (50 - 1999) мг/м3.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Пороги срабатывания с каналом ТКД (CH4 или пр. углеводороды):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- 10 % НКПР (0,44 % об.), 20 % НКПР (0,88 % об.).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Габаритные размеры, мм: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газоанализатор без сумки-укладки 210×190×90;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сумка укладка 300×230×110.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Длина пробоотборной трубки, м от 1 до 10 (по отдельному заказу).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Масса, кг, не более 1,5.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Питание NiMH аккумуляторы.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Время непрерывной работы от блока аккумуляторов, ч, не менее 8.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Время заряда блока аккумуляторов, ч, не более 8.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Время установления показаний на уровне 90% от измеряемой концентрации, не более, с (при длине пробоотборника 1 м):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для ФИД 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для ТКД 90.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Время выхода газоанализатора на режим после включения, мин, не более 10.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Рабочие условия эксплуатации: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электрическое питание от встроенного блока аккумуляторов с напряжением 6 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температура окружающего воздуха, °С от -30 до +45;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относительная влажность воздуха, % от 10 до 95 (неконденсируемая);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атмосферное давление, кПа от 84 до 106,7.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Маркировка взрывозащиты 1Ex db ib IIB T4 Gb X.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Степень защиты от пыли и влаги IP40.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Средний срок службы: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газоанализатора, лет, не менее 6;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ФИД, лет, не менее 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- ТКД (метан и др. углеводороды), лет, не менее 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Межповерочный интервал, мес. 12.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Гарантийный срок эксплуатации, мес. 24.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Средняя наработка на отказ, ч, не менее 10000.</w:t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/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 xml:space="preserve">Позиция </w:t>
            </w: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4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Магнитная мешалка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935" w:type="dxa"/>
            <w:tcBorders>
              <w:top w:val="nil"/>
            </w:tcBorders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Размеры платформы, мм:260*260;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Объём пробы, л (Н2О):до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Скорость вращения, об/мин:0-1500;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Контроль за режимом работы: ручной, плавный;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Таймер:нет;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Дисплей:нет;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Подогрев платформы температура:до 380С;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Подогрев платформы Мощность, Вт:1200;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Вес, кг:3,3</w:t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 xml:space="preserve">Позиция </w:t>
            </w: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4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втоматический прибор для определения времени деэмульсации масла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935" w:type="dxa"/>
            <w:tcBorders>
              <w:top w:val="nil"/>
            </w:tcBorders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Температура нагрева масла во время эмульгированиядо 88-90 °C за 45-75 сек;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Количество масла необходимого для проведения одного испытания20 см3 масла;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Объем вытесняемой эмульсии пароподающей трубкой и термо- датчиком при 40 см3 эмульсии в пробиркене более 1,0 см3 - для деэмульсации масла Б2;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Температура воды в водяных банях</w:t>
              <w:br/>
              <w:t>- для эмульгирования масла Б1;</w:t>
              <w:br/>
              <w:t>- для деэмульсации масла Б2; от 20 до 25 °C, с автоматическим поддержанием температуры (система охладителя автономна);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от 93 до 95 °C, с автоматическим поддержанием температуры;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Время выхода прибора в режим автоматического поддержания температуры в заданных пределах10-12 мин при температуре окружающей среды в пределах 18-25 °C (если температура больше или меньше этих пределов, то требуется больший период времени для выхода прибора в режим готовности);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Напряжение питания220В+10 %, 50 Гц;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Максимальная потребляемая мощность не более 1100 Вт;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Габаритные размеры прибора 250х270х308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- Масса прибора без воды и масла3 кг.</w:t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 xml:space="preserve">Позиция </w:t>
            </w: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4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Хроматографа </w:t>
            </w:r>
            <w:r>
              <w:rPr>
                <w:color w:val="000000"/>
                <w:sz w:val="24"/>
                <w:szCs w:val="24"/>
              </w:rPr>
              <w:t xml:space="preserve">для определения калорийности газа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935" w:type="dxa"/>
            <w:tcBorders>
              <w:top w:val="nil"/>
            </w:tcBorders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Газовый хроматограф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Общие характеристики хроматографа:</w:t>
              <w:tab/>
              <w:t>--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Хроматограф имеет возможность автономной работы без персонального компьютера или выносной панели управления, при этом обеспечивать резервное хранение хроматограмм в памяти хроматографа на съемном носителе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Автоматическое включение режима «Охлаждение» для защиты колонок при прекращении подачи газа-носителя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Все элементы газовой схемы (пневматические узлы) доступны для технического обслуживания и перекоммутации газовой схемы при открывании верхней крышки прибора. Нет необходимости снимать боковые и задние крышки прибора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Максимальное давление газа-носителя на входе в хроматограф</w:t>
              <w:tab/>
              <w:t>≥ 1,25 Мпа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Термостат колонок:</w:t>
              <w:tab/>
              <w:t>--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полезный объем термостата для размещения колонок</w:t>
              <w:tab/>
              <w:t>≥ 12.3л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скорость программирования</w:t>
              <w:tab/>
              <w:t>≥ 125 °С/мин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Детектор по теплопроводности ДТП (спирали с повышенной чувствительностью)</w:t>
              <w:tab/>
              <w:t>3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Предел детектирования (по водороду)</w:t>
              <w:tab/>
              <w:t>≤ 8*10e-11 г/мл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</w:t>
              <w:tab/>
              <w:t>≥ 350 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Кран 10-ти портовый автоматический, термостатируемый c продуваемой оболочкой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резиновые элементы, контактирующие с пробой</w:t>
              <w:tab/>
              <w:t>Отсутствие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Конструкция крана не требует использования смазки для облегчения скольжения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 термостатирования</w:t>
              <w:tab/>
              <w:t>≥ 150°С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Продуваемая оболочка для снижения величины диффузии газов извне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Управление крана электроприводом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Времена переключения крана и температура задаются программно, хранятся в методе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Кран 6-портовый (автоматический, термостатируемый) с продуваемой оболочкой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Резиновые элементы, контактирующие с пробой</w:t>
              <w:tab/>
              <w:t>Отсутствие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Конструкция крана не требует использования смазки для облегчения скольжения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Управление крана электроприводом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Времена переключения крана и температура задаются программно, хранятся в методе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 термостатирования</w:t>
              <w:tab/>
              <w:t>≥ 150°С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Продуваемая оболочка для снижения величины диффузии газов извне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Переключатель колонок 4-х портовый (автоматический, термостатированный)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Резиновые элементы, контактирующие с пробой</w:t>
              <w:tab/>
              <w:t>Отсутствие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Конструкция крана не требует использования смазки для облегчения скольжения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Управление крана электроприводом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Времена переключения крана и температура задаются программно, хранятся в методе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 термостатирования</w:t>
              <w:tab/>
              <w:t>≥ 150°С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Монитор ЖК, диагональ не менее 23,8''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Персональный компьютер с операционной системой и лазерным принтером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Колонка насадочная из силанизированной спецстали, с концами наружным диаметром 3 мм, длина 3 м, диаметр 2.1 мм, Hayesep R 60/80 меш, металлические уплотнения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Колонка металлическая из стали ss316, длина 2м, внутрений диаметр 3мм, NaX 60/80меш c металлическими уплотнениями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Колонка металлическая из стали ss316, длина 3 м, диаметр 2.1 мм, наполнение NaX 80/100меш, металлические уплотнения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Программное обеспечение для выполнения специальных расчетов в соответствии с методикой выполнения измерения (4 расчета)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Программное обеспечение для управления хроматографом, сбора и обработки хроматографических данных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Хроматографическое программное обеспечение при установке на операционных системах на базе Linux не должно использовать виртуальные машины с Windows, эмуляторы Windows, а также программное обеспечение WINE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Программное обеспечение с идентификационными данными, указанными в описании типа средств измерений и внесенное в список комплектности средства измерений, составляет неотъемлемую часть функционала приобретаемого оборудования. ПО обеспечивает запуск и работу системы, выполняя по отношению к ней функцию управления. ПО разработано производителем для конкретного оборудования и не может рассматриваться как ПО в привычном понимании. Программа привязана к конкретному устройству с уникальным серийным номером, с которым поставляется. ПО является комплексным устройством, рассматривать отдельно аппаратную и программную части недопустимо, поскольку они не могут функционировать друг без друга.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Автоматическая и ручная разметка пиков, различные методы градуировки и количественной обработки данных, усреднение результатов нескольких измерений, печать отчетов, создание автоматических последовательностей для обработки данных с гибкими настройками для каждого метода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Создание учетных записей пользователей с паролями, позволяющих разграничить доступ к программе для пользователей, имеющих разную квалификацию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Уровень защиты программного обеспечения от непреднамеренных и преднамеренных изменений, подтвержденный свидетельством описания типа средства измерения, соответствует уровню «Высокий» согласно Р 50.2.077-2014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Блок фильтров на кронштейне со стабилизирующими регуляторами давления в составе: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четыре фильтра и два регулятора давления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Сульфинертные линии, контактирующие с пробой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Трубопровод, обогреваемый с внутренней трубкой из инертного к серосодержащим соединениям материала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Длина трубопровода</w:t>
              <w:tab/>
              <w:t>≥ 1м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Температура обогрева,</w:t>
              <w:tab/>
              <w:t>≥ 80°С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Внутренний диаметр трубки</w:t>
              <w:tab/>
              <w:t>≥ 0.75мм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Комплект арматуры газовой</w:t>
              <w:tab/>
              <w:t>2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Медный трубопровод диаметр 3,17 мм (в комплекте)</w:t>
              <w:tab/>
              <w:t>≥ 6 метров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Двухступенчатый баллонный регулятор давления газа-носителя с инертной металлической мембраной и предохранительным клапаном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Хомут для крепления баллонов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Визуальный индикатор потока газа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Дозирующая петля 1мл, нерж.сталь, с гайками и металлическими муфтами (для крана)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Дозирующая петля, 1мл из материала инертного к серосодержащим соединениям</w:t>
              <w:tab/>
              <w:t>2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Измеритель (индикатор) расхода газа и давления, встраиваемый в хроматограф, должен включать датчик абсолютного давления (20 - 400 кПа), обеспечивать передачу информации в автоматическом режиме о давлении в дозе крана.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Комплект коммутационный (≥ 8 портов) для соединения хроматографа с персональным компьютером по сети Ethernet</w:t>
              <w:tab/>
              <w:t>1 компл.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Пневмосопротивление регулируемое для ограничения потока при работе с ПГС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Максимальное входное давление</w:t>
              <w:tab/>
              <w:t>≥ 10 Мпа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Резьба гайки</w:t>
              <w:tab/>
              <w:t>Сп. 21.8х14 нит. на 1’’ (правая)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Гайка с левой резьбой поставляется в комплекте ЗИП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Пневмосопротивление регулируемое для ограничения потока при работе с ПГС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Максимальное входное давление</w:t>
              <w:tab/>
              <w:t>не менее 10 Мпа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Резьба гайки</w:t>
              <w:tab/>
              <w:t>Сп. 21.8х14 нит. на 1’’ (левая)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Гайка с правой резьбой поставляется в комплекте ЗИП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Фильтр по каналу пробы. Предназначен для защиты кранов от механических примесей в газовой пробе</w:t>
              <w:tab/>
              <w:t>2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Фильтр (незаполненный)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Аттестованная газовая смесь в статусе ИПГ (He, H2, N2, O2, CO2, углеводороды С1-С8, бензол, толуол, всего 18 компонентов) в алюм.баллоне емк. 10 л.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Пробоотборник алюминиевый, емкость не менее 2л, латунные вентили, резьба левая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Трубка медная капиллярная 1/8''</w:t>
              <w:tab/>
              <w:t>3 м</w:t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3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/>
              <w:contextualSpacing/>
              <w:jc w:val="center"/>
              <w:rPr>
                <w:rFonts w:ascii="Times New Roman" w:hAnsi="Times New Roman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Arial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>Позиц</w:t>
            </w: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>и</w:t>
            </w: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 xml:space="preserve">я </w:t>
            </w:r>
            <w:r>
              <w:rPr>
                <w:rFonts w:eastAsia="Calibri" w:cs="Arial"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4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Хроматографа </w:t>
            </w:r>
            <w:r>
              <w:rPr>
                <w:color w:val="000000"/>
                <w:sz w:val="24"/>
                <w:szCs w:val="24"/>
              </w:rPr>
              <w:t>для определения растворенных газов в масле и общего содержания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(с поверкой)</w:t>
            </w:r>
          </w:p>
        </w:tc>
        <w:tc>
          <w:tcPr>
            <w:tcW w:w="935" w:type="dxa"/>
            <w:tcBorders>
              <w:top w:val="nil"/>
            </w:tcBorders>
          </w:tcPr>
          <w:p>
            <w:pPr>
              <w:pStyle w:val="Style33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0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Газовый хроматограф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Общие характеристики хроматографа:</w:t>
              <w:tab/>
              <w:t>--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Хроматограф имеет возможность автономной работы без персонального компьютера или выносной панели управления, при этом обеспечивать резервное хранение хроматограмм в памяти хроматографа на съемном носителе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Автоматическое включение режима «Охлаждение» для защиты колонок при прекращении подачи газа-носителя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Все элементы газовой схемы (пневматические узлы) доступны для технического обслуживания и перекоммутации газовой схемы при открывании верхней крышки прибора. Нет необходимости снимать боковые и задние крышки прибора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Максимальное давление газа-носителя на входе в хроматограф</w:t>
              <w:tab/>
              <w:t>≥ 1,25 Мпа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Термостат колонок:</w:t>
              <w:tab/>
              <w:t>--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полезный объем термостата для размещения колонок</w:t>
              <w:tab/>
              <w:t>≥ 12.3л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скорость программирования</w:t>
              <w:tab/>
              <w:t>≥ 125 °С/мин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Детектор по теплопроводности (ДТП)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Предел детектирования (по пропану)</w:t>
              <w:tab/>
              <w:t>≤ 2*10e-9 г/мл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</w:t>
              <w:tab/>
              <w:t>≥ 350 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Детектор пламенно-ионизационный (ПИД)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Предел детектирования (по пропану)</w:t>
              <w:tab/>
              <w:t>≤ 9,0 х10e-13 гС/с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</w:t>
              <w:tab/>
              <w:t>≥ 450 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Кран 10-портовый (поворотный двухпозиционный ручной термостатируемый с продуваемой оболочкой)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Резиновые элементы, контактирующие с пробой</w:t>
              <w:tab/>
              <w:t>Отсутствие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Конструкция крана не требует использования смазки для облегчения скольжения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Продуваемая оболочка для снижения величины диффузии газов извне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 термостатирования</w:t>
              <w:tab/>
              <w:t>≥ 150°С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Монитор ЖК, диагональ не менее 23,8''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Персональный компьютер с операционной системой и лазерным принтером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Колонка из нержавеющей стали марки ss316 длина 2м, диаметр 3мм, наполнение CaA 0.2-0.4 мм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Колонка из нержавеющей стали марки ss316 длина 3м, диаметр 2мм, наполнение Hayesep N 80/100меш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Программное обеспечение для управления хроматографом, сбора и обработки хроматографических данных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Хроматографическое программное обеспечение при установке на операционных системах на базе Linux не должно использовать виртуальные машины с Windows, эмуляторы Windows, а также программное обеспечение WINE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Программное обеспечение с идентификационными данными, указанными в описании типа средств измерений и внесенное в список комплектности средства измерений, составляет неотъемлемую часть функционала приобретаемого оборудования. ПО обеспечивает запуск и работу системы, выполняя по отношению к ней функцию управления. ПО разработано производителем для конкретного оборудования и не может рассматриваться как ПО в привычном понимании. Программа привязана к конкретному устройству с уникальным серийным номером, с которым поставляется. ПО является комплексным устройством, рассматривать отдельно аппаратную и программную части недопустимо, поскольку они не могут функционировать друг без друга.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Автоматическая и ручная разметка пиков, различные методы градуировки и количественной обработки данных, усреднение результатов нескольких измерений, печать отчетов, создание автоматических последовательностей для обработки данных с гибкими настройками для каждого метода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Создание учетных записей пользователей с паролями, позволяющих разграничить доступ к программе для пользователей, имеющих разную квалификацию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Уровень защиты программного обеспечения от непреднамеренных и преднамеренных изменений, подтвержденный свидетельством описания типа средства измерения, соответствует уровню «Высокий» согласно Р 50.2.077-2014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Блок фильтров на кронштейне со стабилизирующими регуляторами давления в составе: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четыре фильтра и три регулятора давления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Генератор водорода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Производительность</w:t>
              <w:tab/>
              <w:t>≥ 10 л/час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Выходное давление</w:t>
              <w:tab/>
              <w:t>≥ 600 кПа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Дозаправка водой генератора водорода без сбрасывания давления вырабатываемого водорода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Фильтры для осушки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Фильтр-индикатор влажности, установленный на передней панели корпуса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Компрессор воздуха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Производительность</w:t>
              <w:tab/>
              <w:t>≥ 3,0 л/мин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номинальное рабочее давление</w:t>
              <w:tab/>
              <w:t>≥ 1,7 атм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уровень звукового давления</w:t>
              <w:tab/>
              <w:t>≤ 63 дБА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безмасляный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Устройство для достижения равновесия на 4 шприца по 20 мл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Клапан для заполнения шприцев газом-носителем универсальный с кронштейном и фильтром для улавливания капель масла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Метанатор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Максимальная температура</w:t>
              <w:tab/>
              <w:t>≥ 400°С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Сульфинертные линии, контактирующие с пробой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Специализированное программное обеспечение для анализа трансформаторного масла с целью диагностики трансформаторов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Комплект арматуры газовой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Медный трубопровод диаметр 3,17 мм (в комплекте)</w:t>
              <w:tab/>
              <w:t>≥ 6 метров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Двухступенчатый баллонный регулятор давления газа-носителя с инертной металлической мембраной и предохранительным клапаном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Хомут для крепления баллонов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Дозирующая петля 1мл, нерж.сталь, с гайками и металлическими муфтами (для крана)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Дозирующая петля 1мл, из материала инертного к серосодержащим соединениям, с гайками и металлическими муфтами (для крана)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Заглушка (для шприца, тип Луер)</w:t>
              <w:tab/>
              <w:t>16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Комплект коммутационный (≥ 8 портов) для соединения хроматографа с персональным компьютером по сети Ethernet</w:t>
              <w:tab/>
              <w:t>1 компл.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Контейнер для переноски шприцев. количество мест для шприцев (20 мл) не менее 8шт.</w:t>
              <w:tab/>
              <w:t>1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Пневмосопротивление регулируемое для ограничения потока при работе с ПГС</w:t>
              <w:tab/>
              <w:t>2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Максимальное входное давление</w:t>
              <w:tab/>
              <w:t>≥ 10 Мпа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Резьба гайки</w:t>
              <w:tab/>
              <w:t>Сп. 21.8х14 нит. на 1’’ (правая)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Гайка с левой резьбой поставляется в комплекте ЗИП</w:t>
              <w:tab/>
              <w:t>Наличие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Шприц объемом 20мл, с металлическим поршнем, для трансформаторного масла</w:t>
              <w:tab/>
              <w:t>8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Аттестованная газовая смесь (двуокись углерода, окись углерода, азот, кислород, метан, этан, этилен, ацетилен, водород в аргоне)</w:t>
              <w:tab/>
              <w:t>2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Трубка медная капиллярная 1/8''</w:t>
              <w:tab/>
              <w:t>3 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Пробоотборник трансформаторного масла (Elchrom GS, 20 мл, с гермоузлом)</w:t>
              <w:tab/>
              <w:t>10 шт.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Calibri" w:cs="Arial"/>
                <w:kern w:val="0"/>
                <w:sz w:val="24"/>
                <w:szCs w:val="24"/>
                <w:lang w:val="ru-RU" w:eastAsia="en-US" w:bidi="ar-SA"/>
              </w:rPr>
              <w:t>Контейнер для переноски пробоотборников Elchrom (вместимость, 10 х 20мл)</w:t>
              <w:tab/>
              <w:t>1 шт.</w:t>
            </w:r>
          </w:p>
        </w:tc>
        <w:tc>
          <w:tcPr>
            <w:tcW w:w="15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55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before="120" w:after="40"/>
        <w:ind w:right="397" w:hanging="0"/>
        <w:jc w:val="both"/>
        <w:rPr>
          <w:sz w:val="24"/>
          <w:szCs w:val="24"/>
        </w:rPr>
      </w:pPr>
      <w:bookmarkStart w:id="44" w:name="__RefNumPara__25022_3612817740"/>
      <w:bookmarkEnd w:id="44"/>
      <w:r>
        <w:rPr>
          <w:sz w:val="24"/>
          <w:szCs w:val="24"/>
        </w:rPr>
        <w:tab/>
        <w:tab/>
      </w:r>
    </w:p>
    <w:p>
      <w:pPr>
        <w:pStyle w:val="Normal"/>
        <w:spacing w:before="120" w:after="40"/>
        <w:ind w:left="1224" w:right="397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*Указанные в настоящем ТТ ссылки на ТУ, марку (тип) продукции носят описательный, а не обязательный характер. </w:t>
      </w:r>
    </w:p>
    <w:p>
      <w:pPr>
        <w:pStyle w:val="Normal"/>
        <w:spacing w:before="40" w:after="120"/>
        <w:ind w:left="1224" w:right="-28" w:hanging="0"/>
        <w:jc w:val="both"/>
        <w:rPr>
          <w:lang w:val="x-none" w:eastAsia="x-none"/>
        </w:rPr>
      </w:pPr>
      <w:r>
        <w:rPr>
          <w:b/>
          <w:bCs/>
          <w:sz w:val="24"/>
          <w:szCs w:val="24"/>
        </w:rPr>
        <w:t>В случае, если Участником предлагается эквивалентная продукция</w:t>
      </w:r>
      <w:r>
        <w:rPr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851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before="40" w:after="120"/>
        <w:ind w:left="1224" w:right="-28" w:hanging="0"/>
        <w:jc w:val="both"/>
        <w:rPr>
          <w:sz w:val="24"/>
          <w:szCs w:val="24"/>
        </w:rPr>
      </w:pPr>
      <w:r>
        <w:rPr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5" w:name="__RefHeading___Toc35945_2613968454"/>
      <w:bookmarkStart w:id="46" w:name="_Toc75446583"/>
      <w:bookmarkStart w:id="47" w:name="_Toc53393312"/>
      <w:bookmarkEnd w:id="45"/>
      <w:r>
        <w:rPr>
          <w:lang w:val="ru-RU"/>
        </w:rPr>
        <w:t>Требования к документации по ценообразованию</w:t>
      </w:r>
      <w:bookmarkEnd w:id="47"/>
      <w:r>
        <w:rPr>
          <w:lang w:val="ru-RU"/>
        </w:rPr>
        <w:t xml:space="preserve"> на этапе закупки</w:t>
      </w:r>
      <w:bookmarkEnd w:id="46"/>
    </w:p>
    <w:p>
      <w:pPr>
        <w:pStyle w:val="Style32"/>
        <w:ind w:firstLine="357"/>
        <w:rPr>
          <w:sz w:val="24"/>
          <w:szCs w:val="24"/>
        </w:rPr>
      </w:pPr>
      <w:bookmarkStart w:id="48" w:name="__RefHeading___Toc35947_2613968454"/>
      <w:bookmarkEnd w:id="48"/>
      <w:r>
        <w:rPr>
          <w:rStyle w:val="Style7"/>
          <w:rFonts w:ascii="Times New Roman" w:hAnsi="Times New Roman"/>
          <w:b w:val="false"/>
          <w:i w:val="false"/>
          <w:sz w:val="24"/>
          <w:szCs w:val="24"/>
          <w:shd w:fill="auto" w:val="clear"/>
        </w:rPr>
        <w:t>По результатам настоящей закупки заключается договор с предельной ценой, равной начальной (максимальной) цене договора.</w:t>
      </w:r>
    </w:p>
    <w:p>
      <w:pPr>
        <w:pStyle w:val="Style32"/>
        <w:rPr>
          <w:sz w:val="24"/>
          <w:szCs w:val="24"/>
        </w:rPr>
      </w:pPr>
      <w:bookmarkStart w:id="49" w:name="__RefHeading___Toc35949_2613968454"/>
      <w:bookmarkStart w:id="50" w:name="_Toc46743519"/>
      <w:bookmarkStart w:id="51" w:name="_Toc51339699"/>
      <w:bookmarkEnd w:id="49"/>
      <w:r>
        <w:rPr>
          <w:rStyle w:val="Style7"/>
          <w:rFonts w:ascii="Times New Roman" w:hAnsi="Times New Roman"/>
          <w:b w:val="false"/>
          <w:i w:val="false"/>
          <w:sz w:val="24"/>
          <w:szCs w:val="24"/>
          <w:shd w:fill="auto" w:val="clear"/>
        </w:rPr>
        <w:t>Цена на продукцию должна включать в себя все расходы Поставщика, связанные с исполнением договора, в том числе расходы по доставке, погрузочно-разгрузочные работы, страхование, уплату таможенных пошлин, сборов, других обязательных платежей и выражена в рублях Российской Федерации.</w:t>
      </w:r>
      <w:bookmarkEnd w:id="50"/>
      <w:bookmarkEnd w:id="51"/>
    </w:p>
    <w:p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32"/>
        <w:rPr>
          <w:rFonts w:ascii="Times New Roman" w:hAnsi="Times New Roman"/>
          <w:sz w:val="24"/>
          <w:szCs w:val="24"/>
        </w:rPr>
      </w:pPr>
      <w:r>
        <w:rPr/>
      </w:r>
      <w:bookmarkStart w:id="52" w:name="RANGE!A1%2525252525252525252525252525252"/>
      <w:bookmarkStart w:id="53" w:name="RANGE!A1%2525252525252525252525252525252"/>
      <w:bookmarkEnd w:id="53"/>
    </w:p>
    <w:sectPr>
      <w:headerReference w:type="default" r:id="rId7"/>
      <w:headerReference w:type="first" r:id="rId8"/>
      <w:type w:val="nextPage"/>
      <w:pgSz w:w="11906" w:h="16838"/>
      <w:pgMar w:left="851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9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19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27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3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17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7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17"/>
    <w:qFormat/>
    <w:pPr/>
    <w:rPr/>
  </w:style>
  <w:style w:type="paragraph" w:styleId="Style15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6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7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8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9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19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1e7cb7"/>
    <w:pPr>
      <w:shd w:val="clear" w:color="auto" w:fill="FFFFFF"/>
      <w:tabs>
        <w:tab w:val="clear" w:pos="708"/>
        <w:tab w:val="right" w:pos="10204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0" w:customStyle="1">
    <w:name w:val="Раздел регламента"/>
    <w:basedOn w:val="Normal"/>
    <w:qFormat/>
    <w:rsid w:val="00e228fa"/>
    <w:pPr/>
    <w:rPr/>
  </w:style>
  <w:style w:type="paragraph" w:styleId="Style21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11fe6"/>
    <w:pPr>
      <w:shd w:val="clear" w:color="auto" w:fill="FFFFFF"/>
      <w:tabs>
        <w:tab w:val="clear" w:pos="708"/>
        <w:tab w:val="right" w:pos="10204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2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7" w:customStyle="1">
    <w:name w:val="Подподпункт"/>
    <w:basedOn w:val="Style19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8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29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0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Western" w:customStyle="1">
    <w:name w:val="western"/>
    <w:basedOn w:val="Normal"/>
    <w:qFormat/>
    <w:rsid w:val="00404a99"/>
    <w:pPr>
      <w:spacing w:beforeAutospacing="1" w:after="119"/>
    </w:pPr>
    <w:rPr>
      <w:color w:val="000000"/>
    </w:rPr>
  </w:style>
  <w:style w:type="paragraph" w:styleId="Style31" w:customStyle="1">
    <w:name w:val="Содержимое врезки"/>
    <w:basedOn w:val="Normal"/>
    <w:qFormat/>
    <w:pPr/>
    <w:rPr/>
  </w:style>
  <w:style w:type="paragraph" w:styleId="Style3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4" w:customStyle="1">
    <w:name w:val="Заголовок таблицы"/>
    <w:basedOn w:val="Style3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7242-8BEB-49F1-A39A-4628D1AF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Application>AlterOffice/3.4.0.9$Linux_X86_64 LibreOffice_project/b8daf9e823b1a5463a2f48435ddc2e8696e7d4fc</Application>
  <AppVersion>15.0000</AppVersion>
  <DocSecurity>4</DocSecurity>
  <Pages>26</Pages>
  <Words>3700</Words>
  <Characters>23989</Characters>
  <CharactersWithSpaces>27224</CharactersWithSpaces>
  <Paragraphs>496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2026-02-18T03:10:00Z</dcterms:created>
  <dc:creator>Быстров Олег Геннадьевич</dc:creator>
  <dc:description/>
  <dc:language>ru-RU</dc:language>
  <cp:lastModifiedBy>gabyshevinin</cp:lastModifiedBy>
  <cp:lastPrinted>2025-03-31T05:43:00Z</cp:lastPrinted>
  <dcterms:modified xsi:type="dcterms:W3CDTF">2026-08-26T16:43:17Z</dcterms:modified>
  <cp:revision>18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