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color w:val="000000"/>
          <w:sz w:val="22"/>
        </w:rPr>
      </w:pPr>
    </w:p>
    <w:p w14:paraId="02000000">
      <w:pPr>
        <w:pStyle w:val="Style_1"/>
        <w:rPr>
          <w:b w:val="1"/>
          <w:color w:val="000000"/>
          <w:sz w:val="22"/>
        </w:rPr>
      </w:pPr>
    </w:p>
    <w:p w14:paraId="03000000">
      <w:pPr>
        <w:pStyle w:val="Style_1"/>
        <w:widowControl w:val="1"/>
        <w:ind/>
        <w:jc w:val="center"/>
        <w:rPr>
          <w:color w:val="000000"/>
          <w:sz w:val="22"/>
        </w:rPr>
      </w:pPr>
      <w:r>
        <w:rPr>
          <w:b w:val="1"/>
          <w:color w:val="000000"/>
          <w:sz w:val="22"/>
        </w:rPr>
        <w:t>ТЕХНИЧЕСКОЕ ЗАДАНИЕ</w:t>
      </w:r>
    </w:p>
    <w:p w14:paraId="04000000">
      <w:pPr>
        <w:pStyle w:val="Style_1"/>
        <w:widowControl w:val="1"/>
        <w:ind/>
        <w:jc w:val="both"/>
        <w:rPr>
          <w:color w:val="000000"/>
          <w:sz w:val="22"/>
        </w:rPr>
      </w:pPr>
    </w:p>
    <w:p w14:paraId="05000000">
      <w:pPr>
        <w:pStyle w:val="Style_1"/>
        <w:widowControl w:val="1"/>
        <w:numPr>
          <w:ilvl w:val="0"/>
          <w:numId w:val="1"/>
        </w:numPr>
        <w:tabs>
          <w:tab w:leader="none" w:pos="426" w:val="left"/>
          <w:tab w:leader="none" w:pos="708" w:val="clear"/>
        </w:tabs>
        <w:ind w:hanging="360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Общие положения</w:t>
      </w:r>
    </w:p>
    <w:p w14:paraId="06000000">
      <w:pPr>
        <w:pStyle w:val="Style_1"/>
        <w:widowControl w:val="1"/>
        <w:numPr>
          <w:ilvl w:val="1"/>
          <w:numId w:val="2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>Настоящее техническое задание определяет требования к Оборудованию: Шкафы питания на опору, а также к работам по его монтажу/ установке и пусконаладке.</w:t>
      </w:r>
    </w:p>
    <w:p w14:paraId="07000000">
      <w:pPr>
        <w:pStyle w:val="Style_1"/>
        <w:widowControl w:val="1"/>
        <w:numPr>
          <w:ilvl w:val="1"/>
          <w:numId w:val="2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Поставка Оборудования по Договору включает в себя: поставку, монтаж/установку, пусконаладку Оборудования согласно требованиям, установленным Договором и настоящим Техническим заданием. </w:t>
      </w:r>
    </w:p>
    <w:p w14:paraId="0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</w:p>
    <w:p w14:paraId="09000000">
      <w:pPr>
        <w:pStyle w:val="Style_1"/>
        <w:widowControl w:val="1"/>
        <w:numPr>
          <w:ilvl w:val="0"/>
          <w:numId w:val="3"/>
        </w:numPr>
        <w:tabs>
          <w:tab w:leader="none" w:pos="426" w:val="left"/>
          <w:tab w:leader="none" w:pos="708" w:val="clear"/>
        </w:tabs>
        <w:ind w:hanging="360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Основные требования</w:t>
      </w:r>
    </w:p>
    <w:p w14:paraId="0A000000">
      <w:pPr>
        <w:pStyle w:val="Style_1"/>
        <w:widowControl w:val="1"/>
        <w:numPr>
          <w:ilvl w:val="1"/>
          <w:numId w:val="3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>Поставка, монтаж/установка и пусконаладка Оборудования осуществляются в полном соответствии с требованиями действующего законодательства РФ, в том числе, но не ограничиваясь соблюдением в применимой части строительных норм и правил, правил технической эксплуатации, норм пожарной безопасности, техники безопасности, охраны окружающей среды, зеленых насаждений и благоустройства, ГОСТ Р 58350-2019 «Дороги автомобильные общего пользования. Технические средства организации дорожного движения в местах производства работ. Технические требования. Правила применения» и т.д.</w:t>
      </w:r>
    </w:p>
    <w:p w14:paraId="0B000000">
      <w:pPr>
        <w:pStyle w:val="Style_1"/>
        <w:widowControl w:val="1"/>
        <w:numPr>
          <w:ilvl w:val="1"/>
          <w:numId w:val="3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Поставщик обязан исполнять полученные в ходе исполнения Договора письменные указания Заказчика. </w:t>
      </w:r>
    </w:p>
    <w:p w14:paraId="0C000000">
      <w:pPr>
        <w:pStyle w:val="Style_1"/>
        <w:widowControl w:val="1"/>
        <w:numPr>
          <w:ilvl w:val="1"/>
          <w:numId w:val="3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>Немедленно письменно предупреждать Заказчика при обнаружении не зависящих от Поставщика обстоятельств, которые препятствуют либо создают невозможность исполнения Поставщиком условий Договора в срок не позднее 3 (трех) рабочих дней с даты возникновения таких обстоятельств.</w:t>
      </w:r>
    </w:p>
    <w:p w14:paraId="0D000000">
      <w:pPr>
        <w:pStyle w:val="Style_1"/>
        <w:widowControl w:val="1"/>
        <w:numPr>
          <w:ilvl w:val="1"/>
          <w:numId w:val="3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Поставщик обеспечивает сохранность всех инженерных коммуникаций, попадающих в зону осуществления </w:t>
      </w:r>
      <w:bookmarkStart w:id="1" w:name="_Hlk152581557"/>
      <w:r>
        <w:rPr>
          <w:color w:val="000000"/>
          <w:sz w:val="22"/>
        </w:rPr>
        <w:t>монтажа/установки Оборудования</w:t>
      </w:r>
      <w:bookmarkEnd w:id="1"/>
      <w:r>
        <w:rPr>
          <w:color w:val="000000"/>
          <w:sz w:val="22"/>
        </w:rPr>
        <w:t>. Во время исполнения Договора Поставщик несет ответственность за все аварийные ситуации на объекте, произошедшие по вине Поставщика, а также за безопасность исполнителей и людей, которые могут оказаться в зоне монтажа/установки Оборудования. Возмещение материального ущерба 3-им лицам вследствие порчи их имущества во время монтажа/установки Оборудования, производится за счет Поставщика.</w:t>
      </w:r>
    </w:p>
    <w:p w14:paraId="0E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center"/>
        <w:rPr>
          <w:color w:val="000000"/>
          <w:sz w:val="22"/>
        </w:rPr>
      </w:pPr>
    </w:p>
    <w:p w14:paraId="0F000000">
      <w:pPr>
        <w:pStyle w:val="Style_1"/>
        <w:widowControl w:val="1"/>
        <w:numPr>
          <w:ilvl w:val="0"/>
          <w:numId w:val="4"/>
        </w:numPr>
        <w:tabs>
          <w:tab w:leader="none" w:pos="426" w:val="left"/>
          <w:tab w:leader="none" w:pos="708" w:val="clear"/>
        </w:tabs>
        <w:ind w:hanging="567"/>
        <w:jc w:val="center"/>
        <w:rPr>
          <w:b w:val="1"/>
          <w:color w:val="000000"/>
          <w:sz w:val="22"/>
        </w:rPr>
      </w:pPr>
      <w:bookmarkStart w:id="2" w:name="OLE_LINK3"/>
      <w:r>
        <w:rPr>
          <w:b w:val="1"/>
          <w:color w:val="000000"/>
          <w:sz w:val="22"/>
        </w:rPr>
        <w:t>Требования к техническим, функциональным, качественным и количественным характеристикам, предъявляемым к Оборудованию</w:t>
      </w:r>
      <w:bookmarkEnd w:id="2"/>
    </w:p>
    <w:p w14:paraId="10000000">
      <w:pPr>
        <w:pStyle w:val="Style_1"/>
        <w:widowControl w:val="1"/>
        <w:numPr>
          <w:ilvl w:val="1"/>
          <w:numId w:val="5"/>
        </w:numPr>
        <w:tabs>
          <w:tab w:leader="none" w:pos="426" w:val="left"/>
          <w:tab w:leader="none" w:pos="708" w:val="clear"/>
        </w:tabs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>Общие требования к Оборудованию для установки:</w:t>
      </w:r>
    </w:p>
    <w:p w14:paraId="11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Оборудование должно быть качественным и соответствовать требованиям, установленными ТЗ и законодательством Российской Федерации. </w:t>
      </w:r>
    </w:p>
    <w:p w14:paraId="12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color w:val="000000"/>
          <w:sz w:val="22"/>
        </w:rPr>
        <w:t>Оборудование должно быть новым, свободно распространяться на территории Российской Федерации, свободным от любых прав и притязаний третьих лиц.  Оборудование не должно быть ранее в употреблении, в ремонте. Оборудование должно быть в оригинальной заводской упаковке, без повреждений, с сохранением всех защитных знаков и маркировок производителей.</w:t>
      </w:r>
    </w:p>
    <w:p w14:paraId="13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color w:val="000000"/>
          <w:sz w:val="22"/>
        </w:rPr>
        <w:t>Обязательно наличие сертификатов, технических паспортов и других документов, удостоверяющих его качество. Требование установлено Федеральным законом от 27.12.2002 № 184-ФЗ «О техническом регулировании».</w:t>
      </w:r>
    </w:p>
    <w:p w14:paraId="14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bookmarkStart w:id="3" w:name="OLE_LINK1"/>
      <w:r>
        <w:rPr>
          <w:color w:val="000000"/>
          <w:sz w:val="22"/>
        </w:rPr>
        <w:t xml:space="preserve">Поставщик должен обеспечить товарный вид Оборудования в упаковке, предохраняющей от всякого рода повреждений при транспортировке. </w:t>
      </w:r>
      <w:bookmarkEnd w:id="3"/>
    </w:p>
    <w:p w14:paraId="15000000">
      <w:pPr>
        <w:pStyle w:val="Style_2"/>
        <w:widowControl w:val="1"/>
        <w:numPr>
          <w:ilvl w:val="1"/>
          <w:numId w:val="5"/>
        </w:numPr>
        <w:tabs>
          <w:tab w:leader="none" w:pos="426" w:val="left"/>
          <w:tab w:leader="none" w:pos="708" w:val="clear"/>
        </w:tabs>
        <w:ind w:hanging="426"/>
        <w:rPr>
          <w:sz w:val="22"/>
        </w:rPr>
      </w:pPr>
      <w:r>
        <w:rPr>
          <w:sz w:val="22"/>
        </w:rPr>
        <w:t>Требования к техническим и функциональным характеристикам поставляемого шкафа питания:</w:t>
      </w:r>
    </w:p>
    <w:p w14:paraId="16000000">
      <w:pPr>
        <w:pStyle w:val="Style_1"/>
        <w:widowControl w:val="1"/>
        <w:tabs>
          <w:tab w:leader="none" w:pos="426" w:val="left"/>
          <w:tab w:leader="none" w:pos="708" w:val="clear"/>
        </w:tabs>
        <w:ind/>
        <w:rPr>
          <w:sz w:val="22"/>
        </w:rPr>
      </w:pPr>
      <w:r>
        <w:rPr>
          <w:sz w:val="22"/>
        </w:rPr>
        <w:t>3.2.1. Требования к шкафу питания:</w:t>
      </w:r>
    </w:p>
    <w:p w14:paraId="17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sz w:val="22"/>
        </w:rPr>
        <w:t>Шкаф должен представлять собой уличный всепогодный шкаф питания с креплением на опору, обеспечивающий электропитание, бесперебойное питание и удалённый мониторинг оборудования, подключённого к линии городского освещения. Класс защиты оболочки шкафа должен быть не ниже IP65 УХЛ по ГОСТ 14254;</w:t>
      </w:r>
    </w:p>
    <w:p w14:paraId="18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sz w:val="22"/>
        </w:rPr>
        <w:t>Монтаж должен предусматривать крепление на опору; кронштейн для крепления должен входить в комплект поставки;</w:t>
      </w:r>
    </w:p>
    <w:p w14:paraId="19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sz w:val="22"/>
        </w:rPr>
        <w:t xml:space="preserve">Диапазон рабочих температур шкафа должен составлять не уже чем −45 … +80 °C; </w:t>
      </w:r>
    </w:p>
    <w:p w14:paraId="1A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sz w:val="22"/>
        </w:rPr>
        <w:t>Корпус д</w:t>
      </w:r>
      <w:r>
        <w:rPr>
          <w:color w:themeColor="text1" w:val="000000"/>
          <w:sz w:val="22"/>
        </w:rPr>
        <w:t>олжен быть выполнен из ударопрочного ABS пластика или SMC-полиэстера, армированного стекловолокном.</w:t>
      </w:r>
      <w:r>
        <w:rPr>
          <w:color w:themeColor="text1" w:val="000000"/>
          <w:sz w:val="22"/>
        </w:rPr>
        <w:t xml:space="preserve"> Материал корпуса должен быть стойким к ультрафиолетовому излучению (UV-стабилизированное исполнение для наружной установки) и сохранять механические свойства и цвет в течение всего срока службы при эксплуатации на открытом воздухе. Материал корпуса должен быть радиопрозрачным — применение металлических корпусов, а также корпусов с металлическими экранирующими элементами, ухудшающими прохождение радиосигнала, не допускается. Корпус должен быть непрозрачным (светонепроницаемым) и оснащён монтажной платой (панелью) для размещения оборудования;</w:t>
      </w:r>
    </w:p>
    <w:p w14:paraId="1B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Габаритные размеры корпуса не должны превышать 500 х 700 х 300 мм (Ш х В х Г). Внутренняя компоновка шкафа должна обеспечивать размещение аккумуляторной батареи, необходимой для выполнения требований по времени автономной работы, с сохранением не менее 20 % свободного полезного пространства монтажной платы для последующего дооснащения. Конкретный типоразмер шкафа согласовывается с Заказчиком до начала поставки; увеличение габаритов шкафа, вызванное применением аккумуляторных батарей увеличенной ёмкости или иного типоразмера, допускается по письменному согласованию с Заказчиком;</w:t>
      </w:r>
    </w:p>
    <w:p w14:paraId="1C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Внутри шкафа должно быть предусмотрено освещение</w:t>
      </w:r>
      <w:r>
        <w:rPr>
          <w:color w:themeColor="text1" w:val="000000"/>
          <w:sz w:val="22"/>
        </w:rPr>
        <w:t xml:space="preserve"> (светодиодный светильник мощностью не менее 4 Вт, цветовая температура в диапазоне от 4000 К до 4500 К);</w:t>
      </w:r>
    </w:p>
    <w:p w14:paraId="1D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Электропитание должно осуществляться от сети переменного тока 220 В, 50 Гц;</w:t>
      </w:r>
    </w:p>
    <w:p w14:paraId="1E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Шкаф должен обеспечивать преобразование входного напряжения 220 В AC в 12 или 24 В DC для питания подключаемого оборудования;</w:t>
      </w:r>
    </w:p>
    <w:p w14:paraId="1F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Должно быть обеспечено автономное (бесперебойное) питание оборудования от аккумуляторной батареи сети (не менее 22 часов, при времени заряда не менее 3 часов);</w:t>
      </w:r>
    </w:p>
    <w:p w14:paraId="20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Шкаф должен обеспечивать грозозащиту входящей линии 220 В и защиту от перепадов (скачков) напряжения (реле напряжения входящей линии);</w:t>
      </w:r>
    </w:p>
    <w:p w14:paraId="21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 xml:space="preserve">Должна быть обеспечена возможность удаленного мониторинга состояния электропитания шкафа и подключаемого оборудования, с возможность удаленной перезагрузки. </w:t>
      </w:r>
    </w:p>
    <w:p w14:paraId="22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 xml:space="preserve">Ввод кабелей в шкаф должен осуществляться через гермовводы, обеспечивающие заявленную степень защиты оболочки; количество </w:t>
      </w:r>
      <w:r>
        <w:rPr>
          <w:color w:themeColor="text1" w:val="000000"/>
          <w:sz w:val="22"/>
        </w:rPr>
        <w:t xml:space="preserve">гермовводов — не менее </w:t>
      </w:r>
      <w:r>
        <w:rPr>
          <w:color w:themeColor="text1" w:val="000000"/>
          <w:sz w:val="22"/>
        </w:rPr>
        <w:t>3</w:t>
      </w:r>
      <w:r>
        <w:rPr>
          <w:color w:themeColor="text1" w:val="000000"/>
          <w:sz w:val="22"/>
        </w:rPr>
        <w:t xml:space="preserve"> шт.;</w:t>
      </w:r>
    </w:p>
    <w:p w14:paraId="23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Внутри шкафа должна быть предусмотрена розетка с заземляющим контактом на DIN-рейку (16 А, 250 В) для подключения технологического оборудования при проведении работ;</w:t>
      </w:r>
    </w:p>
    <w:p w14:paraId="24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Срок службы Оборудования должен составлять не менее 5 лет со дня изготовления;</w:t>
      </w:r>
    </w:p>
    <w:p w14:paraId="25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Оборудование должно поставляться с эксплуатационной документацией на русском языке (паспорт изделия, руководство по эксплуатации, схема подключения).</w:t>
      </w:r>
    </w:p>
    <w:p w14:paraId="26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</w:p>
    <w:p w14:paraId="2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3.2.2. Требования к составу и комплектации шкафа питания:</w:t>
      </w:r>
    </w:p>
    <w:p w14:paraId="2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В состав шкафа питания должны входить (не менее):</w:t>
      </w:r>
    </w:p>
    <w:p w14:paraId="29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устройство грозозащиты входящей линии питания ~220 В;</w:t>
      </w:r>
    </w:p>
    <w:p w14:paraId="2A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вводной автоматический выключатель 6вы А (тип С, 2Р);</w:t>
      </w:r>
    </w:p>
    <w:p w14:paraId="2B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реле контроля напряжения входящей линии питания ~220 В;</w:t>
      </w:r>
    </w:p>
    <w:p w14:paraId="2C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клеммные колодки подключения питания шкафа ~220 В</w:t>
      </w:r>
    </w:p>
    <w:p w14:paraId="2D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клеммные колодки подключения оборудования 12/24 В</w:t>
      </w:r>
    </w:p>
    <w:p w14:paraId="2E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розетка с заземляющим контактом на DIN-рейку (16 А, 250 В);</w:t>
      </w:r>
    </w:p>
    <w:p w14:paraId="2F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шина заземления (PE) с внешним болтом (зажимом) заземления;</w:t>
      </w:r>
    </w:p>
    <w:p w14:paraId="30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светильник внутреннего освещения (светодиодный, не менее 4 Вт, цветовая температура 4000–4500 К, степень защиты не ниже IP20);</w:t>
      </w:r>
    </w:p>
    <w:p w14:paraId="31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гермовводы;</w:t>
      </w:r>
    </w:p>
    <w:p w14:paraId="32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зарядное устройство аккумуляторной батареи (суммирующее импульсное);</w:t>
      </w:r>
    </w:p>
    <w:p w14:paraId="33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val="000000"/>
          <w:sz w:val="22"/>
        </w:rPr>
      </w:pPr>
      <w:r>
        <w:rPr>
          <w:color w:val="C00000"/>
          <w:sz w:val="22"/>
        </w:rPr>
        <w:t>аккумуляторная батарея емкостью 28Ач / номинальная суммарная мощность шкафа 28Вт;</w:t>
      </w:r>
    </w:p>
    <w:p w14:paraId="34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монтажная плата (панель) для установки оборудования;</w:t>
      </w:r>
    </w:p>
    <w:p w14:paraId="35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кронштейн для крепления шкафа на опору;</w:t>
      </w:r>
    </w:p>
    <w:p w14:paraId="36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контроллер системы удалённого мониторинга, управления и перезагрузки.</w:t>
      </w:r>
    </w:p>
    <w:p w14:paraId="3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themeColor="text1" w:val="000000"/>
          <w:sz w:val="22"/>
        </w:rPr>
      </w:pPr>
    </w:p>
    <w:p w14:paraId="3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3.2.3. Требования к системе удалённого мониторинга, управления и перезагрузки:</w:t>
      </w:r>
    </w:p>
    <w:p w14:paraId="39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Система должна быть выполнена в виде контроллера с креплением на DIN-рейку, размещаемого внутри шкафа питания;</w:t>
      </w:r>
    </w:p>
    <w:p w14:paraId="3A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Контроллер должен иметь независимый от контролируемого оборудования канал связи стандарта GSM/GPRS; скорость передачи данных GPRS/EDGE — не менее 236,8 Кбит/с;</w:t>
      </w:r>
    </w:p>
    <w:p w14:paraId="3B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Антенны GSM/GPRS и GPS должны размещаться внутри шкафа питания (встроенные в контроллер либо выносные на кабеле с креплением на внутренней поверхности корпуса или на монтажной плате); вынос антенн за пределы корпуса не требуется — устойчивый приём должен обеспечиваться за счёт радиопрозрачности материала корпуса согласно п. 3.2.1. В случае, если конструктивно требуется установка внешней антенны, ввод антенного кабеля должен выполняться через гермоввод с сохранением заявленной степени защиты оболочки шкафа (не ниже IP65), а внешняя антенна должна иметь степень защиты не ниже IP65 и рабочий диапазон температур не уже чем −45 … +80 °C. Поставщик должен обеспечить устойчивую работу канала связи при установке шкафа с закрытой дверью и подтвердить уровень принимаемого сигнала при пусконаладке;</w:t>
      </w:r>
    </w:p>
    <w:p w14:paraId="3C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Количество независимых каналов управления нагрузкой — не менее 4;</w:t>
      </w:r>
    </w:p>
    <w:p w14:paraId="3D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Электропитание системы – 12-24В;</w:t>
      </w:r>
    </w:p>
    <w:p w14:paraId="3E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Диапазон рабочих температур — не уже чем −30 … +55 °C; относительная влажность — до 85 % (без конденсации);</w:t>
      </w:r>
    </w:p>
    <w:p w14:paraId="3F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Степень защиты оболочки контроллера — не ниже IP44 по ГОСТ 14254;</w:t>
      </w:r>
    </w:p>
    <w:p w14:paraId="40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Габаритные размеры контроллера (Д × Ш × В) — не более 91 × 160 × 58 мм; масса — не более 0,3 кг;</w:t>
      </w:r>
    </w:p>
    <w:p w14:paraId="41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Система должна в реальном времени осуществлять контроль состояния электропитания шкафа и подключённого оборудования;</w:t>
      </w:r>
    </w:p>
    <w:p w14:paraId="42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Должна быть обеспечена возможность дистанционного включения, выключения и перезагрузки оборудования по каждому из каналов управления;</w:t>
      </w:r>
    </w:p>
    <w:p w14:paraId="43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Должно обеспечиваться уведомление Заказчика об отключении электропитания на объекте и передача данных о работоспособности оборудования на сервер;</w:t>
      </w:r>
    </w:p>
    <w:p w14:paraId="44000000">
      <w:pPr>
        <w:pStyle w:val="Style_1"/>
        <w:widowControl w:val="1"/>
        <w:numPr>
          <w:ilvl w:val="0"/>
          <w:numId w:val="6"/>
        </w:numPr>
        <w:tabs>
          <w:tab w:leader="none" w:pos="426" w:val="left"/>
          <w:tab w:leader="none" w:pos="708" w:val="clear"/>
        </w:tabs>
        <w:ind w:hanging="360"/>
        <w:jc w:val="both"/>
        <w:rPr>
          <w:color w:themeColor="text1" w:val="000000"/>
          <w:sz w:val="22"/>
        </w:rPr>
      </w:pPr>
      <w:r>
        <w:rPr>
          <w:color w:themeColor="text1" w:val="000000"/>
          <w:sz w:val="22"/>
        </w:rPr>
        <w:t>Управление и мониторинг должны осуществляться через веб-приложение с разграничением прав пользователей и администраторов; доступ к веб-приложению предоставляется Заказчику на весь срок эксплуатации Оборудования без взимания дополнительной платы.</w:t>
      </w:r>
    </w:p>
    <w:p w14:paraId="45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themeColor="text1" w:val="000000"/>
          <w:sz w:val="22"/>
        </w:rPr>
      </w:pPr>
    </w:p>
    <w:p w14:paraId="46000000">
      <w:pPr>
        <w:pStyle w:val="Style_2"/>
        <w:widowControl w:val="1"/>
        <w:numPr>
          <w:ilvl w:val="0"/>
          <w:numId w:val="5"/>
        </w:numPr>
        <w:tabs>
          <w:tab w:leader="none" w:pos="426" w:val="left"/>
          <w:tab w:leader="none" w:pos="708" w:val="clear"/>
        </w:tabs>
        <w:ind/>
        <w:jc w:val="center"/>
        <w:rPr>
          <w:b w:val="1"/>
          <w:sz w:val="22"/>
        </w:rPr>
      </w:pPr>
      <w:r>
        <w:rPr>
          <w:b w:val="1"/>
          <w:sz w:val="22"/>
        </w:rPr>
        <w:t>Требования к поставке</w:t>
      </w:r>
    </w:p>
    <w:p w14:paraId="4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sz w:val="22"/>
        </w:rPr>
      </w:pPr>
      <w:r>
        <w:rPr>
          <w:sz w:val="22"/>
        </w:rPr>
        <w:t>4.1. Поставщик должен обеспечить:</w:t>
      </w:r>
    </w:p>
    <w:p w14:paraId="4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sz w:val="22"/>
        </w:rPr>
      </w:pPr>
      <w:r>
        <w:rPr>
          <w:sz w:val="22"/>
        </w:rPr>
        <w:t>4.1.1. Срок поставки шкафов питания на опору не более 21 дня с момента поступления заявки в его адрес.</w:t>
      </w:r>
    </w:p>
    <w:p w14:paraId="49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sz w:val="22"/>
        </w:rPr>
      </w:pPr>
    </w:p>
    <w:p w14:paraId="4A000000">
      <w:pPr>
        <w:pStyle w:val="Style_1"/>
        <w:widowControl w:val="1"/>
        <w:tabs>
          <w:tab w:leader="none" w:pos="426" w:val="left"/>
          <w:tab w:leader="none" w:pos="708" w:val="clear"/>
        </w:tabs>
        <w:ind/>
        <w:rPr>
          <w:b w:val="1"/>
          <w:color w:val="000000"/>
          <w:sz w:val="22"/>
        </w:rPr>
      </w:pPr>
    </w:p>
    <w:p w14:paraId="4B000000">
      <w:pPr>
        <w:pStyle w:val="Style_1"/>
        <w:widowControl w:val="1"/>
        <w:tabs>
          <w:tab w:leader="none" w:pos="426" w:val="left"/>
          <w:tab w:leader="none" w:pos="708" w:val="clear"/>
        </w:tabs>
        <w:ind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5. Требования к составу и очередности выполнения монтажа/установки Оборудования</w:t>
      </w:r>
    </w:p>
    <w:p w14:paraId="4C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bookmarkStart w:id="4" w:name="OLE_LINK4"/>
      <w:bookmarkEnd w:id="4"/>
      <w:r>
        <w:rPr>
          <w:color w:val="000000"/>
          <w:sz w:val="22"/>
        </w:rPr>
        <w:t>5.1. Поставщик должен выполнить:</w:t>
      </w:r>
    </w:p>
    <w:p w14:paraId="4D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5.1.1. Провести обследование места установки в объеме, необходимом для установления технической возможности размещения шкафов питания и камеры видеонаблюдения на опору;</w:t>
      </w:r>
    </w:p>
    <w:p w14:paraId="4E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5.1.2. Выполнить (при необходимости) ограждение зоны монтажа/установки Оборудования (на проезжей части выставить дорожные знаки, конусы, машина прикрытия, обеспечивающие безопасность проведения монтажа/установки Оборудования);</w:t>
      </w:r>
    </w:p>
    <w:p w14:paraId="4F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5.1.3. Выполнить работы по монтажу комплекса видеонаблюдения (шкафа питания с камерой видеонаблюдения) на опору;</w:t>
      </w:r>
    </w:p>
    <w:p w14:paraId="50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5.1.7. Выполнить работы по подключению комплекса видеонаблюдения к электропитанию согласно выданным ТУ. </w:t>
      </w:r>
    </w:p>
    <w:p w14:paraId="51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5.1.8. Выполнить пусконаладку установленного оборудования;</w:t>
      </w:r>
    </w:p>
    <w:p w14:paraId="52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5.2. Общие технические требования к монтажу/установке Оборудования:</w:t>
      </w:r>
    </w:p>
    <w:p w14:paraId="53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5.2.1. Установка Оборудования должна осуществляться с учётом требований технической документации предприятия-изготовителя Оборудования с соблюдением всех действующих в Российской Федерации норм и правил, в том числе правил техники безопасности, противопожарной и экологической безопасности.</w:t>
      </w:r>
      <w:r>
        <w:rPr>
          <w:color w:val="000000"/>
          <w:sz w:val="22"/>
        </w:rPr>
        <w:br/>
      </w:r>
      <w:r>
        <w:rPr>
          <w:color w:val="000000"/>
          <w:sz w:val="22"/>
        </w:rPr>
        <w:t>В случае наличия неустранимых противоречий между требованиями производителя Оборудования и существующей инфраструктурой, Поставщик письменно уведомляет Заказчика до начала монтажа для согласования порядка действий.</w:t>
      </w:r>
    </w:p>
    <w:p w14:paraId="54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5.2.2. Оборудование должно быть закреплено на опору.</w:t>
      </w:r>
    </w:p>
    <w:p w14:paraId="55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 Требования к качеству и безопасности по монтажу/установке:</w:t>
      </w:r>
    </w:p>
    <w:p w14:paraId="56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5.3.1. Поставщик самостоятельно обеспечивает своих сотрудников всеми необходимыми для монтажа/установки Оборудования инструментами, измерительными приборами, спецодеждой и средствами индивидуальной защиты. Доставка специалистов и необходимых инструментов и товаров до места выполнения работ осуществляется силами и средствами Поставщика. Обучение и (или) повышение квалификации персонала Поставщика, в том числе согласно требованиям заводов-изготовителей Оборудования, проверка всех необходимых знаний персонала Поставщика, необходимых для выполнения монтажа/установки Оборудования, осуществляется силами и средствами Поставщика.</w:t>
      </w:r>
    </w:p>
    <w:p w14:paraId="5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5.3.2. Поставщик несет полную материальную ответственность за ущерб, произошедший по вине сотрудников Поставщика из-за неправильных действий при монтаже/установке Оборудования, несоблюдения ими правил техники безопасности, пожарной безопасности и из-за несвоевременного исполнения предписаний органов технического надзора до момента подписания акта ввода в эксплуатацию Оборудования.</w:t>
      </w:r>
    </w:p>
    <w:p w14:paraId="5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5.3.3. Поставщик должен стремиться к использованию минимально необходимого количества технических средств и механизмов при монтаже/установке Оборудования для сокращения шума и загрязнения воздуха на объектах. Поставщик обязан производить уборку объектов от мусора, образовавшегося в результате монтажа/установки Оборудования.</w:t>
      </w:r>
    </w:p>
    <w:p w14:paraId="59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5.3.4. Поставщик обязан возмещать в полном объеме материальный ущерб, нанесенный имуществу Заказчика или имуществу третьих лиц, возникший в ходе монтажа/установки Оборудования Поставщиком, в том числе устранять повреждения инженерных коммуникаций, Комплексов, электрических сетей.</w:t>
      </w:r>
    </w:p>
    <w:p w14:paraId="5A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5.3.5. При возникновении несчастных случаев по вине сотрудников Поставщика (привлеченных им для исполнения Договора третьих лиц) вся полнота ответственности ложится на Поставщика, в том числе по уплате сумм по всем претензиям, требованиям и судебным искам, всякого рода расходов, связанных с несчастными случаями. Поставщик гарантирует освобождение Заказчика от любой ответственности в связи с несчастными случаями, возникшими по вине Поставщика и его сотрудников, произошедшими в процессе монтажа/установки Оборудования, как в отношении сотрудников Поставщика, так и сторонних лиц.</w:t>
      </w:r>
    </w:p>
    <w:p w14:paraId="5B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5.3.6. Поставщик не должен разглашать и использовать конфиденциальную информацию, принадлежащую Заказчику, которая может стать ему известной в ходе исполнения настоящего Договора. Поставщик несет ответственность за соблюдение этого требования в соответствии с законодательством Российской Федерации.</w:t>
      </w:r>
    </w:p>
    <w:p w14:paraId="5C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5.3.7. Поставщик обязан руководствоваться нормативно-правовыми актами, действующими на территории Российской Федерации и регулирующими порядок монтажа/установки Оборудования, а также технической и эксплуатационной документацией оборудования Заказчика, которое будет устанавливаться на опору.</w:t>
      </w:r>
    </w:p>
    <w:p w14:paraId="5D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5.4. Требования к качеству и безопасности Оборудования: </w:t>
      </w:r>
    </w:p>
    <w:p w14:paraId="5E000000">
      <w:pPr>
        <w:pStyle w:val="Style_3"/>
        <w:widowControl w:val="1"/>
        <w:spacing w:after="0" w:before="0" w:line="288" w:lineRule="atLeast"/>
        <w:ind/>
        <w:jc w:val="both"/>
        <w:rPr>
          <w:sz w:val="22"/>
        </w:rPr>
      </w:pPr>
      <w:r>
        <w:rPr>
          <w:sz w:val="22"/>
        </w:rPr>
        <w:t>5.4.1. Наличие сертификатов, технических паспортов и других документов, удостоверяющих его качество и безопасности, согласно требованиям, установленным Федеральным законом от 27.12.2002 № 184-ФЗ «О техническом регулировании» и Постановлением Правительства Российской Федерации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и другими действующим нормативно-правовыми актами Российской Федерации;</w:t>
      </w:r>
    </w:p>
    <w:p w14:paraId="5F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rPr>
          <w:color w:val="000000"/>
          <w:sz w:val="22"/>
        </w:rPr>
        <w:t>5.4.2. Безопасность при обычных условиях его использования, хранения, транспортировки и утилизации для жизни, здоровья пользователей, окружающей среды и отсутствие вреда имуществу Заказчика и/или имуществу третьих лиц в соответствии с Федеральным законом от 30.03.1999 № 52-ФЗ «О санитарно-эпидемиологическом благополучии населения».</w:t>
      </w:r>
    </w:p>
    <w:p w14:paraId="60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center"/>
        <w:rPr>
          <w:b w:val="1"/>
          <w:color w:val="000000"/>
          <w:sz w:val="22"/>
        </w:rPr>
      </w:pPr>
      <w:r>
        <w:rPr>
          <w:b w:val="1"/>
        </w:rPr>
        <w:t>6. Место выполнения работ и приемка товарно-материальных ценностей (ТМЦ)</w:t>
      </w:r>
    </w:p>
    <w:p w14:paraId="61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6.1. Адреса (места) установки Оборудования определяются заявками Заказчика, направляемыми Поставщику в порядке и сроки, установленные Договором.</w:t>
      </w:r>
    </w:p>
    <w:p w14:paraId="62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6.2. Место поставки (передачи) Оборудования и ТМЦ: ______________________________. Доставка Оборудования и ТМЦ до места поставки, включая погрузочно-разгрузочные работы, осуществляется силами и за счет Поставщика.</w:t>
      </w:r>
    </w:p>
    <w:p w14:paraId="63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6.3. Поставщик обеспечивает доставку Оборудования, материалов и иных ТМЦ в согласованные Сторонами сроки, в упаковке, обеспечивающей их сохранность при транспортировке, погрузке-разгрузке и хранении.</w:t>
      </w:r>
    </w:p>
    <w:p w14:paraId="64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6.4. Приемка ТМЦ осуществляется уполномоченными представителями Сторон по количеству, ассортименту, комплектности, внешнему виду и качеству в соответствии с условиями Договора и требованиями настоящего Технического задания.</w:t>
      </w:r>
    </w:p>
    <w:p w14:paraId="65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6.5. Одновременно с ТМЦ Поставщик передает Заказчику сопроводительные документы: товарную накладную (универсальный передаточный документ), счет-фактуру, а также сертификаты (декларации) соответствия, технические паспорта, руководства по эксплуатации и иные документы, удостоверяющие качество и безопасность Оборудования. Отсутствие указанных документов является основанием для отказа Заказчика в приемке ТМЦ.</w:t>
      </w:r>
    </w:p>
    <w:p w14:paraId="66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6.6. По результатам приемки Стороны подписывают документы о приемке в порядке и сроки, установленные Договором.</w:t>
      </w:r>
    </w:p>
    <w:p w14:paraId="6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6.7. При выявлении в ходе приемки недостатков (несоответствие количества, ассортимента, комплектности или качества, механические повреждения, следы эксплуатации или ремонта) Заказчик вправе отказаться от приемки таких ТМЦ, о чем составляется акт с перечнем выявленных недостатков. Поставщик обязан своими силами и за свой счет устранить выявленные недостатки либо заменить ТМЦ ненадлежащего качества в сроки, установленные Договором, без изменения цены Договора.</w:t>
      </w:r>
    </w:p>
    <w:p w14:paraId="6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6.8. Риск случайной гибели или случайного повреждения Оборудования и ТМЦ переходит к Заказчику с момента подписания Сторонами документа о приемке, если иное не установлено Договором.</w:t>
      </w:r>
    </w:p>
    <w:p w14:paraId="69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6.9. Приемка выполненных работ по монтажу/установке и пусконаладке Оборудования осуществляется Заказчиком с проверкой соответствия результата работ требованиям настоящего Технического задания, технической документации предприятия-изготовителя и действующих нормативных документов.</w:t>
      </w:r>
    </w:p>
    <w:p w14:paraId="6A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</w:p>
    <w:p w14:paraId="6B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center"/>
        <w:rPr>
          <w:b w:val="1"/>
          <w:color w:val="000000"/>
          <w:sz w:val="22"/>
        </w:rPr>
      </w:pPr>
      <w:r>
        <w:rPr>
          <w:b w:val="1"/>
        </w:rPr>
        <w:t>7. Гарантийный срок и гарантийные обязательства</w:t>
      </w:r>
    </w:p>
    <w:p w14:paraId="6C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7.1. Поставщик гарантирует качество поставляемого Оборудования и выполненных работ, их соответствие требованиям настоящего Технического задания, технической документации предприятия-изготовителя и обязательным требованиям, установленным законодательством Российской Федерации.</w:t>
      </w:r>
    </w:p>
    <w:p w14:paraId="6D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7.2. Гарантийный срок на поставляемое Оборудование составляет не менее 24 (двадцати четырех) месяцев с даты подписания Сторонами документа о приемке Оборудования. Если предприятием-изготовителем установлен более продолжительный гарантийный срок, применяется гарантийный срок изготовителя.</w:t>
      </w:r>
    </w:p>
    <w:p w14:paraId="6E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7.3. Гарантийный срок на выполненные работы по монтажу/установке и пусконаладке Оборудования составляет не менее 12 (двенадцати) месяцев с даты подписания Сторонами документа о приемке выполненных работ.</w:t>
      </w:r>
    </w:p>
    <w:p w14:paraId="6F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7.4. Гарантия качества распространяется на Оборудование в целом, на все его составные части (комплектующие изделия) и на результаты выполненных работ в полном объеме.</w:t>
      </w:r>
    </w:p>
    <w:p w14:paraId="70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7.5. В течение гарантийного срока Поставщик обеспечивает гарантийное обслуживание Оборудования, включая прием и регистрацию заявок Заказчика, диагностику, устранение выявленных недостатков (дефектов), ремонт либо замену вышедшего из строя Оборудования (его составных частей) на новое, аналогичное или с улучшенными характеристиками, а также консультационную поддержку Заказчика по вопросам эксплуатации Оборудования.</w:t>
      </w:r>
    </w:p>
    <w:p w14:paraId="71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7.6. Устранение недостатков (дефектов), выявленных в течение гарантийного срока, осуществляется силами и за счет Поставщика, включая расходы на доставку, демонтаж, монтаж, пусконаладку и командирование персонала, без дополнительной оплаты со стороны Заказчика.</w:t>
      </w:r>
    </w:p>
    <w:p w14:paraId="72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7.7. Сроки реагирования на заявку Заказчика и сроки устранения недостатков (дефектов) устанавливаются Договором и должны обеспечивать восстановление работоспособности Оборудования в минимально необходимые сроки.</w:t>
      </w:r>
    </w:p>
    <w:p w14:paraId="73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7.8. Гарантийный срок продлевается на период, в течение которого Оборудование не могло использоваться Заказчиком вследствие выявленных недостатков (дефектов). На замененное или отремонтированное Оборудование (его составные части) устанавливается гарантийный срок той же продолжительности, исчисляемый с даты подписания Сторонами документа об устранении недостатков (замене).</w:t>
      </w:r>
    </w:p>
    <w:p w14:paraId="74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7.9. Гарантийные обязательства Поставщика подтверждаются гарантийными талонами (сертификатами) предприятия-изготовителя и (или) Поставщика, передаваемыми Заказчику одновременно с Оборудованием.</w:t>
      </w:r>
    </w:p>
    <w:p w14:paraId="75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r>
        <w:t>7.10. Поставщик не несет гарантийных обязательств в случаях, если недостатки возникли вследствие нарушения Заказчиком правил эксплуатации Оборудования, действий третьих лиц или обстоятельств непреодолимой силы, что подтверждается документально.</w:t>
      </w:r>
    </w:p>
    <w:p w14:paraId="76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</w:p>
    <w:p w14:paraId="77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</w:p>
    <w:p w14:paraId="78000000">
      <w:pPr>
        <w:pStyle w:val="Style_1"/>
        <w:widowControl w:val="1"/>
        <w:tabs>
          <w:tab w:leader="none" w:pos="426" w:val="left"/>
          <w:tab w:leader="none" w:pos="708" w:val="clear"/>
        </w:tabs>
        <w:ind/>
        <w:jc w:val="both"/>
        <w:rPr>
          <w:color w:val="000000"/>
          <w:sz w:val="22"/>
        </w:rPr>
      </w:pPr>
      <w:bookmarkStart w:id="5" w:name="_Hlk105426161"/>
      <w:bookmarkEnd w:id="5"/>
    </w:p>
    <w:p w14:paraId="79000000">
      <w:pPr>
        <w:pStyle w:val="Style_1"/>
        <w:widowControl w:val="1"/>
        <w:ind/>
        <w:jc w:val="both"/>
        <w:rPr>
          <w:color w:val="000000"/>
          <w:sz w:val="22"/>
        </w:rPr>
      </w:pPr>
    </w:p>
    <w:p w14:paraId="7A000000">
      <w:pPr>
        <w:pStyle w:val="Style_1"/>
        <w:widowControl w:val="1"/>
        <w:ind/>
        <w:jc w:val="both"/>
        <w:rPr>
          <w:color w:val="000000"/>
          <w:sz w:val="22"/>
        </w:rPr>
      </w:pPr>
    </w:p>
    <w:p w14:paraId="7B000000">
      <w:pPr>
        <w:pStyle w:val="Style_1"/>
        <w:widowControl w:val="1"/>
        <w:ind/>
        <w:jc w:val="both"/>
        <w:rPr>
          <w:color w:val="000000"/>
          <w:sz w:val="22"/>
        </w:rPr>
      </w:pPr>
    </w:p>
    <w:p w14:paraId="7C000000">
      <w:pPr>
        <w:pStyle w:val="Style_1"/>
        <w:rPr>
          <w:color w:val="000000"/>
          <w:sz w:val="22"/>
        </w:rPr>
      </w:pPr>
    </w:p>
    <w:p w14:paraId="7D000000">
      <w:pPr>
        <w:pStyle w:val="Style_1"/>
        <w:rPr>
          <w:color w:val="000000"/>
          <w:sz w:val="22"/>
        </w:rPr>
      </w:pPr>
    </w:p>
    <w:p w14:paraId="7E000000">
      <w:pPr>
        <w:pStyle w:val="Style_1"/>
        <w:rPr>
          <w:color w:val="000000"/>
          <w:sz w:val="22"/>
        </w:rPr>
      </w:pPr>
    </w:p>
    <w:p w14:paraId="7F000000">
      <w:pPr>
        <w:pStyle w:val="Style_1"/>
        <w:rPr>
          <w:color w:val="000000"/>
          <w:sz w:val="22"/>
        </w:rPr>
      </w:pPr>
    </w:p>
    <w:p w14:paraId="80000000">
      <w:pPr>
        <w:pStyle w:val="Style_1"/>
        <w:rPr>
          <w:color w:val="000000"/>
          <w:sz w:val="22"/>
        </w:rPr>
      </w:pPr>
    </w:p>
    <w:p w14:paraId="81000000">
      <w:pPr>
        <w:pStyle w:val="Style_1"/>
        <w:rPr>
          <w:color w:val="000000"/>
          <w:sz w:val="22"/>
        </w:rPr>
      </w:pPr>
    </w:p>
    <w:p w14:paraId="82000000">
      <w:pPr>
        <w:pStyle w:val="Style_1"/>
        <w:rPr>
          <w:color w:val="000000"/>
          <w:sz w:val="22"/>
        </w:rPr>
      </w:pPr>
    </w:p>
    <w:p w14:paraId="83000000">
      <w:pPr>
        <w:pStyle w:val="Style_1"/>
        <w:rPr>
          <w:color w:val="000000"/>
          <w:sz w:val="22"/>
        </w:rPr>
      </w:pPr>
    </w:p>
    <w:p w14:paraId="84000000">
      <w:pPr>
        <w:pStyle w:val="Style_1"/>
        <w:rPr>
          <w:color w:val="000000"/>
          <w:sz w:val="22"/>
        </w:rPr>
      </w:pPr>
    </w:p>
    <w:p w14:paraId="85000000">
      <w:pPr>
        <w:pStyle w:val="Style_1"/>
        <w:rPr>
          <w:color w:val="000000"/>
          <w:sz w:val="22"/>
        </w:rPr>
      </w:pPr>
    </w:p>
    <w:p w14:paraId="86000000">
      <w:pPr>
        <w:pStyle w:val="Style_1"/>
        <w:rPr>
          <w:color w:val="000000"/>
          <w:sz w:val="22"/>
        </w:rPr>
      </w:pPr>
    </w:p>
    <w:p w14:paraId="87000000">
      <w:pPr>
        <w:pStyle w:val="Style_1"/>
        <w:rPr>
          <w:color w:val="000000"/>
          <w:sz w:val="22"/>
        </w:rPr>
      </w:pPr>
    </w:p>
    <w:p w14:paraId="88000000">
      <w:pPr>
        <w:pStyle w:val="Style_1"/>
        <w:rPr>
          <w:color w:val="000000"/>
          <w:sz w:val="22"/>
        </w:rPr>
      </w:pPr>
    </w:p>
    <w:p w14:paraId="89000000">
      <w:pPr>
        <w:pStyle w:val="Style_1"/>
        <w:rPr>
          <w:color w:val="000000"/>
          <w:sz w:val="22"/>
        </w:rPr>
      </w:pPr>
    </w:p>
    <w:p w14:paraId="8A000000">
      <w:pPr>
        <w:pStyle w:val="Style_1"/>
        <w:rPr>
          <w:color w:val="000000"/>
          <w:sz w:val="22"/>
        </w:rPr>
      </w:pPr>
    </w:p>
    <w:p w14:paraId="8B000000">
      <w:pPr>
        <w:pStyle w:val="Style_1"/>
        <w:rPr>
          <w:color w:val="000000"/>
          <w:sz w:val="22"/>
        </w:rPr>
      </w:pPr>
    </w:p>
    <w:p w14:paraId="8C000000">
      <w:pPr>
        <w:pStyle w:val="Style_1"/>
        <w:rPr>
          <w:color w:val="000000"/>
          <w:sz w:val="22"/>
        </w:rPr>
      </w:pPr>
    </w:p>
    <w:p w14:paraId="8D000000">
      <w:pPr>
        <w:pStyle w:val="Style_1"/>
        <w:rPr>
          <w:color w:val="000000"/>
          <w:sz w:val="22"/>
        </w:rPr>
      </w:pPr>
    </w:p>
    <w:p w14:paraId="8E000000">
      <w:pPr>
        <w:pStyle w:val="Style_1"/>
        <w:widowControl w:val="1"/>
        <w:ind w:firstLine="709"/>
        <w:rPr>
          <w:b w:val="1"/>
          <w:sz w:val="22"/>
        </w:rPr>
      </w:pPr>
    </w:p>
    <w:sectPr>
      <w:type w:val="nextPage"/>
      <w:pgSz w:h="15840" w:orient="portrait" w:w="12240"/>
      <w:pgMar w:bottom="851" w:footer="0" w:gutter="0" w:header="0" w:left="851" w:right="851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60"/>
      </w:pPr>
      <w:rPr>
        <w:rFonts w:ascii="Times New Roman" w:hAnsi="Times New Roman"/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/>
      </w:pPr>
      <w:rPr>
        <w:rFonts w:ascii="Times New Roman" w:hAnsi="Times New Roman"/>
        <w:color w:val="000000"/>
        <w:sz w:val="24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720"/>
      </w:pPr>
      <w:rPr>
        <w:rFonts w:ascii="Times New Roman" w:hAnsi="Times New Roman"/>
        <w:color w:val="000000"/>
        <w:sz w:val="24"/>
      </w:r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/>
      </w:pPr>
      <w:rPr>
        <w:rFonts w:ascii="Times New Roman" w:hAnsi="Times New Roman"/>
        <w:color w:val="000000"/>
        <w:sz w:val="24"/>
      </w:r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080"/>
      </w:pPr>
      <w:rPr>
        <w:rFonts w:ascii="Times New Roman" w:hAnsi="Times New Roman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440"/>
      </w:pPr>
      <w:rPr>
        <w:rFonts w:ascii="Times New Roman" w:hAnsi="Times New Roman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440"/>
      </w:pPr>
      <w:rPr>
        <w:rFonts w:ascii="Times New Roman" w:hAnsi="Times New Roman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800"/>
      </w:pPr>
      <w:rPr>
        <w:rFonts w:ascii="Times New Roman" w:hAnsi="Times New Roman"/>
        <w:color w:val="000000"/>
        <w:sz w:val="24"/>
      </w:rPr>
    </w:lvl>
  </w:abstractNum>
  <w:abstractNum w:abstractNumId="2">
    <w:lvl w:ilvl="0">
      <w:start w:val="2"/>
      <w:numFmt w:val="decimal"/>
      <w:lvlText w:val="%1."/>
      <w:lvlJc w:val="left"/>
      <w:pPr>
        <w:widowControl w:val="1"/>
        <w:tabs>
          <w:tab w:leader="none" w:pos="0" w:val="left"/>
        </w:tabs>
        <w:ind w:hanging="360"/>
      </w:pPr>
      <w:rPr>
        <w:color w:val="000000"/>
        <w:sz w:val="22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44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800"/>
      </w:pPr>
      <w:rPr>
        <w:color w:val="000000"/>
        <w:sz w:val="24"/>
      </w:rPr>
    </w:lvl>
  </w:abstractNum>
  <w:abstractNum w:abstractNumId="3">
    <w:lvl w:ilvl="0">
      <w:start w:val="3"/>
      <w:numFmt w:val="decimal"/>
      <w:lvlText w:val="%1."/>
      <w:lvlJc w:val="left"/>
      <w:pPr>
        <w:widowControl w:val="1"/>
        <w:tabs>
          <w:tab w:leader="none" w:pos="0" w:val="left"/>
        </w:tabs>
        <w:ind w:hanging="360"/>
      </w:pPr>
      <w:rPr>
        <w:color w:val="000000"/>
      </w:rPr>
    </w:lvl>
    <w:lvl w:ilvl="1">
      <w:start w:val="1"/>
      <w:numFmt w:val="decimal"/>
      <w:lvlText w:val="2.%2."/>
      <w:lvlJc w:val="left"/>
      <w:pPr>
        <w:widowControl w:val="1"/>
        <w:tabs>
          <w:tab w:leader="none" w:pos="0" w:val="left"/>
        </w:tabs>
        <w:ind w:hanging="36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/>
      </w:pPr>
    </w:lvl>
  </w:abstractNum>
  <w:abstractNum w:abstractNumId="4">
    <w:lvl w:ilvl="0">
      <w:start w:val="3"/>
      <w:numFmt w:val="decimal"/>
      <w:lvlText w:val="%1."/>
      <w:lvlJc w:val="left"/>
      <w:pPr>
        <w:widowControl w:val="1"/>
        <w:tabs>
          <w:tab w:leader="none" w:pos="0" w:val="left"/>
        </w:tabs>
        <w:ind w:hanging="360"/>
      </w:pPr>
      <w:rPr>
        <w:b w:val="1"/>
        <w:color w:val="000000"/>
        <w:sz w:val="24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60"/>
      </w:pPr>
      <w:rPr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/>
      </w:pPr>
      <w:rPr>
        <w:b w:val="1"/>
        <w:color w:val="000000"/>
        <w:sz w:val="24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720"/>
      </w:pPr>
      <w:rPr>
        <w:b w:val="1"/>
        <w:color w:val="000000"/>
        <w:sz w:val="24"/>
      </w:r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/>
      </w:pPr>
      <w:rPr>
        <w:b w:val="1"/>
        <w:color w:val="000000"/>
        <w:sz w:val="24"/>
      </w:r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080"/>
      </w:pPr>
      <w:rPr>
        <w:b w:val="1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440"/>
      </w:pPr>
      <w:rPr>
        <w:b w:val="1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440"/>
      </w:pPr>
      <w:rPr>
        <w:b w:val="1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800"/>
      </w:pPr>
      <w:rPr>
        <w:b w:val="1"/>
        <w:color w:val="000000"/>
        <w:sz w:val="24"/>
      </w:rPr>
    </w:lvl>
  </w:abstractNum>
  <w:abstractNum w:abstractNumId="5">
    <w:lvl w:ilvl="0">
      <w:start w:val="1"/>
      <w:numFmt w:val="bullet"/>
      <w:lvlText w:val=""/>
      <w:lvlJc w:val="left"/>
      <w:pPr>
        <w:widowControl w:val="1"/>
        <w:tabs>
          <w:tab w:leader="none" w:pos="0" w:val="left"/>
        </w:tabs>
        <w:ind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0" w:val="left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0" w:val="left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Верхний колонтитул Знак"/>
    <w:basedOn w:val="Style_6"/>
    <w:link w:val="Style_5_ch"/>
    <w:rPr>
      <w:rFonts w:ascii="Times New Roman" w:hAnsi="Times New Roman"/>
      <w:color w:val="000000"/>
      <w:sz w:val="24"/>
    </w:rPr>
  </w:style>
  <w:style w:styleId="Style_5_ch" w:type="character">
    <w:name w:val="Верхний колонтитул Знак"/>
    <w:basedOn w:val="Style_6_ch"/>
    <w:link w:val="Style_5"/>
    <w:rPr>
      <w:rFonts w:ascii="Times New Roman" w:hAnsi="Times New Roman"/>
      <w:color w:val="000000"/>
      <w:sz w:val="24"/>
    </w:rPr>
  </w:style>
  <w:style w:styleId="Style_7" w:type="paragraph">
    <w:name w:val="Основной текст Знак"/>
    <w:basedOn w:val="Style_6"/>
    <w:link w:val="Style_7_ch"/>
    <w:rPr>
      <w:rFonts w:ascii="Times New Roman" w:hAnsi="Times New Roman"/>
      <w:sz w:val="20"/>
    </w:rPr>
  </w:style>
  <w:style w:styleId="Style_7_ch" w:type="character">
    <w:name w:val="Основной текст Знак"/>
    <w:basedOn w:val="Style_6_ch"/>
    <w:link w:val="Style_7"/>
    <w:rPr>
      <w:rFonts w:ascii="Times New Roman" w:hAnsi="Times New Roman"/>
      <w:sz w:val="20"/>
    </w:rPr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Неразрешенное упоминание1"/>
    <w:basedOn w:val="Style_6"/>
    <w:link w:val="Style_9_ch"/>
    <w:rPr>
      <w:color w:val="605E5C"/>
      <w:shd w:fill="E1DFDD" w:val="clear"/>
    </w:rPr>
  </w:style>
  <w:style w:styleId="Style_9_ch" w:type="character">
    <w:name w:val="Неразрешенное упоминание1"/>
    <w:basedOn w:val="Style_6_ch"/>
    <w:link w:val="Style_9"/>
    <w:rPr>
      <w:color w:val="605E5C"/>
      <w:shd w:fill="E1DFDD" w:val="clear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er"/>
    <w:basedOn w:val="Style_1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1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1"/>
    <w:next w:val="Style_1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color w:val="000000"/>
      <w:sz w:val="26"/>
    </w:rPr>
  </w:style>
  <w:style w:styleId="Style_14_ch" w:type="character">
    <w:name w:val="heading 3"/>
    <w:basedOn w:val="Style_1_ch"/>
    <w:link w:val="Style_14"/>
    <w:rPr>
      <w:rFonts w:ascii="Arial" w:hAnsi="Arial"/>
      <w:b w:val="1"/>
      <w:color w:val="000000"/>
      <w:sz w:val="26"/>
    </w:rPr>
  </w:style>
  <w:style w:styleId="Style_15" w:type="paragraph">
    <w:name w:val="List"/>
    <w:basedOn w:val="Style_16"/>
    <w:link w:val="Style_15_ch"/>
  </w:style>
  <w:style w:styleId="Style_15_ch" w:type="character">
    <w:name w:val="List"/>
    <w:basedOn w:val="Style_16_ch"/>
    <w:link w:val="Style_15"/>
  </w:style>
  <w:style w:styleId="Style_3" w:type="paragraph">
    <w:name w:val="Normal (Web)"/>
    <w:basedOn w:val="Style_1"/>
    <w:link w:val="Style_3_ch"/>
    <w:pPr>
      <w:widowControl w:val="1"/>
      <w:spacing w:afterAutospacing="on" w:beforeAutospacing="on"/>
      <w:ind/>
    </w:pPr>
    <w:rPr>
      <w:color w:val="000000"/>
    </w:rPr>
  </w:style>
  <w:style w:styleId="Style_3_ch" w:type="character">
    <w:name w:val="Normal (Web)"/>
    <w:basedOn w:val="Style_1_ch"/>
    <w:link w:val="Style_3"/>
    <w:rPr>
      <w:color w:val="000000"/>
    </w:rPr>
  </w:style>
  <w:style w:styleId="Style_17" w:type="paragraph">
    <w:name w:val="Указатель"/>
    <w:basedOn w:val="Style_1"/>
    <w:link w:val="Style_17_ch"/>
  </w:style>
  <w:style w:styleId="Style_17_ch" w:type="character">
    <w:name w:val="Указатель"/>
    <w:basedOn w:val="Style_1_ch"/>
    <w:link w:val="Style_17"/>
  </w:style>
  <w:style w:styleId="Style_18" w:type="paragraph">
    <w:name w:val="Balloon Text"/>
    <w:basedOn w:val="Style_1"/>
    <w:link w:val="Style_18_ch"/>
    <w:rPr>
      <w:rFonts w:ascii="Segoe UI" w:hAnsi="Segoe UI"/>
      <w:sz w:val="18"/>
    </w:rPr>
  </w:style>
  <w:style w:styleId="Style_18_ch" w:type="character">
    <w:name w:val="Balloon Text"/>
    <w:basedOn w:val="Style_1_ch"/>
    <w:link w:val="Style_18"/>
    <w:rPr>
      <w:rFonts w:ascii="Segoe UI" w:hAnsi="Segoe UI"/>
      <w:sz w:val="18"/>
    </w:rPr>
  </w:style>
  <w:style w:styleId="Style_19" w:type="paragraph">
    <w:name w:val="Revision"/>
    <w:link w:val="Style_19_ch"/>
    <w:pPr>
      <w:widowControl w:val="1"/>
      <w:spacing w:after="0" w:before="0" w:line="240" w:lineRule="auto"/>
      <w:ind/>
    </w:pPr>
    <w:rPr>
      <w:rFonts w:ascii="Times New Roman" w:hAnsi="Times New Roman"/>
      <w:color w:val="000000"/>
      <w:sz w:val="24"/>
    </w:rPr>
  </w:style>
  <w:style w:styleId="Style_19_ch" w:type="character">
    <w:name w:val="Revision"/>
    <w:link w:val="Style_19"/>
    <w:rPr>
      <w:rFonts w:ascii="Times New Roman" w:hAnsi="Times New Roman"/>
      <w:color w:val="000000"/>
      <w:sz w:val="24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0" w:type="paragraph">
    <w:name w:val="caption"/>
    <w:basedOn w:val="Style_1"/>
    <w:link w:val="Style_20_ch"/>
    <w:pPr>
      <w:widowControl w:val="1"/>
      <w:spacing w:after="120" w:before="120"/>
      <w:ind/>
    </w:pPr>
    <w:rPr>
      <w:i w:val="1"/>
      <w:sz w:val="24"/>
    </w:rPr>
  </w:style>
  <w:style w:styleId="Style_20_ch" w:type="character">
    <w:name w:val="caption"/>
    <w:basedOn w:val="Style_1_ch"/>
    <w:link w:val="Style_20"/>
    <w:rPr>
      <w:i w:val="1"/>
      <w:sz w:val="24"/>
    </w:rPr>
  </w:style>
  <w:style w:styleId="Style_21" w:type="paragraph">
    <w:name w:val="toc 3"/>
    <w:next w:val="Style_1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Strong"/>
    <w:basedOn w:val="Style_6"/>
    <w:link w:val="Style_22_ch"/>
    <w:rPr>
      <w:b w:val="1"/>
    </w:rPr>
  </w:style>
  <w:style w:styleId="Style_22_ch" w:type="character">
    <w:name w:val="Strong"/>
    <w:basedOn w:val="Style_6_ch"/>
    <w:link w:val="Style_22"/>
    <w:rPr>
      <w:b w:val="1"/>
    </w:rPr>
  </w:style>
  <w:style w:styleId="Style_23" w:type="paragraph">
    <w:name w:val="annotation subject"/>
    <w:basedOn w:val="Style_24"/>
    <w:next w:val="Style_24"/>
    <w:link w:val="Style_23_ch"/>
    <w:rPr>
      <w:b w:val="1"/>
    </w:rPr>
  </w:style>
  <w:style w:styleId="Style_23_ch" w:type="character">
    <w:name w:val="annotation subject"/>
    <w:basedOn w:val="Style_24_ch"/>
    <w:link w:val="Style_23"/>
    <w:rPr>
      <w:b w:val="1"/>
    </w:rPr>
  </w:style>
  <w:style w:styleId="Style_25" w:type="paragraph">
    <w:name w:val="Заголовок 2 Знак"/>
    <w:basedOn w:val="Style_6"/>
    <w:link w:val="Style_25_ch"/>
    <w:rPr>
      <w:rFonts w:asciiTheme="majorAscii" w:hAnsiTheme="majorHAnsi"/>
      <w:color w:themeColor="accent1" w:themeShade="BF" w:val="2E75B5"/>
      <w:sz w:val="26"/>
    </w:rPr>
  </w:style>
  <w:style w:styleId="Style_25_ch" w:type="character">
    <w:name w:val="Заголовок 2 Знак"/>
    <w:basedOn w:val="Style_6_ch"/>
    <w:link w:val="Style_25"/>
    <w:rPr>
      <w:rFonts w:asciiTheme="majorAscii" w:hAnsiTheme="majorHAnsi"/>
      <w:color w:themeColor="accent1" w:themeShade="BF" w:val="2E75B5"/>
      <w:sz w:val="26"/>
    </w:rPr>
  </w:style>
  <w:style w:styleId="Style_26" w:type="paragraph">
    <w:name w:val="heading 5"/>
    <w:next w:val="Style_1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next w:val="Style_1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16" w:type="paragraph">
    <w:name w:val="Body Text"/>
    <w:basedOn w:val="Style_1"/>
    <w:link w:val="Style_16_ch"/>
    <w:pPr>
      <w:widowControl w:val="1"/>
      <w:spacing w:after="120" w:before="0"/>
      <w:ind/>
    </w:pPr>
    <w:rPr>
      <w:color w:val="000000"/>
      <w:sz w:val="20"/>
    </w:rPr>
  </w:style>
  <w:style w:styleId="Style_16_ch" w:type="character">
    <w:name w:val="Body Text"/>
    <w:basedOn w:val="Style_1_ch"/>
    <w:link w:val="Style_16"/>
    <w:rPr>
      <w:color w:val="000000"/>
      <w:sz w:val="20"/>
    </w:rPr>
  </w:style>
  <w:style w:styleId="Style_24" w:type="paragraph">
    <w:name w:val="annotation text"/>
    <w:basedOn w:val="Style_1"/>
    <w:link w:val="Style_24_ch"/>
    <w:rPr>
      <w:sz w:val="20"/>
    </w:rPr>
  </w:style>
  <w:style w:styleId="Style_24_ch" w:type="character">
    <w:name w:val="annotation text"/>
    <w:basedOn w:val="Style_1_ch"/>
    <w:link w:val="Style_24"/>
    <w:rPr>
      <w:sz w:val="20"/>
    </w:rPr>
  </w:style>
  <w:style w:styleId="Style_28" w:type="paragraph">
    <w:name w:val="Абзац списка1"/>
    <w:basedOn w:val="Style_1"/>
    <w:link w:val="Style_28_ch"/>
    <w:pPr>
      <w:widowControl w:val="1"/>
      <w:spacing w:after="200" w:before="0" w:line="276" w:lineRule="auto"/>
      <w:ind/>
      <w:contextualSpacing w:val="1"/>
    </w:pPr>
    <w:rPr>
      <w:rFonts w:ascii="Calibri" w:hAnsi="Calibri"/>
      <w:color w:val="000000"/>
      <w:sz w:val="22"/>
    </w:rPr>
  </w:style>
  <w:style w:styleId="Style_28_ch" w:type="character">
    <w:name w:val="Абзац списка1"/>
    <w:basedOn w:val="Style_1_ch"/>
    <w:link w:val="Style_28"/>
    <w:rPr>
      <w:rFonts w:ascii="Calibri" w:hAnsi="Calibri"/>
      <w:color w:val="000000"/>
      <w:sz w:val="22"/>
    </w:rPr>
  </w:style>
  <w:style w:styleId="Style_29" w:type="paragraph">
    <w:name w:val="Hyperlink"/>
    <w:basedOn w:val="Style_6"/>
    <w:link w:val="Style_29_ch"/>
    <w:rPr>
      <w:color w:val="0000FF"/>
      <w:u w:val="single"/>
    </w:rPr>
  </w:style>
  <w:style w:styleId="Style_29_ch" w:type="character">
    <w:name w:val="Hyperlink"/>
    <w:basedOn w:val="Style_6_ch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1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Текст примечания Знак"/>
    <w:basedOn w:val="Style_6"/>
    <w:link w:val="Style_33_ch"/>
    <w:rPr>
      <w:rFonts w:ascii="Times New Roman" w:hAnsi="Times New Roman"/>
      <w:color w:val="000000"/>
      <w:sz w:val="20"/>
    </w:rPr>
  </w:style>
  <w:style w:styleId="Style_33_ch" w:type="character">
    <w:name w:val="Текст примечания Знак"/>
    <w:basedOn w:val="Style_6_ch"/>
    <w:link w:val="Style_33"/>
    <w:rPr>
      <w:rFonts w:ascii="Times New Roman" w:hAnsi="Times New Roman"/>
      <w:color w:val="000000"/>
      <w:sz w:val="20"/>
    </w:rPr>
  </w:style>
  <w:style w:styleId="Style_2" w:type="paragraph">
    <w:name w:val="List Paragraph"/>
    <w:basedOn w:val="Style_1"/>
    <w:link w:val="Style_2_ch"/>
    <w:pPr>
      <w:widowControl w:val="1"/>
      <w:spacing w:after="0" w:before="0"/>
      <w:ind/>
      <w:contextualSpacing w:val="1"/>
    </w:pPr>
    <w:rPr>
      <w:color w:val="000000"/>
    </w:rPr>
  </w:style>
  <w:style w:styleId="Style_2_ch" w:type="character">
    <w:name w:val="List Paragraph"/>
    <w:basedOn w:val="Style_1_ch"/>
    <w:link w:val="Style_2"/>
    <w:rPr>
      <w:color w:val="000000"/>
    </w:rPr>
  </w:style>
  <w:style w:styleId="Style_34" w:type="paragraph">
    <w:name w:val="toc 9"/>
    <w:next w:val="Style_1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Заголовок 3 Знак"/>
    <w:basedOn w:val="Style_6"/>
    <w:link w:val="Style_35_ch"/>
    <w:rPr>
      <w:rFonts w:ascii="Arial" w:hAnsi="Arial"/>
      <w:b w:val="1"/>
      <w:sz w:val="26"/>
    </w:rPr>
  </w:style>
  <w:style w:styleId="Style_35_ch" w:type="character">
    <w:name w:val="Заголовок 3 Знак"/>
    <w:basedOn w:val="Style_6_ch"/>
    <w:link w:val="Style_35"/>
    <w:rPr>
      <w:rFonts w:ascii="Arial" w:hAnsi="Arial"/>
      <w:b w:val="1"/>
      <w:sz w:val="26"/>
    </w:rPr>
  </w:style>
  <w:style w:styleId="Style_36" w:type="paragraph">
    <w:name w:val="Нижний колонтитул Знак"/>
    <w:basedOn w:val="Style_6"/>
    <w:link w:val="Style_36_ch"/>
    <w:rPr>
      <w:rFonts w:ascii="Times New Roman" w:hAnsi="Times New Roman"/>
      <w:color w:val="000000"/>
      <w:sz w:val="24"/>
    </w:rPr>
  </w:style>
  <w:style w:styleId="Style_36_ch" w:type="character">
    <w:name w:val="Нижний колонтитул Знак"/>
    <w:basedOn w:val="Style_6_ch"/>
    <w:link w:val="Style_36"/>
    <w:rPr>
      <w:rFonts w:ascii="Times New Roman" w:hAnsi="Times New Roman"/>
      <w:color w:val="000000"/>
      <w:sz w:val="24"/>
    </w:rPr>
  </w:style>
  <w:style w:styleId="Style_37" w:type="paragraph">
    <w:name w:val="Колонтитулы"/>
    <w:basedOn w:val="Style_1"/>
    <w:link w:val="Style_37_ch"/>
  </w:style>
  <w:style w:styleId="Style_37_ch" w:type="character">
    <w:name w:val="Колонтитулы"/>
    <w:basedOn w:val="Style_1_ch"/>
    <w:link w:val="Style_37"/>
  </w:style>
  <w:style w:styleId="Style_38" w:type="paragraph">
    <w:name w:val="toc 8"/>
    <w:next w:val="Style_1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footer"/>
    <w:basedOn w:val="Style_1"/>
    <w:link w:val="Style_39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39_ch" w:type="character">
    <w:name w:val="footer"/>
    <w:basedOn w:val="Style_1_ch"/>
    <w:link w:val="Style_39"/>
  </w:style>
  <w:style w:styleId="Style_40" w:type="paragraph">
    <w:name w:val="Font Style96"/>
    <w:link w:val="Style_40_ch"/>
    <w:rPr>
      <w:rFonts w:ascii="Times New Roman" w:hAnsi="Times New Roman"/>
      <w:b w:val="1"/>
      <w:sz w:val="22"/>
    </w:rPr>
  </w:style>
  <w:style w:styleId="Style_40_ch" w:type="character">
    <w:name w:val="Font Style96"/>
    <w:link w:val="Style_40"/>
    <w:rPr>
      <w:rFonts w:ascii="Times New Roman" w:hAnsi="Times New Roman"/>
      <w:b w:val="1"/>
      <w:sz w:val="22"/>
    </w:rPr>
  </w:style>
  <w:style w:styleId="Style_41" w:type="paragraph">
    <w:name w:val="toc 5"/>
    <w:next w:val="Style_1"/>
    <w:link w:val="Style_4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annotation reference"/>
    <w:basedOn w:val="Style_6"/>
    <w:link w:val="Style_42_ch"/>
    <w:rPr>
      <w:sz w:val="16"/>
    </w:rPr>
  </w:style>
  <w:style w:styleId="Style_42_ch" w:type="character">
    <w:name w:val="annotation reference"/>
    <w:basedOn w:val="Style_6_ch"/>
    <w:link w:val="Style_42"/>
    <w:rPr>
      <w:sz w:val="16"/>
    </w:rPr>
  </w:style>
  <w:style w:styleId="Style_43" w:type="paragraph">
    <w:name w:val="Subtitle"/>
    <w:next w:val="Style_1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name w:val="Заголовок"/>
    <w:basedOn w:val="Style_1"/>
    <w:next w:val="Style_16"/>
    <w:link w:val="Style_4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Заголовок"/>
    <w:basedOn w:val="Style_1_ch"/>
    <w:link w:val="Style_44"/>
    <w:rPr>
      <w:rFonts w:ascii="Liberation Sans" w:hAnsi="Liberation Sans"/>
      <w:sz w:val="28"/>
    </w:rPr>
  </w:style>
  <w:style w:styleId="Style_45" w:type="paragraph">
    <w:name w:val="Title"/>
    <w:next w:val="Style_1"/>
    <w:link w:val="Style_4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heading 4"/>
    <w:next w:val="Style_1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heading 2"/>
    <w:basedOn w:val="Style_1"/>
    <w:next w:val="Style_1"/>
    <w:link w:val="Style_47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47_ch" w:type="character">
    <w:name w:val="heading 2"/>
    <w:basedOn w:val="Style_1_ch"/>
    <w:link w:val="Style_47"/>
    <w:rPr>
      <w:rFonts w:asciiTheme="majorAscii" w:hAnsiTheme="majorHAnsi"/>
      <w:color w:themeColor="accent1" w:themeShade="BF" w:val="2E75B5"/>
      <w:sz w:val="26"/>
    </w:rPr>
  </w:style>
  <w:style w:styleId="Style_48" w:type="paragraph">
    <w:name w:val="Font Style90"/>
    <w:link w:val="Style_48_ch"/>
    <w:rPr>
      <w:rFonts w:ascii="Times New Roman" w:hAnsi="Times New Roman"/>
      <w:sz w:val="22"/>
    </w:rPr>
  </w:style>
  <w:style w:styleId="Style_48_ch" w:type="character">
    <w:name w:val="Font Style90"/>
    <w:link w:val="Style_48"/>
    <w:rPr>
      <w:rFonts w:ascii="Times New Roman" w:hAnsi="Times New Roman"/>
      <w:sz w:val="22"/>
    </w:rPr>
  </w:style>
  <w:style w:default="1" w:styleId="Style_4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Сетка таблицы1"/>
    <w:basedOn w:val="Style_49"/>
    <w:pPr>
      <w:widowControl w:val="1"/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1" w:type="table">
    <w:name w:val="Table Grid"/>
    <w:basedOn w:val="Style_4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2026-08-24T14:36:00Z</dcterms:created>
  <dcterms:modified xsi:type="dcterms:W3CDTF">2026-08-25T12:07:32Z</dcterms:modified>
</cp:coreProperties>
</file>