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Приложение 1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ТЕХНИЧЕСКИЕ УСЛОВИЯ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для технологического присоединения к электрическим сетям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АО «ДРСК»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 индивидуальному проекту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tbl>
      <w:tblPr>
        <w:tblW w:w="949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29"/>
        <w:gridCol w:w="4766"/>
      </w:tblGrid>
      <w:tr>
        <w:trPr/>
        <w:tc>
          <w:tcPr>
            <w:tcW w:w="4729" w:type="dxa"/>
            <w:tcBorders/>
            <w:shd w:color="auto" w:fill="auto" w:val="clear"/>
          </w:tcPr>
          <w:p>
            <w:pPr>
              <w:pStyle w:val="ConsPlusNonformat1"/>
              <w:widowControl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766" w:type="dxa"/>
            <w:tcBorders/>
            <w:shd w:color="auto" w:fill="auto" w:val="clear"/>
          </w:tcPr>
          <w:p>
            <w:pPr>
              <w:pStyle w:val="ConsPlusNonformat1"/>
              <w:widowControl w:val="false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     »                    2025г.</w:t>
            </w:r>
          </w:p>
        </w:tc>
      </w:tr>
    </w:tbl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Настоящие технические условия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lang w:eastAsia="ru-RU"/>
        </w:rPr>
        <w:t xml:space="preserve"> разработаны на основании Заявки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 10.09.2025 № 5019/25 и являются неотъемлемой частью Договора об осуществлении технологического присоединения от ___________ № ___________ энергопринимающих устройств Общества с ограниченной ответственностью «НК ОРХИДЕЯ», именуемого в дальнейшем – Заявитель, к электрическим сетям АО «ДРСК».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Настоящие технические условия вступают в силу с момента заключения Договора об осуществлении технологического присоединения объектов Заявителя при условии согласования АО «СО ЕЭС». Срок действия настоящих технических условий составляет 6 (шесть) лет со дня заключения Договора об осуществлении технологического присоединения объектов Заявителя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Выполнение настоящих технических условий обеспечивает технологическое присоединение впервые вводимых в эксплуатацию, в процессе технологического присоединения, энергопринимающих устройств Заявителя максимальной мощностью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ru-RU"/>
        </w:rPr>
        <w:t>8,7 МВт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в два этапа (на I этапе -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ru-RU"/>
        </w:rPr>
        <w:t xml:space="preserve">4,8 МВт, на II этапе 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ru-RU"/>
        </w:rPr>
        <w:t>8,7 МВт (с учетом максимальной мощности I этапа)) и объектов электросетвеого хозяйства Заявителя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 существующим электрическим сетям АО «ДРСК»: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ПС 110 кВ УКФ;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ПС 110 кВ Кожзавод;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посредством сооружения новых объектов электросетевого хозяйства: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две ЛЭП 6 кВ от ЗРУ 6 кВ ПС 110 кВ УКФ;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две ЛЭП 6 кВ от КРУН 6 кВ ПС 110 кВ Кожзавод;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РП-1, РП-2,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iCs/>
          <w:color w:val="000000"/>
          <w:sz w:val="28"/>
          <w:szCs w:val="28"/>
          <w:lang w:eastAsia="ru-RU"/>
        </w:rPr>
        <w:t>с образованием после выполнения настоящих технических условий 4 (четырех) точек присоединения со следующим заявляемым распределением максимальной мощности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(указанное распределение максимальной мощности по точкам присоединения является условным, фактическое распределение максимальной мощности может отличаться от указанного в зависимости от режима работы энергосистемы):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eastAsia="ru-RU"/>
        </w:rPr>
        <w:t>на I этапе - 2 (двух) точек присоединения: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элементы электрической сети двух КЛ 6 кВ строящихся от вновь устанавливаемых линейных ячеек РУ 6 кВ ПС 110 кВ УКФ, расположенные на границе земельного участка Заявителя, с максимальной мощностью 2,4 МВт в каждой точке;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eastAsia="ru-RU"/>
        </w:rPr>
        <w:t>на II этапе - 4 (четырех) точек присоединения: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элементы электрической сети двух КЛ 6 кВ строящихся от вновь устанавливаемых линейных ячеек ЗРУ 6 кВ ПС 110 кВ УКФ, расположенные на границе земельного участка Заявителя, с максимальной мощностью 2,4 МВт в каждой точке;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элементы электрической сети двух КЛ 6 кВ строящихся от  линейных ячеек 6 кВ №6 и №45 КРУН 6 ПС 110 кВ Кожзавод, расположенные на границе земельного участка заявителя с максимальной мощностью 1,95 МВт в каждой точке. 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Схема присоединения к электрическим сетям АО «ДРСК» обеспечивает электроснабжение энергопринимающих устройств Заявителя в точках присоединения: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I этапе:</w:t>
      </w:r>
    </w:p>
    <w:p>
      <w:pPr>
        <w:pStyle w:val="ListParagraph"/>
        <w:widowControl w:val="false"/>
        <w:numPr>
          <w:ilvl w:val="0"/>
          <w:numId w:val="5"/>
        </w:numPr>
        <w:tabs>
          <w:tab w:val="left" w:pos="-3240" w:leader="none"/>
        </w:tabs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объеме 4,8 МВт по второй категории надежности электроснабжения;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II этапе:</w:t>
      </w:r>
    </w:p>
    <w:p>
      <w:pPr>
        <w:pStyle w:val="ListParagraph"/>
        <w:widowControl w:val="false"/>
        <w:numPr>
          <w:ilvl w:val="0"/>
          <w:numId w:val="5"/>
        </w:numPr>
        <w:tabs>
          <w:tab w:val="left" w:pos="-3240" w:leader="none"/>
        </w:tabs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объеме 8,7 МВт по второй категории надежности электроснабжения.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0" w:firstLine="567"/>
        <w:contextualSpacing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МЕРОПРИЯТИЯ ПО ОСНОВНОМУ (ПЕРВИЧНОМУ) ЭЛЕКТРОТЕХНИЧЕСКОМУ ОБОРУДОВАНИЮ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Выполнить в сроки, устанавливаемые Договором об осуществлении технологического присоединения, но не позднее окончания срока действия настоящих технических условий (пояснительная схема прилагается) следующие мероприятия: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eastAsia="ru-RU"/>
        </w:rPr>
        <w:t>На I этапе: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Хабаровской ТЭЦ-4 (Южной ТЭЦ) максимальной мощностью 410 МВт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Реконструкцию Партизанской ГРЭС с увеличением максимальной мощности на 280 МВт до величины 480 МВт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Реконструкцию Владивостокской ТЭЦ-2 с увеличением максимальной мощности на 77 МВт до величины 574 МВт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Артемовской ТЭЦ-2 (Шкотовской ТЭЦ) максимальной мощностью 440 МВт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ПС 500 кВ Варяг с установкой автотрансформатора 500/220 кВ мощностью 3х167 МВА, оснащенного устройством РПН и средств компенсации реактивной мощности 180 Мвар (ШР 180 Мвар) (схему РУ, параметры оборудования 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Реконструкцию ОРУ 500 кВ Приморской ГРЭС для присоединения ВЛ 500 кВ Приморская ГРЭС – Варяг с установкой средств компенсации реактивной мощности 180 Мвар (ШР 180 Мвар) (количество ячеек и схему РУ, параметры оборудования 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Реконструкцию Приморской ГРЭС (уточнить при проектировании):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заменой в ячейке 7АТ РУ 220 кВ трансформаторов тока на трансформаторы тока с длительно и аварийно допустимой токовой нагрузкой не менее 1480 А и 1726 А, соответственно, при температуре наружного воздуха -21оC;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мероприятиями по увеличению пропускной способности 8АТ, связанными с изменением коэффициента трансформации трансформаторов тока с 1000/5 на 2000/5 в ячейке 220 кВ 8АТ.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ВЛ 500 кВ Приморская ГРЭС – Варяг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заходов ВЛ 500 кВ Владивосток – Лозовая в РУ 500 кВ ПС 500 кВ Варяг с образованием ВЛ 500 кВ Варяг – Владивосток и ВЛ 500 кВ Варяг – Лозовая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Строительство заходов ВЛ 220 кВ Артёмовская ТЭЦ – Береговая-2 в РУ 220 кВ ПС 500 кВ Варяг с образованием ВЛ 220 кВ Артёмовская ТЭЦ – Варяг и ВЛ 220 кВ Варяг – Береговая-2 (уточнить при проектировании).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Реконструкцию ЗРУ 6 кВ ПС 110 кВ УКФ с расширением на две линейные ячейки 6 кВ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(тип и параметры оборудования уточнить при проектировании):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 xml:space="preserve">1.11.1. 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 w:bidi="ar-SA"/>
        </w:rPr>
        <w:t>Выключатели 6 кВ - принять вакуумные;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>1.11.2.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 w:bidi="ar-SA"/>
        </w:rPr>
        <w:t xml:space="preserve"> Установить трансформаторы тока с расчётным коэффициентом трансформации, соответствующим заявленной нагрузке. Класс точности вторичной обмотки трансформаторов тока для учёта и измерений принять не ниже 0,5, для устройств релейной защиты и автоматики 10 р.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 двух  КЛ 6 кВ от ЗРУ 6 кВ ПС 110 кВ УКФ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до границ земельного участка заявителя протяженностью 2,1 км каждая спаренным кабелем с сечением жил не менее 240 мм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  <w:lang w:eastAsia="ru-RU"/>
        </w:rPr>
        <w:t xml:space="preserve"> с выходом на конечные опоры и монтажем разъединителей 6 кВ в том числе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(тип и параметры ЛЭП уточнить при проектировании)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  <w:lang w:eastAsia="ru-RU"/>
        </w:rPr>
        <w:t>:</w:t>
      </w:r>
    </w:p>
    <w:p>
      <w:pPr>
        <w:pStyle w:val="ListParagraph"/>
        <w:widowControl w:val="false"/>
        <w:numPr>
          <w:ilvl w:val="2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 участков КЛ 6 кВ протяженностью 2 км каждый с прокладкой кабеля с изоляцией из сшитого полиэтилена в траншее.</w:t>
      </w:r>
    </w:p>
    <w:p>
      <w:pPr>
        <w:pStyle w:val="ListParagraph"/>
        <w:widowControl w:val="false"/>
        <w:numPr>
          <w:ilvl w:val="2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 участков КЛ 6 кВ протяженностью 0,1 км каждый, 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месте пересечения с автодорогой, методом горизонтально направленного бурения.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Строительство, в границах земельного участка заявителя, необходимого количества ЛЭП 6 кВ с ТП (РП, РТП) 6/0,4 кВ, (технические характеристики электросетевых объектов 6 кВ определить при проектировании).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widowControl w:val="false"/>
        <w:spacing w:lineRule="auto" w:line="240" w:before="0" w:after="0"/>
        <w:ind w:left="0" w:right="0" w:firstLine="567"/>
        <w:contextualSpacing/>
        <w:jc w:val="both"/>
        <w:rPr>
          <w:i/>
          <w:i/>
          <w:iCs/>
        </w:rPr>
      </w:pPr>
      <w:r>
        <w:rPr>
          <w:rFonts w:eastAsia="Times New Roman" w:cs="Times New Roman" w:ascii="Times New Roman" w:hAnsi="Times New Roman"/>
          <w:b/>
          <w:i w:val="false"/>
          <w:iCs w:val="false"/>
          <w:color w:val="000000"/>
          <w:sz w:val="28"/>
          <w:szCs w:val="28"/>
          <w:lang w:eastAsia="ru-RU"/>
        </w:rPr>
        <w:t>На II этапе: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Реконструкцию КРУН 6 ПС 110 кВ Кожзавод с монтажом оборудования в линейных ячейках 6 кВ №6 и №45 в том числе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(тип и параметры оборудования уточнить при проектировании)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 xml:space="preserve">1.14.1. 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 w:bidi="ar-SA"/>
        </w:rPr>
        <w:t>Выключатели 6 кВ - принять вакуумные с комплектами адаптации.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val="ru-RU" w:eastAsia="ru-RU" w:bidi="ar-SA"/>
        </w:rPr>
        <w:t>1.14.2.</w:t>
      </w: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val="ru-RU" w:eastAsia="ru-RU" w:bidi="ar-SA"/>
        </w:rPr>
        <w:t>Установить трансформаторы тока с расчётным коэффициентом трансформации, соответствующим заявленной нагрузке. Класс точности вторичной обмотки трансформаторов тока для учёта и измерений принять не ниже 0,5, для устройств релейной защиты и автоматики 10 р.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 двух  КЛ 6 кВ от линейных ячеек 6 кВ №6 и №45 КРУН 6 ПС 110 кВ Кожзавод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до границ земельного участка заявителя протяженностью 5 км каждая спаренным кабелем с сечением жил не менее 240 мм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2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  <w:lang w:eastAsia="ru-RU"/>
        </w:rPr>
        <w:t xml:space="preserve">с выходом на конечные опоры и монтажом разъединителей в том числе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(тип и параметры ЛЭП уточнить при проектировании)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  <w:lang w:eastAsia="ru-RU"/>
        </w:rPr>
        <w:t>:</w:t>
      </w:r>
    </w:p>
    <w:p>
      <w:pPr>
        <w:pStyle w:val="ListParagraph"/>
        <w:widowControl w:val="false"/>
        <w:numPr>
          <w:ilvl w:val="2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Строительство участков КЛ 6 кВ протяженностью 4,8 км каждый с прокладкой кабеля с изоляцией из сшитого полиэтилена в траншее.</w:t>
      </w:r>
    </w:p>
    <w:p>
      <w:pPr>
        <w:pStyle w:val="ListParagraph"/>
        <w:widowControl w:val="false"/>
        <w:numPr>
          <w:ilvl w:val="2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8"/>
          <w:sz w:val="28"/>
          <w:szCs w:val="28"/>
          <w:vertAlign w:val="baseline"/>
          <w:lang w:eastAsia="ru-RU"/>
        </w:rPr>
        <w:t>Строительство участков КЛ 6 кВ протяженностью 0,2 км каждый, в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  <w:lang w:eastAsia="ru-RU"/>
        </w:rPr>
        <w:t xml:space="preserve"> месте пересечения с автодорогами, методом горизонтально направленного бурения.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Строительство в границах земельного участка заявителя необходимого количества ЛЭП 6 кВ с ТП (РП, РТП) 6/0,4 кВ, с учетом максимальной мощности вводимой на 1 этапе, (технические характеристики электросетевых объектов 6 кВ определить при проектировании).</w:t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0" w:firstLine="567"/>
        <w:contextualSpacing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МЕРОПРИЯТИЯ ПО ОБОРУДОВАНИЮ СИСТЕМ ТЕХНОЛОГИЧЕСКОГО УПРАВЛЕНИЯ</w:t>
      </w:r>
    </w:p>
    <w:p>
      <w:pPr>
        <w:pStyle w:val="ListParagraph"/>
        <w:widowControl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FFFFFF" w:val="clear"/>
          <w:lang w:val="ru-RU" w:eastAsia="ru-RU" w:bidi="ar-SA"/>
        </w:rPr>
        <w:tab/>
        <w:t xml:space="preserve">2.1.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Оснастить объекты электросетевого хозяйства классом напряжения 110 кВ и выше, указанные в разделе 1 настоящих технических условий, микропроцессорными устройствами и/или комплексами релейной защиты и автоматики (РЗА) в соответствии с требованиями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 автоматики, а также к принципам функционирования устройств и комплексов релейной защиты и автоматики, утвержденными приказом Минэнерго России от 13.02.2019 № 101 (далее – Приказ № 101), и требованиями к релейной защите и автоматике различных видов и ее функц</w:t>
      </w:r>
      <w:r>
        <w:rPr>
          <w:rFonts w:ascii="Times New Roman" w:hAnsi="Times New Roman"/>
          <w:color w:val="000000"/>
          <w:sz w:val="28"/>
        </w:rPr>
        <w:t>ионированию в составе энергосистемы, утвержденными приказом Минэнерго России от 10.07.2020 № 546. Каналы связи устройств и/или комплексов РЗА должны соответствовать требованиям к каналам связи для функционирования релейной защиты и автоматики, утвержденным приказом Минэнерго России от 13.02.2019 № 97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На I этапе:</w:t>
      </w:r>
    </w:p>
    <w:p>
      <w:pPr>
        <w:pStyle w:val="ListParagraph"/>
        <w:numPr>
          <w:ilvl w:val="2"/>
          <w:numId w:val="7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Выполнить </w:t>
      </w:r>
      <w:r>
        <w:rPr>
          <w:rFonts w:cs="Times New Roman" w:ascii="Times New Roman" w:hAnsi="Times New Roman"/>
          <w:sz w:val="28"/>
          <w:szCs w:val="28"/>
        </w:rPr>
        <w:t>на ПС 500 кВ Чугуевка-2 установку устройств автоматики управления реактором Р-1 (принцип действия и объем управляющих воздействий уточнить при проектировании).</w:t>
      </w:r>
    </w:p>
    <w:p>
      <w:pPr>
        <w:pStyle w:val="ListParagraph"/>
        <w:numPr>
          <w:ilvl w:val="2"/>
          <w:numId w:val="7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Выполнить на Приморской ГРЭС установку (модернизацию) следующих устройств с организацией каналов ПА (принцип действия и объем управляющих воздействий уточнить при проектировании):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ФОТ, ДМ 7АТ и ФОТ, ДМ 8АТ со стороны ОРУ 220 кВ.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ФОТ 7АТ и ФОТ 8АТ со стороны ОРУ 500 кВ.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УТМ ПА (ОРУ 500 кВ).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УТМ ПА (ОРУ 220 кВ).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ЛАПНУ.</w:t>
      </w:r>
    </w:p>
    <w:p>
      <w:pPr>
        <w:pStyle w:val="ListParagraph"/>
        <w:widowControl w:val="false"/>
        <w:numPr>
          <w:ilvl w:val="3"/>
          <w:numId w:val="7"/>
        </w:numPr>
        <w:tabs>
          <w:tab w:val="left" w:pos="1176" w:leader="none"/>
        </w:tabs>
        <w:spacing w:lineRule="auto" w:line="240"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АОПО 7АТ и 8 АТ.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Оснастит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ь объекты электросетевого хозяйства 6 кВ</w:t>
      </w:r>
      <w:r>
        <w:rPr>
          <w:rFonts w:ascii="Times New Roman" w:hAnsi="Times New Roman"/>
          <w:color w:val="000000"/>
          <w:sz w:val="28"/>
        </w:rPr>
        <w:t>, указанные в разделе 1 настоящих те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хнических условий, устройствами РЗА. Устройства РЗА должны обеспечивать свою правильную работу при частоте 45,0 – 55,0 Гц.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2.3.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Оснастить впервые вводимое основное (первичное) электротехническое оборудование устройствами сбора и передачи телеинформации по двум независимым каналам связи в каждом направлении передачи, исключающим возможность одновременного отказа (вывода из работы) по общей причине:</w:t>
      </w:r>
    </w:p>
    <w:p>
      <w:pPr>
        <w:pStyle w:val="ListParagraph"/>
        <w:widowControl w:val="false"/>
        <w:numPr>
          <w:ilvl w:val="0"/>
          <w:numId w:val="8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объектах электросетевого хозяйства, указанных в пунктах 1.4, 1.5 настоящих технических условий, в Филиал АО «СО ЕЭС» Приморское РДУ (далее - Приморское РДУ),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технические характеристики и схемы каналов связи, точки измерения и объем передаваемой телеинформации согласовать с Филиалом АО «СО ЕЭС» ОДУ Востока (далее – ОДУ Востока)</w:t>
      </w:r>
      <w:r>
        <w:rPr>
          <w:rStyle w:val="Style20"/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2.4.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Оснастить телефонной связью для оперативных переговоров по двум независимым каналам связи в каждом направлении передачи, исключающим возможность одновременного отказа (вывода из работы) по общей причине:  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ПС 500 кВ Варяг с диспетчерским персоналом ОДУ Востока, Приморского РДУ,</w:t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технические характеристики каналов и схемы связи согласовать с ОДУ Востока.</w:t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2.5.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Выполнить учет электроэнергии в соответствии с типовой инструкцией по учету электроэнергии при ее производстве, передаче и распределении (РД 34.09.101-94) и требованиями правил организации учета электрической энергии на розничных рынках, установленных Основными положениями функционирования розничных рынков электрической энергии и требованиями ПУЭ.</w:t>
      </w:r>
    </w:p>
    <w:p>
      <w:pPr>
        <w:pStyle w:val="Normal"/>
        <w:spacing w:lineRule="auto" w:line="240" w:before="0" w:after="0"/>
        <w:ind w:left="0" w:righ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ab/>
        <w:t>2.5.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Оснастить перечисленные в разделе 2 настоящих технических условий устройства связи и автоматики источниками бесперебойного электропитания аккумуляторного или иных типов для предотвращения их отказа при возникновении аварийных электроэнергетических режимов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 ТРЕБОВАНИЯ К ЭНЕРГОПРИНИМАЮЩИМ УСТРОЙСТВАМ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Обеспечить подключение энергопринимающих устройств Заявителя под действие устройств противоаварийной автоматики (АЧР). Устройства противоаварийной автоматики должны соответствовать требованиям Приказа № 101.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случае выявления, при проектировании согласно пункту 4.1 настоящих технических условий, возможности нарушения соотношения потребления активной и реактивной мощности: нарушение критерия tg φ ≤ 0,4 в точках присоединения к электрическим сетям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АО «ДРСК»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энергопринимающих устройств Заявителя, в целях поддержания соотношения потребления активной и реактивной мощности оснастить объекты электросетевого хозяйства Заявителя, указанные в разделе 1 настоящих технических условий, средствами компенсации реактивной мощности и автоматикой регулирования напряжения и поддержания соотношений потребления активной и реактивной мощности.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проведении расчетов, определяющих необходимость оснащения объекта электросетевого хозяйства Заявителя средствами компенсации реактивной мощности и автоматикой регулирования напряжения, и при проектировании согласно пункту 4.1 настоящих технических условий нормально допускаемые и предельно допускаемые значения отклонения на вводах приемников электрической энергии принять соответственно ±5% и ±10% от номинального напряжения электрической сети.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3.3.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случае наличия нагрузок, искажающих форму кривой электрического тока и вызывающих несимметрию напряжения и тока в точках присоединения, установить в электрических сетях Заявителя фильтрокомпенсирующие и симметрирующие (в пофазном исполнении) устройства, исключающие нарушение качества электроэнергии в соответствии с ГОСТ 32144-2013 в точках присоединения к электрическим сетям АО «ДРСК»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3.4.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При наличии непрерывных технологических процессов, нарушение которых связано с высокими материальными затратами, оснастить электрические сети Заявителя средствами, обеспечивающими нечувствительность систем управления непрерывным технологическим процессом к провалам напряжения в соответствии с ГОСТ 32144-2013.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4. ПОРЯДОК ВЫПОЛНЕНИЯ МЕРОПРИЯТИЙ ПО ТЕХНОЛОГИЧЕСКОМУ ПРИСОЕДИНЕНИЮ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4.1. Заявитель выполняет мероприятия, указанные в пунктах 1.13, 1.16,  с учетом требований разделов 2 и 3 настоящих технических условий, включая разработку проектной и рабочей документации.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Заявитель обязан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согласовать 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адание на проектирование, проектную и рабочую документацию с АО «ДРСК».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4.2. АО «ДРСК»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выполняет мероприятия, указанные в пунктах 1.1 - 1.12, 1.14, 1.15 с учетом требований раздела 2 настоящих технических условий, включая разработку проектной и рабочей документации.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АО «ДРСК» обязано согласовать задание на проектирование, проектную и рабочую документацию в части мероприятий, указанных в пунктах 1.1 - 1.10 с ОДУ Востока.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Мероприятия, указанные в пунктах 1.1 - 1.4 выполняются АО «ДРСК» путем урегулирования отношений с ПАО «РусГидро».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Мероприятия, указанные в пунктах 1.5, 1.6, 1.8 - 1.10, 2.1.1, 2.1.2.2, 2.1.2.3, 2.1.2.5, 2.3 (в части мероприятий, выполняемых на ПС 500 кВ Варяг, ОРУ 500 кВ Приморская ГРЭС), 2.4 (в части мероприятий, выполняемых на ПС 500 кВ Варяг), выполняются АО «ДРСК» путем урегулирования отношений с ПАО «Россети».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Мероприятия, указанные в пунктах 1.7, 2.1.2.1, 2.1.2.4, 2.1.2.6, выполняются АО «ДРСК» путем урегулирования отношений с ООО «Сибирская генерирующая компания».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необходимости выполнения работ по модернизации (замене) систем технологического управления на объектах третьих лиц, урегулирование отношений с третьими лицами по выполнению работ на принадлежащих им объектах осуществляет АО «ДРСК».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4.3. В случае, если в ходе проектирования возникает необходимость частичного отступления от настоящих технических условий, такие отступления подлежат согласованию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АО «ДРСК»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Приморским РДУ с корректировкой утвержденных технических условий.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4.4. Провести проверку выполнения настоящих технических условий с участием представителей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АО «ДРСК»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Приморского РДУ для каждого этапа, предусмотренного настоящими техническими условиями.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После выполнения проверки получить от АО «ДРСК» акт о выполнении настоящих технических условий, согласованный Приморским РДУ, для каждого этапа, предусмотренного настоящими техническими условиями и по техническим условиям в целом.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4.5.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Соблюдение  настоящих  технических  условий носит длящийся характер и является обязательным для Заявителя и АО «ДРСК» после выполнения мероприятий по технологическому присоединению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left" w:pos="-3240" w:leader="none"/>
        </w:tabs>
        <w:spacing w:lineRule="auto" w:line="228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Приложение: </w:t>
      </w:r>
    </w:p>
    <w:p>
      <w:pPr>
        <w:pStyle w:val="Normal"/>
        <w:widowControl w:val="false"/>
        <w:tabs>
          <w:tab w:val="left" w:pos="-3240" w:leader="none"/>
        </w:tabs>
        <w:spacing w:lineRule="auto" w:line="228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Пояснительная схема присоединения энергопринимающих устройств Заявителя к электрическим сетям на 1 л. в 1 экз.</w:t>
      </w:r>
    </w:p>
    <w:p>
      <w:pPr>
        <w:pStyle w:val="Normal"/>
        <w:widowControl w:val="false"/>
        <w:shd w:val="clear" w:color="auto" w:fill="FFFFFF"/>
        <w:spacing w:lineRule="auto" w:line="228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28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28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28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hd w:val="clear" w:color="auto" w:fill="FFFFFF"/>
        <w:tabs>
          <w:tab w:val="left" w:pos="2366" w:leader="none"/>
        </w:tabs>
        <w:spacing w:lineRule="auto" w:line="228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121920</wp:posOffset>
            </wp:positionH>
            <wp:positionV relativeFrom="paragraph">
              <wp:posOffset>73025</wp:posOffset>
            </wp:positionV>
            <wp:extent cx="5938520" cy="3279140"/>
            <wp:effectExtent l="0" t="0" r="0" b="0"/>
            <wp:wrapSquare wrapText="bothSides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1513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tabs>
          <w:tab w:val="left" w:pos="11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left" w:pos="-324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spacing w:lineRule="auto" w:line="276" w:before="0" w:after="20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701" w:right="709" w:header="709" w:top="1134" w:footer="0" w:bottom="709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Arial Narrow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Style3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sz w:val="28"/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sz w:val="28"/>
        <w:b/>
        <w:bCs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–"/>
      <w:lvlJc w:val="left"/>
      <w:pPr>
        <w:ind w:left="1418" w:hanging="360"/>
      </w:pPr>
      <w:rPr>
        <w:rFonts w:ascii="Arial" w:hAnsi="Arial" w:cs="Arial" w:hint="default"/>
        <w:sz w:val="28"/>
        <w:rFonts w:cs="Arial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–"/>
      <w:lvlJc w:val="left"/>
      <w:pPr>
        <w:ind w:left="1417" w:hanging="360"/>
      </w:pPr>
      <w:rPr>
        <w:rFonts w:ascii="Arial" w:hAnsi="Arial" w:cs="Arial" w:hint="default"/>
        <w:sz w:val="28"/>
        <w:rFonts w:cs="Arial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–"/>
      <w:lvlJc w:val="left"/>
      <w:pPr>
        <w:ind w:left="1418" w:hanging="360"/>
      </w:pPr>
      <w:rPr>
        <w:rFonts w:ascii="Arial" w:hAnsi="Arial" w:cs="Arial" w:hint="default"/>
        <w:sz w:val="28"/>
        <w:b/>
        <w:rFonts w:cs="Arial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–"/>
      <w:lvlJc w:val="left"/>
      <w:pPr>
        <w:ind w:left="1129" w:hanging="360"/>
      </w:pPr>
      <w:rPr>
        <w:rFonts w:ascii="Arial" w:hAnsi="Arial" w:cs="Arial" w:hint="default"/>
        <w:rFonts w:cs="Arial"/>
      </w:rPr>
    </w:lvl>
    <w:lvl w:ilvl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5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32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47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4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6889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2"/>
      <w:numFmt w:val="decimal"/>
      <w:lvlText w:val="%1."/>
      <w:lvlJc w:val="left"/>
      <w:pPr>
        <w:ind w:left="450" w:hanging="450"/>
      </w:pPr>
      <w:rPr>
        <w:sz w:val="28"/>
        <w:b/>
        <w:szCs w:val="28"/>
        <w:rFonts w:cs="Times New Roman"/>
      </w:rPr>
    </w:lvl>
    <w:lvl w:ilvl="1">
      <w:start w:val="1"/>
      <w:numFmt w:val="decimal"/>
      <w:lvlText w:val="%1.%2."/>
      <w:lvlJc w:val="left"/>
      <w:pPr>
        <w:ind w:left="2200" w:hanging="720"/>
      </w:pPr>
      <w:rPr>
        <w:sz w:val="28"/>
        <w:b/>
        <w:szCs w:val="28"/>
        <w:rFonts w:cs="Times New Roman"/>
      </w:rPr>
    </w:lvl>
    <w:lvl w:ilvl="2">
      <w:start w:val="1"/>
      <w:numFmt w:val="decimal"/>
      <w:lvlText w:val="%1.%2.%3."/>
      <w:lvlJc w:val="left"/>
      <w:pPr>
        <w:ind w:left="3680" w:hanging="720"/>
      </w:pPr>
      <w:rPr>
        <w:sz w:val="28"/>
        <w:b/>
        <w:szCs w:val="28"/>
        <w:rFonts w:cs="Times New Roman"/>
      </w:rPr>
    </w:lvl>
    <w:lvl w:ilvl="3">
      <w:start w:val="1"/>
      <w:numFmt w:val="decimal"/>
      <w:lvlText w:val="%1.%2.%3.%4."/>
      <w:lvlJc w:val="left"/>
      <w:pPr>
        <w:ind w:left="5520" w:hanging="1080"/>
      </w:pPr>
      <w:rPr>
        <w:sz w:val="28"/>
        <w:b/>
        <w:szCs w:val="28"/>
        <w:rFonts w:cs="Times New Roman"/>
      </w:rPr>
    </w:lvl>
    <w:lvl w:ilvl="4">
      <w:start w:val="1"/>
      <w:numFmt w:val="decimal"/>
      <w:lvlText w:val="%1.%2.%3.%4.%5."/>
      <w:lvlJc w:val="left"/>
      <w:pPr>
        <w:ind w:left="70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88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068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000" w:hanging="2160"/>
      </w:pPr>
      <w:rPr>
        <w:b/>
      </w:rPr>
    </w:lvl>
  </w:abstractNum>
  <w:abstractNum w:abstractNumId="8">
    <w:lvl w:ilvl="0">
      <w:start w:val="1"/>
      <w:numFmt w:val="bullet"/>
      <w:lvlText w:val="–"/>
      <w:lvlJc w:val="left"/>
      <w:pPr>
        <w:ind w:left="1276" w:hanging="360"/>
      </w:pPr>
      <w:rPr>
        <w:rFonts w:ascii="Arial" w:hAnsi="Arial" w:cs="Arial" w:hint="default"/>
        <w:rFonts w:cs="Arial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"/>
      <w:lvlJc w:val="right"/>
      <w:pPr>
        <w:ind w:left="644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Normal"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9"/>
    <w:qFormat/>
    <w:pPr>
      <w:keepNext w:val="true"/>
      <w:tabs>
        <w:tab w:val="left" w:pos="360" w:leader="none"/>
      </w:tabs>
      <w:spacing w:lineRule="auto" w:line="240" w:before="240" w:after="60"/>
      <w:ind w:left="360" w:hanging="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4">
    <w:name w:val="Heading 4"/>
    <w:basedOn w:val="Style29"/>
    <w:qFormat/>
    <w:pPr>
      <w:outlineLvl w:val="3"/>
    </w:pPr>
    <w:rPr/>
  </w:style>
  <w:style w:type="paragraph" w:styleId="5">
    <w:name w:val="Heading 5"/>
    <w:basedOn w:val="Normal"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сноски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uiPriority w:val="99"/>
    <w:qFormat/>
    <w:rPr>
      <w:rFonts w:cs="Times New Roman"/>
      <w:vertAlign w:val="superscript"/>
    </w:rPr>
  </w:style>
  <w:style w:type="character" w:styleId="Style7">
    <w:name w:val="Привязка сноски"/>
    <w:rPr>
      <w:rFonts w:cs="Times New Roman"/>
      <w:vertAlign w:val="superscript"/>
    </w:rPr>
  </w:style>
  <w:style w:type="character" w:styleId="Style8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0">
    <w:name w:val="Привязка концевой сноски"/>
    <w:rPr>
      <w:vertAlign w:val="superscript"/>
    </w:rPr>
  </w:style>
  <w:style w:type="character" w:styleId="Style11" w:customStyle="1">
    <w:name w:val="Текст примечания Знак"/>
    <w:basedOn w:val="DefaultParagraphFont"/>
    <w:uiPriority w:val="99"/>
    <w:qFormat/>
    <w:rPr>
      <w:rFonts w:ascii="Times New Roman" w:hAnsi="Times New Roman"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5" w:customStyle="1">
    <w:name w:val="Тема примечания Знак"/>
    <w:basedOn w:val="Style11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styleId="Webofficeattributevalue1" w:customStyle="1">
    <w:name w:val="webofficeattributevalue1"/>
    <w:basedOn w:val="DefaultParagraphFont"/>
    <w:qFormat/>
    <w:rPr>
      <w:rFonts w:ascii="Verdana" w:hAnsi="Verdana"/>
      <w:strike w:val="false"/>
      <w:dstrike w:val="false"/>
      <w:color w:val="000000"/>
      <w:sz w:val="18"/>
      <w:szCs w:val="18"/>
      <w:u w:val="none"/>
    </w:rPr>
  </w:style>
  <w:style w:type="character" w:styleId="31" w:customStyle="1">
    <w:name w:val="Заголовок 3 Знак"/>
    <w:basedOn w:val="DefaultParagraphFont"/>
    <w:uiPriority w:val="99"/>
    <w:qFormat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6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ConsPlusNonformat" w:customStyle="1">
    <w:name w:val="ConsPlusNonformat Знак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qFormat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8" w:customStyle="1">
    <w:name w:val="Абзац списка Знак"/>
    <w:uiPriority w:val="34"/>
    <w:qFormat/>
    <w:rPr/>
  </w:style>
  <w:style w:type="character" w:styleId="FontStyle15">
    <w:name w:val="Font Style15"/>
    <w:qFormat/>
    <w:rPr>
      <w:rFonts w:ascii="Arial Narrow" w:hAnsi="Arial Narrow" w:cs="Arial Narrow"/>
      <w:sz w:val="22"/>
      <w:szCs w:val="22"/>
    </w:rPr>
  </w:style>
  <w:style w:type="character" w:styleId="Style19">
    <w:name w:val="Интернет-ссылка"/>
    <w:rPr>
      <w:color w:val="0000FF"/>
      <w:u w:val="single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qFormat/>
    <w:rPr>
      <w:sz w:val="48"/>
      <w:szCs w:val="48"/>
    </w:rPr>
  </w:style>
  <w:style w:type="character" w:styleId="SubtitleChar">
    <w:name w:val="Subtitle Char"/>
    <w:basedOn w:val="DefaultParagraphFont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CaptionChar">
    <w:name w:val="Caption Char"/>
    <w:qFormat/>
    <w:rPr/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Endnotereference2">
    <w:name w:val="endnote reference2"/>
    <w:basedOn w:val="DefaultParagraphFont"/>
    <w:qFormat/>
    <w:rPr>
      <w:vertAlign w:val="superscript"/>
    </w:rPr>
  </w:style>
  <w:style w:type="character" w:styleId="Footnotereference2">
    <w:name w:val="footnote reference2"/>
    <w:qFormat/>
    <w:rPr>
      <w:rFonts w:cs="Times New Roman"/>
      <w:vertAlign w:val="superscript"/>
    </w:rPr>
  </w:style>
  <w:style w:type="character" w:styleId="FollowedHyperlink11">
    <w:name w:val="FollowedHyperlink11"/>
    <w:qFormat/>
    <w:rPr>
      <w:color w:val="800000"/>
      <w:u w:val="single"/>
    </w:rPr>
  </w:style>
  <w:style w:type="character" w:styleId="FollowedHyperlink1">
    <w:name w:val="FollowedHyperlink1"/>
    <w:qFormat/>
    <w:rPr>
      <w:color w:val="80000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eastAsia="Times New Roman" w:cs="Symbol"/>
      <w:color w:val="000000"/>
      <w:sz w:val="28"/>
      <w:szCs w:val="28"/>
      <w:lang w:eastAsia="ru-RU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WW8Num3z2">
    <w:name w:val="WW8Num3z2"/>
    <w:qFormat/>
    <w:rPr>
      <w:b w:val="false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/>
    </w:rPr>
  </w:style>
  <w:style w:type="character" w:styleId="WW8Num4z1">
    <w:name w:val="WW8Num4z1"/>
    <w:qFormat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WW8Num4z2">
    <w:name w:val="WW8Num4z2"/>
    <w:qFormat/>
    <w:rPr>
      <w:rFonts w:ascii="Times New Roman" w:hAnsi="Times New Roman" w:eastAsia="Times New Roman" w:cs="Times New Roman"/>
      <w:b w:val="false"/>
      <w:sz w:val="28"/>
      <w:szCs w:val="28"/>
      <w:lang w:eastAsia="ru-RU"/>
    </w:rPr>
  </w:style>
  <w:style w:type="character" w:styleId="WW8Num5z0">
    <w:name w:val="WW8Num5z0"/>
    <w:qFormat/>
    <w:rPr>
      <w:rFonts w:cs="Times New Roman"/>
    </w:rPr>
  </w:style>
  <w:style w:type="character" w:styleId="WW8Num5z2">
    <w:name w:val="WW8Num5z2"/>
    <w:qFormat/>
    <w:rPr>
      <w:rFonts w:cs="Courier New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b/>
    </w:rPr>
  </w:style>
  <w:style w:type="character" w:styleId="WW8Num8z1">
    <w:name w:val="WW8Num8z1"/>
    <w:qFormat/>
    <w:rPr/>
  </w:style>
  <w:style w:type="character" w:styleId="WW8Num9z0">
    <w:name w:val="WW8Num9z0"/>
    <w:qFormat/>
    <w:rPr>
      <w:b/>
      <w:sz w:val="26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sz w:val="26"/>
      <w:szCs w:val="26"/>
    </w:rPr>
  </w:style>
  <w:style w:type="character" w:styleId="WW8Num11z0">
    <w:name w:val="WW8Num11z0"/>
    <w:qFormat/>
    <w:rPr>
      <w:rFonts w:cs="Times New Roman"/>
      <w:b/>
    </w:rPr>
  </w:style>
  <w:style w:type="character" w:styleId="WW8Num11z1">
    <w:name w:val="WW8Num11z1"/>
    <w:qFormat/>
    <w:rPr>
      <w:rFonts w:cs="Times New Roman"/>
      <w:sz w:val="26"/>
      <w:szCs w:val="26"/>
    </w:rPr>
  </w:style>
  <w:style w:type="character" w:styleId="WW8Num11z2">
    <w:name w:val="WW8Num11z2"/>
    <w:qFormat/>
    <w:rPr>
      <w:rFonts w:cs="Times New Roman"/>
      <w:b w:val="false"/>
      <w:sz w:val="26"/>
      <w:szCs w:val="26"/>
    </w:rPr>
  </w:style>
  <w:style w:type="character" w:styleId="WW8Num11z3">
    <w:name w:val="WW8Num11z3"/>
    <w:qFormat/>
    <w:rPr>
      <w:rFonts w:cs="Times New Roman"/>
    </w:rPr>
  </w:style>
  <w:style w:type="character" w:styleId="WW8Num12z0">
    <w:name w:val="WW8Num12z0"/>
    <w:qFormat/>
    <w:rPr>
      <w:sz w:val="26"/>
      <w:szCs w:val="26"/>
    </w:rPr>
  </w:style>
  <w:style w:type="character" w:styleId="WW8Num13z0">
    <w:name w:val="WW8Num13z0"/>
    <w:qFormat/>
    <w:rPr>
      <w:b/>
    </w:rPr>
  </w:style>
  <w:style w:type="character" w:styleId="WW8Num13z2">
    <w:name w:val="WW8Num13z2"/>
    <w:qFormat/>
    <w:rPr>
      <w:b w:val="false"/>
    </w:rPr>
  </w:style>
  <w:style w:type="character" w:styleId="WW8Num14z0">
    <w:name w:val="WW8Num14z0"/>
    <w:qFormat/>
    <w:rPr>
      <w:b/>
    </w:rPr>
  </w:style>
  <w:style w:type="character" w:styleId="WW8Num14z1">
    <w:name w:val="WW8Num14z1"/>
    <w:qFormat/>
    <w:rPr>
      <w:b w:val="false"/>
    </w:rPr>
  </w:style>
  <w:style w:type="character" w:styleId="WW8Num14z3">
    <w:name w:val="WW8Num14z3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spacing w:val="2"/>
      <w:sz w:val="26"/>
      <w:szCs w:val="26"/>
    </w:rPr>
  </w:style>
  <w:style w:type="character" w:styleId="Style20">
    <w:name w:val="Основной шрифт абзаца"/>
    <w:qFormat/>
    <w:rPr/>
  </w:style>
  <w:style w:type="character" w:styleId="Style21">
    <w:name w:val="Выделение"/>
    <w:qFormat/>
    <w:rPr>
      <w:i/>
      <w:iCs/>
    </w:rPr>
  </w:style>
  <w:style w:type="character" w:styleId="Endnotereference1">
    <w:name w:val="endnote reference1"/>
    <w:basedOn w:val="DefaultParagraphFont"/>
    <w:qFormat/>
    <w:rPr>
      <w:vertAlign w:val="superscript"/>
    </w:rPr>
  </w:style>
  <w:style w:type="character" w:styleId="Footnotereference1">
    <w:name w:val="footnote reference1"/>
    <w:qFormat/>
    <w:rPr>
      <w:rFonts w:cs="Times New Roman"/>
      <w:vertAlign w:val="superscript"/>
    </w:rPr>
  </w:style>
  <w:style w:type="character" w:styleId="Style22">
    <w:name w:val="Символ нумерации"/>
    <w:qFormat/>
    <w:rPr/>
  </w:style>
  <w:style w:type="character" w:styleId="FollowedHyperlink">
    <w:name w:val="FollowedHyperlink"/>
    <w:qFormat/>
    <w:rPr>
      <w:color w:val="800000"/>
      <w:u w:val="single"/>
    </w:rPr>
  </w:style>
  <w:style w:type="character" w:styleId="Style23">
    <w:name w:val="Нумерация строк"/>
    <w:rPr/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ascii="Times New Roman" w:hAnsi="Times New Roman"/>
      <w:b/>
      <w:sz w:val="28"/>
    </w:rPr>
  </w:style>
  <w:style w:type="character" w:styleId="ListLabel3">
    <w:name w:val="ListLabel 3"/>
    <w:qFormat/>
    <w:rPr>
      <w:rFonts w:ascii="Times New Roman" w:hAnsi="Times New Roman"/>
      <w:b/>
      <w:bCs/>
      <w:sz w:val="28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b/>
    </w:rPr>
  </w:style>
  <w:style w:type="character" w:styleId="ListLabel6">
    <w:name w:val="ListLabel 6"/>
    <w:qFormat/>
    <w:rPr>
      <w:b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b/>
    </w:rPr>
  </w:style>
  <w:style w:type="character" w:styleId="ListLabel9">
    <w:name w:val="ListLabel 9"/>
    <w:qFormat/>
    <w:rPr>
      <w:b/>
    </w:rPr>
  </w:style>
  <w:style w:type="character" w:styleId="ListLabel10">
    <w:name w:val="ListLabel 10"/>
    <w:qFormat/>
    <w:rPr>
      <w:rFonts w:ascii="Times New Roman" w:hAnsi="Times New Roman" w:cs="Arial"/>
      <w:sz w:val="28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Times New Roman" w:hAnsi="Times New Roman" w:cs="Arial"/>
      <w:sz w:val="28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ascii="Times New Roman" w:hAnsi="Times New Roman" w:cs="Arial"/>
      <w:b/>
      <w:sz w:val="28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Aria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Times New Roman"/>
      <w:b/>
      <w:sz w:val="28"/>
      <w:szCs w:val="28"/>
    </w:rPr>
  </w:style>
  <w:style w:type="character" w:styleId="ListLabel47">
    <w:name w:val="ListLabel 47"/>
    <w:qFormat/>
    <w:rPr>
      <w:rFonts w:cs="Times New Roman"/>
      <w:b/>
      <w:sz w:val="28"/>
      <w:szCs w:val="28"/>
    </w:rPr>
  </w:style>
  <w:style w:type="character" w:styleId="ListLabel48">
    <w:name w:val="ListLabel 48"/>
    <w:qFormat/>
    <w:rPr>
      <w:rFonts w:cs="Times New Roman"/>
      <w:b/>
      <w:sz w:val="28"/>
      <w:szCs w:val="28"/>
    </w:rPr>
  </w:style>
  <w:style w:type="character" w:styleId="ListLabel49">
    <w:name w:val="ListLabel 49"/>
    <w:qFormat/>
    <w:rPr>
      <w:rFonts w:cs="Times New Roman"/>
      <w:b/>
      <w:sz w:val="28"/>
      <w:szCs w:val="28"/>
    </w:rPr>
  </w:style>
  <w:style w:type="character" w:styleId="ListLabel50">
    <w:name w:val="ListLabel 50"/>
    <w:qFormat/>
    <w:rPr>
      <w:b/>
    </w:rPr>
  </w:style>
  <w:style w:type="character" w:styleId="ListLabel51">
    <w:name w:val="ListLabel 51"/>
    <w:qFormat/>
    <w:rPr>
      <w:b/>
    </w:rPr>
  </w:style>
  <w:style w:type="character" w:styleId="ListLabel52">
    <w:name w:val="ListLabel 52"/>
    <w:qFormat/>
    <w:rPr>
      <w:b/>
    </w:rPr>
  </w:style>
  <w:style w:type="character" w:styleId="ListLabel53">
    <w:name w:val="ListLabel 53"/>
    <w:qFormat/>
    <w:rPr>
      <w:b/>
    </w:rPr>
  </w:style>
  <w:style w:type="character" w:styleId="ListLabel54">
    <w:name w:val="ListLabel 54"/>
    <w:qFormat/>
    <w:rPr>
      <w:b/>
    </w:rPr>
  </w:style>
  <w:style w:type="character" w:styleId="ListLabel55">
    <w:name w:val="ListLabel 55"/>
    <w:qFormat/>
    <w:rPr>
      <w:rFonts w:cs="Aria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  <w:b/>
      <w:sz w:val="28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b/>
    </w:rPr>
  </w:style>
  <w:style w:type="character" w:styleId="ListLabel74">
    <w:name w:val="ListLabel 74"/>
    <w:qFormat/>
    <w:rPr>
      <w:rFonts w:ascii="Times New Roman" w:hAnsi="Times New Roman"/>
      <w:b/>
      <w:sz w:val="28"/>
    </w:rPr>
  </w:style>
  <w:style w:type="character" w:styleId="ListLabel75">
    <w:name w:val="ListLabel 75"/>
    <w:qFormat/>
    <w:rPr>
      <w:rFonts w:ascii="Times New Roman" w:hAnsi="Times New Roman"/>
      <w:b/>
      <w:bCs/>
      <w:sz w:val="28"/>
    </w:rPr>
  </w:style>
  <w:style w:type="character" w:styleId="ListLabel76">
    <w:name w:val="ListLabel 76"/>
    <w:qFormat/>
    <w:rPr>
      <w:b/>
    </w:rPr>
  </w:style>
  <w:style w:type="character" w:styleId="ListLabel77">
    <w:name w:val="ListLabel 77"/>
    <w:qFormat/>
    <w:rPr>
      <w:b/>
    </w:rPr>
  </w:style>
  <w:style w:type="character" w:styleId="ListLabel78">
    <w:name w:val="ListLabel 78"/>
    <w:qFormat/>
    <w:rPr>
      <w:b/>
    </w:rPr>
  </w:style>
  <w:style w:type="character" w:styleId="ListLabel79">
    <w:name w:val="ListLabel 79"/>
    <w:qFormat/>
    <w:rPr>
      <w:b/>
    </w:rPr>
  </w:style>
  <w:style w:type="character" w:styleId="ListLabel80">
    <w:name w:val="ListLabel 80"/>
    <w:qFormat/>
    <w:rPr>
      <w:b/>
    </w:rPr>
  </w:style>
  <w:style w:type="character" w:styleId="ListLabel81">
    <w:name w:val="ListLabel 81"/>
    <w:qFormat/>
    <w:rPr>
      <w:b/>
    </w:rPr>
  </w:style>
  <w:style w:type="character" w:styleId="ListLabel82">
    <w:name w:val="ListLabel 82"/>
    <w:qFormat/>
    <w:rPr>
      <w:rFonts w:ascii="Times New Roman" w:hAnsi="Times New Roman" w:cs="Arial"/>
      <w:sz w:val="28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ascii="Times New Roman" w:hAnsi="Times New Roman" w:cs="Arial"/>
      <w:sz w:val="28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ascii="Times New Roman" w:hAnsi="Times New Roman" w:cs="Arial"/>
      <w:b/>
      <w:sz w:val="28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Aria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Times New Roman"/>
      <w:b/>
      <w:sz w:val="28"/>
      <w:szCs w:val="28"/>
    </w:rPr>
  </w:style>
  <w:style w:type="character" w:styleId="ListLabel119">
    <w:name w:val="ListLabel 119"/>
    <w:qFormat/>
    <w:rPr>
      <w:rFonts w:cs="Times New Roman"/>
      <w:b/>
      <w:sz w:val="28"/>
      <w:szCs w:val="28"/>
    </w:rPr>
  </w:style>
  <w:style w:type="character" w:styleId="ListLabel120">
    <w:name w:val="ListLabel 120"/>
    <w:qFormat/>
    <w:rPr>
      <w:rFonts w:cs="Times New Roman"/>
      <w:b/>
      <w:sz w:val="28"/>
      <w:szCs w:val="28"/>
    </w:rPr>
  </w:style>
  <w:style w:type="character" w:styleId="ListLabel121">
    <w:name w:val="ListLabel 121"/>
    <w:qFormat/>
    <w:rPr>
      <w:rFonts w:cs="Times New Roman"/>
      <w:b/>
      <w:sz w:val="28"/>
      <w:szCs w:val="28"/>
    </w:rPr>
  </w:style>
  <w:style w:type="character" w:styleId="ListLabel122">
    <w:name w:val="ListLabel 122"/>
    <w:qFormat/>
    <w:rPr>
      <w:b/>
    </w:rPr>
  </w:style>
  <w:style w:type="character" w:styleId="ListLabel123">
    <w:name w:val="ListLabel 123"/>
    <w:qFormat/>
    <w:rPr>
      <w:b/>
    </w:rPr>
  </w:style>
  <w:style w:type="character" w:styleId="ListLabel124">
    <w:name w:val="ListLabel 124"/>
    <w:qFormat/>
    <w:rPr>
      <w:b/>
    </w:rPr>
  </w:style>
  <w:style w:type="character" w:styleId="ListLabel125">
    <w:name w:val="ListLabel 125"/>
    <w:qFormat/>
    <w:rPr>
      <w:b/>
    </w:rPr>
  </w:style>
  <w:style w:type="character" w:styleId="ListLabel126">
    <w:name w:val="ListLabel 126"/>
    <w:qFormat/>
    <w:rPr>
      <w:b/>
    </w:rPr>
  </w:style>
  <w:style w:type="character" w:styleId="ListLabel127">
    <w:name w:val="ListLabel 127"/>
    <w:qFormat/>
    <w:rPr>
      <w:rFonts w:cs="Aria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  <w:b/>
      <w:sz w:val="28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5">
    <w:name w:val="Body Text"/>
    <w:basedOn w:val="Normal"/>
    <w:uiPriority w:val="99"/>
    <w:unhideWhenUsed/>
    <w:pPr>
      <w:spacing w:lineRule="auto" w:line="240" w:before="0" w:after="120"/>
      <w:jc w:val="both"/>
    </w:pPr>
    <w:rPr>
      <w:rFonts w:ascii="Times New Roman" w:hAnsi="Times New Roman" w:eastAsia="Calibri" w:cs="Times New Roman"/>
      <w:sz w:val="26"/>
      <w:szCs w:val="26"/>
      <w:lang w:eastAsia="ru-RU"/>
    </w:rPr>
  </w:style>
  <w:style w:type="paragraph" w:styleId="Style26">
    <w:name w:val="List"/>
    <w:basedOn w:val="Normal"/>
    <w:uiPriority w:val="99"/>
    <w:semiHidden/>
    <w:unhideWhenUsed/>
    <w:pPr>
      <w:spacing w:lineRule="auto" w:line="240" w:before="0" w:after="200"/>
      <w:ind w:left="283" w:hanging="283"/>
      <w:contextualSpacing/>
    </w:pPr>
    <w:rPr>
      <w:rFonts w:ascii="Times New Roman" w:hAnsi="Times New Roman"/>
      <w:sz w:val="28"/>
    </w:rPr>
  </w:style>
  <w:style w:type="paragraph" w:styleId="Style27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Style29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EndnoteSymbol">
    <w:name w:val="Endnote Symbol"/>
    <w:basedOn w:val="Normal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Style30">
    <w:name w:val="Footnote Text"/>
    <w:basedOn w:val="Normal"/>
    <w:uiPriority w:val="99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text">
    <w:name w:val="annotation text"/>
    <w:basedOn w:val="Normal"/>
    <w:uiPriority w:val="99"/>
    <w:unhideWhenUsed/>
    <w:qFormat/>
    <w:pPr>
      <w:spacing w:lineRule="auto" w:line="240"/>
    </w:pPr>
    <w:rPr>
      <w:rFonts w:ascii="Times New Roman" w:hAnsi="Times New Roman"/>
      <w:sz w:val="20"/>
      <w:szCs w:val="20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Header"/>
    <w:basedOn w:val="Normal"/>
    <w:uiPriority w:val="99"/>
    <w:unhideWhenUsed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3">
    <w:name w:val="Footer"/>
    <w:basedOn w:val="Normal"/>
    <w:uiPriority w:val="99"/>
    <w:unhideWhenUsed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rFonts w:ascii="Calibri" w:hAnsi="Calibri" w:asciiTheme="minorHAnsi" w:hAnsiTheme="minorHAnsi"/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Style34">
    <w:name w:val="Body Text Indent"/>
    <w:basedOn w:val="Normal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1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00000A"/>
      <w:sz w:val="24"/>
      <w:szCs w:val="20"/>
      <w:lang w:val="ru-RU" w:eastAsia="ru-RU" w:bidi="ar-SA"/>
    </w:rPr>
  </w:style>
  <w:style w:type="paragraph" w:styleId="Style35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Indexheading11">
    <w:name w:val="index heading11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Style36">
    <w:name w:val="Subtitle"/>
    <w:basedOn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12">
    <w:name w:val="TOC 1"/>
    <w:basedOn w:val="Normal"/>
    <w:pPr>
      <w:spacing w:before="0" w:after="57"/>
      <w:ind w:left="0" w:right="0" w:hanging="0"/>
    </w:pPr>
    <w:rPr/>
  </w:style>
  <w:style w:type="paragraph" w:styleId="21">
    <w:name w:val="TOC 2"/>
    <w:basedOn w:val="Normal"/>
    <w:pPr>
      <w:spacing w:before="0" w:after="57"/>
      <w:ind w:left="283" w:right="0" w:hanging="0"/>
    </w:pPr>
    <w:rPr/>
  </w:style>
  <w:style w:type="paragraph" w:styleId="32">
    <w:name w:val="TOC 3"/>
    <w:basedOn w:val="Normal"/>
    <w:pPr>
      <w:spacing w:before="0" w:after="57"/>
      <w:ind w:left="567" w:right="0" w:hanging="0"/>
    </w:pPr>
    <w:rPr/>
  </w:style>
  <w:style w:type="paragraph" w:styleId="41">
    <w:name w:val="TOC 4"/>
    <w:basedOn w:val="Normal"/>
    <w:pPr>
      <w:spacing w:before="0" w:after="57"/>
      <w:ind w:left="850" w:right="0" w:hanging="0"/>
    </w:pPr>
    <w:rPr/>
  </w:style>
  <w:style w:type="paragraph" w:styleId="51">
    <w:name w:val="TOC 5"/>
    <w:basedOn w:val="Normal"/>
    <w:pPr>
      <w:spacing w:before="0" w:after="57"/>
      <w:ind w:left="1134" w:right="0" w:hanging="0"/>
    </w:pPr>
    <w:rPr/>
  </w:style>
  <w:style w:type="paragraph" w:styleId="61">
    <w:name w:val="TOC 6"/>
    <w:basedOn w:val="Normal"/>
    <w:pPr>
      <w:spacing w:before="0" w:after="57"/>
      <w:ind w:left="1417" w:right="0" w:hanging="0"/>
    </w:pPr>
    <w:rPr/>
  </w:style>
  <w:style w:type="paragraph" w:styleId="71">
    <w:name w:val="TOC 7"/>
    <w:basedOn w:val="Normal"/>
    <w:pPr>
      <w:spacing w:before="0" w:after="57"/>
      <w:ind w:left="1701" w:right="0" w:hanging="0"/>
    </w:pPr>
    <w:rPr/>
  </w:style>
  <w:style w:type="paragraph" w:styleId="81">
    <w:name w:val="TOC 8"/>
    <w:basedOn w:val="Normal"/>
    <w:pPr>
      <w:spacing w:before="0" w:after="57"/>
      <w:ind w:left="1984" w:right="0" w:hanging="0"/>
    </w:pPr>
    <w:rPr/>
  </w:style>
  <w:style w:type="paragraph" w:styleId="91">
    <w:name w:val="TOC 9"/>
    <w:basedOn w:val="Normal"/>
    <w:pPr>
      <w:spacing w:before="0" w:after="57"/>
      <w:ind w:left="2268" w:right="0" w:hanging="0"/>
    </w:pPr>
    <w:rPr/>
  </w:style>
  <w:style w:type="paragraph" w:styleId="Style37">
    <w:name w:val="Index Heading"/>
    <w:basedOn w:val="Style24"/>
    <w:pPr/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qFormat/>
    <w:pPr>
      <w:spacing w:before="0" w:after="0"/>
    </w:pPr>
    <w:rPr/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Endnotetext1">
    <w:name w:val="endnote text1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Footnotetext2">
    <w:name w:val="footnote text2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8">
    <w:name w:val="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3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zh-CN" w:bidi="ar-SA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rFonts w:eastAsia="Times New Roman"/>
    </w:rPr>
  </w:style>
  <w:style w:type="paragraph" w:styleId="Style51">
    <w:name w:val="Style5"/>
    <w:basedOn w:val="Normal"/>
    <w:qFormat/>
    <w:pPr>
      <w:widowControl w:val="false"/>
      <w:spacing w:lineRule="exact" w:line="254"/>
      <w:jc w:val="both"/>
    </w:pPr>
    <w:rPr>
      <w:rFonts w:ascii="Arial Narrow" w:hAnsi="Arial Narrow" w:eastAsia="Times New Roman" w:cs="Arial Narrow"/>
    </w:rPr>
  </w:style>
  <w:style w:type="paragraph" w:styleId="Style40">
    <w:name w:val="Абзац списка"/>
    <w:basedOn w:val="Normal"/>
    <w:qFormat/>
    <w:pPr>
      <w:ind w:left="708" w:right="0" w:hanging="0"/>
    </w:pPr>
    <w:rPr>
      <w:rFonts w:eastAsia="Times New Roman"/>
    </w:rPr>
  </w:style>
  <w:style w:type="paragraph" w:styleId="Footnotetext1">
    <w:name w:val="footnote text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41">
    <w:name w:val="Содержимое списка"/>
    <w:basedOn w:val="Normal"/>
    <w:qFormat/>
    <w:pPr>
      <w:ind w:left="567" w:right="0" w:hanging="0"/>
    </w:pPr>
    <w:rPr/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Заголовок таблицы"/>
    <w:basedOn w:val="Style42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Style44">
    <w:name w:val="Без списка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styleId="768">
    <w:name w:val="Table Grid Light"/>
    <w:basedOn w:val="10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10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0">
    <w:name w:val="Plain Table 2"/>
    <w:basedOn w:val="10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1">
    <w:name w:val="Plain Table 3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72">
    <w:name w:val="Plain Table 4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3">
    <w:name w:val="Plain Table 5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4">
    <w:name w:val="Grid Table 1 Light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5">
    <w:name w:val="Grid Table 1 Light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6">
    <w:name w:val="Grid Table 1 Light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7">
    <w:name w:val="Grid Table 1 Light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8">
    <w:name w:val="Grid Table 1 Light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9">
    <w:name w:val="Grid Table 1 Light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0">
    <w:name w:val="Grid Table 1 Light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1">
    <w:name w:val="Grid Table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2">
    <w:name w:val="Grid Table 2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3">
    <w:name w:val="Grid Table 2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4">
    <w:name w:val="Grid Table 2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5">
    <w:name w:val="Grid Table 2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6">
    <w:name w:val="Grid Table 2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7">
    <w:name w:val="Grid Table 2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9">
    <w:name w:val="Grid Table 3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0">
    <w:name w:val="Grid Table 3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1">
    <w:name w:val="Grid Table 3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2">
    <w:name w:val="Grid Table 3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3">
    <w:name w:val="Grid Table 3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4">
    <w:name w:val="Grid Table 3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5">
    <w:name w:val="Grid Table 4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7">
    <w:name w:val="Grid Table 4 - Accent 2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98">
    <w:name w:val="Grid Table 4 - Accent 3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99">
    <w:name w:val="Grid Table 4 - Accent 4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00">
    <w:name w:val="Grid Table 4 - Accent 5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10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03">
    <w:name w:val="Grid Table 5 Dark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04">
    <w:name w:val="Grid Table 5 Dark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05">
    <w:name w:val="Grid Table 5 Dark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06">
    <w:name w:val="Grid Table 5 Dark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07">
    <w:name w:val="Grid Table 5 Dark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08">
    <w:name w:val="Grid Table 5 Dark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09">
    <w:name w:val="Grid Table 6 Colorful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10">
    <w:name w:val="Grid Table 6 Colorful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11">
    <w:name w:val="Grid Table 6 Colorful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12">
    <w:name w:val="Grid Table 6 Colorful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813">
    <w:name w:val="Grid Table 6 Colorful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814">
    <w:name w:val="Grid Table 6 Colorful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5">
    <w:name w:val="Grid Table 6 Colorful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6">
    <w:name w:val="Grid Table 7 Colorful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7">
    <w:name w:val="Grid Table 7 Colorful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8">
    <w:name w:val="Grid Table 7 Colorful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9">
    <w:name w:val="Grid Table 7 Colorful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0">
    <w:name w:val="Grid Table 7 Colorful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1">
    <w:name w:val="Grid Table 7 Colorful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2">
    <w:name w:val="Grid Table 7 Colorful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3">
    <w:name w:val="List Table 1 Light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10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37">
    <w:name w:val="List Table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8">
    <w:name w:val="List Table 3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9">
    <w:name w:val="List Table 3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0">
    <w:name w:val="List Table 3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1">
    <w:name w:val="List Table 3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2">
    <w:name w:val="List Table 3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3">
    <w:name w:val="List Table 3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4">
    <w:name w:val="List Table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5">
    <w:name w:val="List Table 4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6">
    <w:name w:val="List Table 4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7">
    <w:name w:val="List Table 4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8">
    <w:name w:val="List Table 4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9">
    <w:name w:val="List Table 4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50">
    <w:name w:val="List Table 4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51">
    <w:name w:val="List Table 5 Dark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2">
    <w:name w:val="List Table 5 Dark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3">
    <w:name w:val="List Table 5 Dark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4">
    <w:name w:val="List Table 5 Dark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5">
    <w:name w:val="List Table 5 Dark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6">
    <w:name w:val="List Table 5 Dark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7">
    <w:name w:val="List Table 5 Dark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8">
    <w:name w:val="List Table 6 Colorful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59">
    <w:name w:val="List Table 6 Colorful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61">
    <w:name w:val="List Table 6 Colorful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62">
    <w:name w:val="List Table 6 Colorful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63">
    <w:name w:val="List Table 6 Colorful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64">
    <w:name w:val="List Table 6 Colorful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65">
    <w:name w:val="List Table 7 Colorful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66">
    <w:name w:val="List Table 7 Colorful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867">
    <w:name w:val="List Table 7 Colorful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868">
    <w:name w:val="List Table 7 Colorful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869">
    <w:name w:val="List Table 7 Colorful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870">
    <w:name w:val="List Table 7 Colorful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871">
    <w:name w:val="List Table 7 Colorful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872">
    <w:name w:val="Lined - Accent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73">
    <w:name w:val="Lined - Accent 1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874">
    <w:name w:val="Lined - Accent 2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875">
    <w:name w:val="Lined - Accent 3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876">
    <w:name w:val="Lined - Accent 4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877">
    <w:name w:val="Lined - Accent 5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878">
    <w:name w:val="Lined - Accent 6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879">
    <w:name w:val="Bordered &amp; Lined - Accent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80">
    <w:name w:val="Bordered &amp; Lined - Accent 1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881">
    <w:name w:val="Bordered &amp; Lined - Accent 2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882">
    <w:name w:val="Bordered &amp; Lined - Accent 3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883">
    <w:name w:val="Bordered &amp; Lined - Accent 4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884">
    <w:name w:val="Bordered &amp; Lined - Accent 5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885">
    <w:name w:val="Bordered &amp; Lined - Accent 6"/>
    <w:basedOn w:val="10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886">
    <w:name w:val="Bordered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87">
    <w:name w:val="Bordered - Accent 1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89">
    <w:name w:val="Bordered - Accent 3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90">
    <w:name w:val="Bordered - Accent 4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91">
    <w:name w:val="Bordered - Accent 5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92">
    <w:name w:val="Bordered - Accent 6"/>
    <w:basedOn w:val="10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7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78">
    <w:name w:val="Table Grid"/>
    <w:basedOn w:val="107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79">
    <w:name w:val="Light Shading"/>
    <w:basedOn w:val="1077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tcBorders>
          <w:left w:val="none" w:color="000000" w:sz="4" w:space="0"/>
          <w:right w:val="none" w:color="000000" w:sz="4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left w:val="none" w:color="000000" w:sz="4" w:space="0"/>
          <w:right w:val="none" w:color="000000" w:sz="4" w:space="0"/>
        </w:tcBorders>
        <w:shd w:val="clear" w:color="auto" w:fill="C0C0C0" w:themeFill="text1" w:themeFillTint="3f"/>
      </w:tcPr>
    </w:tblStylePr>
    <w:tblStylePr w:type="firstCol">
      <w:rPr>
        <w:b/>
        <w:bCs/>
      </w:rPr>
      <w:tblPr/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tblPr/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customStyle="1" w:styleId="1080">
    <w:name w:val="Светлая заливка1"/>
    <w:basedOn w:val="1077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tcBorders>
          <w:left w:val="none" w:color="000000" w:sz="4" w:space="0"/>
          <w:right w:val="none" w:color="000000" w:sz="4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left w:val="none" w:color="000000" w:sz="4" w:space="0"/>
          <w:right w:val="none" w:color="000000" w:sz="4" w:space="0"/>
        </w:tcBorders>
        <w:shd w:val="clear" w:color="auto" w:fill="C0C0C0" w:themeFill="text1" w:themeFillTint="3f"/>
      </w:tcPr>
    </w:tblStylePr>
    <w:tblStylePr w:type="firstCol">
      <w:rPr>
        <w:b/>
        <w:bCs/>
      </w:rPr>
      <w:tblPr/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tblPr/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customStyle="1" w:styleId="1081">
    <w:name w:val="Сетка таблицы1"/>
    <w:basedOn w:val="107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F8F62-E399-4FE6-AAFF-4B45D5AA8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EF773-3944-476D-9560-34F7F781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LibreOffice/5.3.6.1$Linux_X86_64 LibreOffice_project/30$Build-1</Application>
  <Pages>7</Pages>
  <Words>2100</Words>
  <Characters>13640</Characters>
  <CharactersWithSpaces>15676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2023-10-10T08:34:00Z</dcterms:created>
  <dc:creator>Корнеев А.Ю.</dc:creator>
  <dc:description/>
  <dc:language>ru-RU</dc:language>
  <cp:lastModifiedBy/>
  <dcterms:modified xsi:type="dcterms:W3CDTF">2026-07-20T11:14:58Z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ustomObjectId">
    <vt:lpwstr>0900005a80ead2a1</vt:lpwstr>
  </property>
  <property fmtid="{D5CDD505-2E9C-101B-9397-08002B2CF9AE}" pid="4" name="CustomObjectState">
    <vt:lpwstr>180939569</vt:lpwstr>
  </property>
  <property fmtid="{D5CDD505-2E9C-101B-9397-08002B2CF9AE}" pid="5" name="CustomOwnerUserId">
    <vt:lpwstr>KorneevAY</vt:lpwstr>
  </property>
  <property fmtid="{D5CDD505-2E9C-101B-9397-08002B2CF9AE}" pid="6" name="CustomServerURL">
    <vt:lpwstr>http://172.17.101.97:7777/asud_hmrsk/doc-upload</vt:lpwstr>
  </property>
  <property fmtid="{D5CDD505-2E9C-101B-9397-08002B2CF9AE}" pid="7" name="CustomUserId">
    <vt:lpwstr>KorneevAY</vt:lpwstr>
  </property>
  <property fmtid="{D5CDD505-2E9C-101B-9397-08002B2CF9AE}" pid="8" name="HyperlinksChanged">
    <vt:bool>0</vt:bool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localFileProperties">
    <vt:lpwstr>CHERNOV-MV1.chernov_mv.C:\Users\CHERNO~1\AppData\Local\Temp\AsudCheckout\0900005a80ead2a1\ПРИКАЗ_ПО_ТП_сентябрь_2013.docx.docm</vt:lpwstr>
  </property>
</Properties>
</file>