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embeddings/oleObject1.xlsx" ContentType="application/vnd.openxmlformats-officedocument.spreadsheetml.sheet"/>
  <Override PartName="/word/embeddings/oleObject2.xlsx" ContentType="application/vnd.openxmlformats-officedocument.spreadsheetml.sheet"/>
  <Override PartName="/word/embeddings/oleObject3.xlsx" ContentType="application/vnd.openxmlformats-officedocument.spreadsheetml.sheet"/>
  <Override PartName="/word/embeddings/oleObject4.xlsx" ContentType="application/vnd.openxmlformats-officedocument.spreadsheetml.sheet"/>
  <Override PartName="/word/embeddings/oleObject5.xlsx" ContentType="application/vnd.openxmlformats-officedocument.spreadsheetml.sheet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5.xml" ContentType="application/vnd.openxmlformats-officedocument.wordprocessingml.foot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numbering.xml" ContentType="application/vnd.openxmlformats-officedocument.wordprocessingml.numbering+xml"/>
  <Override PartName="/word/footer15.xml" ContentType="application/vnd.openxmlformats-officedocument.wordprocessingml.footer+xml"/>
  <Override PartName="/word/footer13.xml" ContentType="application/vnd.openxmlformats-officedocument.wordprocessingml.footer+xml"/>
  <Override PartName="/word/footer5.xml" ContentType="application/vnd.openxmlformats-officedocument.wordprocessingml.footer+xml"/>
  <Override PartName="/word/footer18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17.xml" ContentType="application/vnd.openxmlformats-officedocument.wordprocessingml.footer+xml"/>
  <Override PartName="/word/footer9.xml" ContentType="application/vnd.openxmlformats-officedocument.wordprocessingml.footer+xml"/>
  <Override PartName="/word/footer19.xml" ContentType="application/vnd.openxmlformats-officedocument.wordprocessingml.footer+xml"/>
  <Override PartName="/word/footnotes.xml" ContentType="application/vnd.openxmlformats-officedocument.wordprocessingml.footnotes+xml"/>
  <Override PartName="/word/footer4.xml" ContentType="application/vnd.openxmlformats-officedocument.wordprocessingml.footer+xml"/>
  <Override PartName="/word/footer12.xml" ContentType="application/vnd.openxmlformats-officedocument.wordprocessingml.footer+xml"/>
  <Override PartName="/word/footer20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media/image1.wmf" ContentType="image/x-wmf"/>
  <Override PartName="/word/media/image2.wmf" ContentType="image/x-wmf"/>
  <Override PartName="/word/media/image3.wmf" ContentType="image/x-wmf"/>
  <Override PartName="/word/media/image4.wmf" ContentType="image/x-wmf"/>
  <Override PartName="/word/media/image5.bmp" ContentType="image/bmp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footer6.xml" ContentType="application/vnd.openxmlformats-officedocument.wordprocessingml.footer+xml"/>
  <Override PartName="/word/_rels/document.xml.rels" ContentType="application/vnd.openxmlformats-package.relationships+xml"/>
  <Override PartName="/word/footer8.xml" ContentType="application/vnd.openxmlformats-officedocument.wordprocessingml.footer+xml"/>
  <Override PartName="/word/footer16.xml" ContentType="application/vnd.openxmlformats-officedocument.wordprocessingml.footer+xml"/>
  <Override PartName="/word/footer24.xml" ContentType="application/vnd.openxmlformats-officedocument.wordprocessingml.foot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9"/>
          <w:tab w:val="left" w:pos="426" w:leader="none"/>
        </w:tabs>
        <w:spacing w:lineRule="auto" w:line="240" w:before="0" w:after="0"/>
        <w:jc w:val="right"/>
        <w:rPr/>
      </w:pPr>
      <w:r>
        <w:rPr>
          <w:rStyle w:val="Style15"/>
          <w:rFonts w:ascii="Times New Roman" w:hAnsi="Times New Roman"/>
          <w:iCs/>
          <w:shd w:fill="auto" w:val="clear"/>
        </w:rPr>
        <w:t xml:space="preserve">Приложение № 2 к ТТ </w:t>
      </w:r>
    </w:p>
    <w:p>
      <w:pPr>
        <w:pStyle w:val="ConsPlusNormal1"/>
        <w:widowControl/>
        <w:tabs>
          <w:tab w:val="clear" w:pos="709"/>
          <w:tab w:val="left" w:pos="1260" w:leader="none"/>
        </w:tabs>
        <w:ind w:hanging="1080" w:left="1260"/>
        <w:jc w:val="center"/>
        <w:rPr>
          <w:rFonts w:ascii="Times New Roman" w:hAnsi="Times New Roman" w:cs="Times New Roman"/>
          <w:b/>
          <w:sz w:val="22"/>
          <w:szCs w:val="22"/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2"/>
          <w:szCs w:val="22"/>
          <w:shd w:fill="auto" w:val="clear"/>
        </w:rPr>
      </w:r>
    </w:p>
    <w:p>
      <w:pPr>
        <w:pStyle w:val="ConsPlusNormal1"/>
        <w:widowControl/>
        <w:tabs>
          <w:tab w:val="clear" w:pos="709"/>
          <w:tab w:val="left" w:pos="1260" w:leader="none"/>
        </w:tabs>
        <w:ind w:hanging="1080" w:left="1260"/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Требования к оформлению и составлению</w:t>
      </w:r>
    </w:p>
    <w:p>
      <w:pPr>
        <w:pStyle w:val="ConsPlusNormal1"/>
        <w:widowControl/>
        <w:tabs>
          <w:tab w:val="clear" w:pos="709"/>
          <w:tab w:val="left" w:pos="1620" w:leader="none"/>
        </w:tabs>
        <w:ind w:firstLine="180"/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сметной документации на строительство и реконструкцию объектов капитального строительства</w:t>
      </w:r>
    </w:p>
    <w:p>
      <w:pPr>
        <w:pStyle w:val="ConsPlusNormal1"/>
        <w:widowControl/>
        <w:tabs>
          <w:tab w:val="clear" w:pos="709"/>
          <w:tab w:val="left" w:pos="1620" w:leader="none"/>
        </w:tabs>
        <w:ind w:firstLine="180"/>
        <w:jc w:val="both"/>
        <w:rPr>
          <w:rFonts w:ascii="Times New Roman" w:hAnsi="Times New Roman" w:cs="Times New Roman"/>
          <w:b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4"/>
          <w:szCs w:val="24"/>
          <w:shd w:fill="auto" w:val="clear"/>
        </w:rPr>
      </w:r>
    </w:p>
    <w:p>
      <w:pPr>
        <w:pStyle w:val="ConsPlusNormal1"/>
        <w:widowControl/>
        <w:numPr>
          <w:ilvl w:val="0"/>
          <w:numId w:val="6"/>
        </w:numPr>
        <w:tabs>
          <w:tab w:val="clear" w:pos="709"/>
          <w:tab w:val="left" w:pos="1134" w:leader="none"/>
        </w:tabs>
        <w:ind w:firstLine="567" w:lef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Основные условия ценообразования изложены в приложении № 4 к настоящим требованиям и являются неотъемлемой частью требований к составлению сметной документации.</w:t>
      </w:r>
    </w:p>
    <w:p>
      <w:pPr>
        <w:pStyle w:val="ConsPlusNormal1"/>
        <w:widowControl/>
        <w:numPr>
          <w:ilvl w:val="0"/>
          <w:numId w:val="6"/>
        </w:numPr>
        <w:tabs>
          <w:tab w:val="clear" w:pos="709"/>
          <w:tab w:val="left" w:pos="1134" w:leader="none"/>
        </w:tabs>
        <w:spacing w:before="40" w:after="40"/>
        <w:ind w:firstLine="567" w:lef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Использование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нормативов ценообразования, не зарегистрированных и не вошедших в ФРСН, </w:t>
      </w:r>
      <w:r>
        <w:rPr>
          <w:rFonts w:ascii="Times New Roman" w:hAnsi="Times New Roman"/>
          <w:b/>
          <w:sz w:val="24"/>
          <w:szCs w:val="24"/>
          <w:u w:val="single"/>
          <w:shd w:fill="auto" w:val="clear"/>
        </w:rPr>
        <w:t>не допускается</w:t>
      </w:r>
      <w:r>
        <w:rPr>
          <w:rFonts w:ascii="Times New Roman" w:hAnsi="Times New Roman"/>
          <w:sz w:val="24"/>
          <w:szCs w:val="24"/>
          <w:shd w:fill="auto" w:val="clear"/>
        </w:rPr>
        <w:t>, кроме случаев, прямо указанных в настоящих требованиях.</w:t>
      </w:r>
    </w:p>
    <w:p>
      <w:pPr>
        <w:pStyle w:val="ConsPlusNormal1"/>
        <w:widowControl/>
        <w:numPr>
          <w:ilvl w:val="0"/>
          <w:numId w:val="6"/>
        </w:numPr>
        <w:tabs>
          <w:tab w:val="clear" w:pos="709"/>
          <w:tab w:val="left" w:pos="1134" w:leader="none"/>
        </w:tabs>
        <w:spacing w:before="40" w:after="40"/>
        <w:ind w:firstLine="567" w:lef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При составлении смет руководствоваться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введенной в действие Приказом Министерства строительства и ЖКХ РФ от 04.08.2020 № 421/пр. (далее - Методикой определения сметной стоимости строительства), с учетом изменений и дополнений, а так же Методикой определения сметной стоимости строительства с применением федеральных единичных расценок и их отдельных составляющих, утверждённой Приказом Министерства строительства и ЖКХ РФ от 08.08.2022г № 648/пр. с учетом изменений и дополнений.</w:t>
      </w:r>
    </w:p>
    <w:p>
      <w:pPr>
        <w:pStyle w:val="Xmsolistparagraph"/>
        <w:numPr>
          <w:ilvl w:val="0"/>
          <w:numId w:val="6"/>
        </w:numPr>
        <w:shd w:val="clear" w:color="auto" w:fill="FFFFFF"/>
        <w:tabs>
          <w:tab w:val="clear" w:pos="709"/>
          <w:tab w:val="left" w:pos="1134" w:leader="none"/>
        </w:tabs>
        <w:spacing w:beforeAutospacing="0" w:before="0" w:afterAutospacing="0" w:after="0"/>
        <w:ind w:firstLine="567" w:left="0"/>
        <w:jc w:val="both"/>
        <w:rPr>
          <w:highlight w:val="none"/>
          <w:shd w:fill="auto" w:val="clear"/>
        </w:rPr>
      </w:pPr>
      <w:r>
        <w:rPr>
          <w:color w:val="000000"/>
          <w:shd w:fill="auto" w:val="clear"/>
        </w:rPr>
        <w:t>Сметная цена материальных ресурсов и (или) оборудования (далее –МТР), закупаемых на территории региона субъекта Российской Федерации,</w:t>
      </w:r>
      <w:r>
        <w:rPr>
          <w:color w:val="1F497D"/>
          <w:shd w:fill="auto" w:val="clear"/>
        </w:rPr>
        <w:t xml:space="preserve"> </w:t>
      </w:r>
      <w:r>
        <w:rPr>
          <w:color w:val="000000"/>
          <w:shd w:fill="auto" w:val="clear"/>
        </w:rPr>
        <w:t>определяется в базисном уровне цен по состоянию на 01.01.2022 с использованием ФСБЦ-2022, индексов по группам однородных строительных ресурсов, размещенных во ФГИС ЦС по субъекту Российской Федерации, в котором расположен объект строительства.</w:t>
      </w:r>
    </w:p>
    <w:p>
      <w:pPr>
        <w:pStyle w:val="Normal"/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При отсутствии информации о сметных ценах в ФГИС ЦС и ФСБЦ по материальным ресурсам и оборудованию, их сметная цена определяются по наиболее экономичному варианту, определенному на основании сбора информации о текущих ценах (далее - конъюнктурный анализ) в соответствии с  Методикой определения сметной стоимости.</w:t>
      </w:r>
    </w:p>
    <w:p>
      <w:pPr>
        <w:pStyle w:val="ConsPlusNormal1"/>
        <w:numPr>
          <w:ilvl w:val="0"/>
          <w:numId w:val="6"/>
        </w:numPr>
        <w:tabs>
          <w:tab w:val="clear" w:pos="709"/>
          <w:tab w:val="left" w:pos="284" w:leader="none"/>
          <w:tab w:val="left" w:pos="1134" w:leader="none"/>
        </w:tabs>
        <w:spacing w:before="40" w:after="40"/>
        <w:ind w:firstLine="567" w:lef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При определении сметной стоимости в 2-х уровнях цен (текущем и базисном), стоимость указанных материальных ресурсов и оборудования, определяется в базисном уровне цен как отношение их стоимости в текущем уровне цен к соответствующим индексам изменения сметной стоимости, примененным при составлении сметной документации.</w:t>
      </w:r>
    </w:p>
    <w:p>
      <w:pPr>
        <w:pStyle w:val="ListParagraph"/>
        <w:numPr>
          <w:ilvl w:val="0"/>
          <w:numId w:val="6"/>
        </w:numPr>
        <w:tabs>
          <w:tab w:val="left" w:pos="709" w:leader="none"/>
          <w:tab w:val="left" w:pos="1134" w:leader="none"/>
        </w:tabs>
        <w:spacing w:lineRule="auto" w:line="240" w:before="40" w:after="40"/>
        <w:ind w:firstLine="567" w:left="0"/>
        <w:contextualSpacing w:val="false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Затраты на эксплуатацию строительной техники, не учтенной нормами и расценками, включенными в ФРСН, определяются конъюнктурным анализом в соответствии с Методикой определения сметной стоимости и включаются в Главу 9 ССР</w:t>
      </w:r>
      <w:r>
        <w:rPr>
          <w:rFonts w:ascii="Times New Roman" w:hAnsi="Times New Roman"/>
          <w:b/>
          <w:color w:val="FF0000"/>
          <w:sz w:val="24"/>
          <w:szCs w:val="24"/>
          <w:shd w:fill="auto" w:val="clear"/>
        </w:rPr>
        <w:t>.</w:t>
      </w:r>
    </w:p>
    <w:p>
      <w:pPr>
        <w:pStyle w:val="ConsPlusNormal1"/>
        <w:widowControl/>
        <w:numPr>
          <w:ilvl w:val="0"/>
          <w:numId w:val="6"/>
        </w:numPr>
        <w:tabs>
          <w:tab w:val="clear" w:pos="709"/>
          <w:tab w:val="left" w:pos="567" w:leader="none"/>
          <w:tab w:val="left" w:pos="1134" w:leader="none"/>
        </w:tabs>
        <w:spacing w:before="40" w:after="40"/>
        <w:ind w:firstLine="567" w:lef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При составлении сметной документации корректировка наименования работ, принятой расценки недопустима. При необходимости, вся дополнительная информация указывается в скобках, после указания наименования расценки (</w:t>
      </w:r>
      <w:r>
        <w:rPr>
          <w:rFonts w:cs="Times New Roman" w:ascii="Times New Roman" w:hAnsi="Times New Roman"/>
          <w:i/>
          <w:color w:val="000000"/>
          <w:sz w:val="24"/>
          <w:szCs w:val="24"/>
          <w:shd w:fill="auto" w:val="clear"/>
        </w:rPr>
        <w:t>например, Разборка, очистка, замена уплотнения, сборка крышки ванны подшипника: диаметр шейки вала свыше 0.95 до 1,5 м (диаметр шейки вала – 1.3 м), л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ибо указывается в примечании, через дополнительную информацию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en-US"/>
        </w:rPr>
        <w:t>(в ПК Гранд-Смета).</w:t>
      </w:r>
    </w:p>
    <w:p>
      <w:pPr>
        <w:pStyle w:val="ListParagraph"/>
        <w:numPr>
          <w:ilvl w:val="0"/>
          <w:numId w:val="6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При формировании сметной стоимости в ЛСР (ЛС) отдельно выделяется сметная стоимость по видам оборудования: инженерное; технологическое; лабораторное; транспортные средства; инструмент для технологических процессов; производственный и хозяйственный инвентарь, в т.ч. мебель.</w:t>
      </w:r>
    </w:p>
    <w:p>
      <w:pPr>
        <w:pStyle w:val="ListParagraph"/>
        <w:numPr>
          <w:ilvl w:val="0"/>
          <w:numId w:val="6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При использовании в сметах коэффициентов и лимитированных затрат указывать обоснование из технической части, вводных указаний сборников или других нормативных документов и приложений к ним.</w:t>
      </w:r>
    </w:p>
    <w:p>
      <w:pPr>
        <w:pStyle w:val="ListParagraph"/>
        <w:numPr>
          <w:ilvl w:val="0"/>
          <w:numId w:val="6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Поправочные коэффициенты из технической части к расценкам (например, на демонтаж или для учета особых условий выполнения работ) учитываются индивидуально для каждой позиции и в выходных формах при выгрузке в формат «Excel» и указываются попозиционно.</w:t>
      </w:r>
      <w:r>
        <w:rPr>
          <w:rFonts w:ascii="Times New Roman" w:hAnsi="Times New Roman"/>
          <w:color w:val="FF0000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sz w:val="24"/>
          <w:szCs w:val="24"/>
          <w:shd w:fill="auto" w:val="clear"/>
        </w:rPr>
        <w:t>Коэффициенты, учитывающие усложняющие факторы и условия производства работ, могут применяться одновременно с другими коэффициентами, предусмотренными сметными нормативами, включенными в ФРСН. При одновременном применении коэффициенты перемножаются, результат округляется до семи знаков после запятой.</w:t>
      </w:r>
    </w:p>
    <w:p>
      <w:pPr>
        <w:pStyle w:val="ListParagraph"/>
        <w:numPr>
          <w:ilvl w:val="0"/>
          <w:numId w:val="6"/>
        </w:numPr>
        <w:tabs>
          <w:tab w:val="left" w:pos="284" w:leader="none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При внесении изменений в сметную документацию разрабатывается сводный сметный расчет, определяющий общую сметную стоимость строительства с учетом произведенных изменений проектной и (или) иной технической документации на полный объем работ с учетом объемов корректировки (исключаемых и дополнительных). Локальные сметные расчеты (сметы) разрабатываются отдельно на исключаемые и дополнительные объемы работ.</w:t>
      </w:r>
    </w:p>
    <w:p>
      <w:pPr>
        <w:pStyle w:val="ListParagraph"/>
        <w:numPr>
          <w:ilvl w:val="0"/>
          <w:numId w:val="6"/>
        </w:numPr>
        <w:tabs>
          <w:tab w:val="left" w:pos="284" w:leader="none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ЛСР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(ЛС) указывать величину накладных расходов по видам строительных, ремонтно-строительных, монтажных и пусконаладочных работ, на основании нормативных документов, внесенных в ФРСН.</w:t>
      </w:r>
    </w:p>
    <w:p>
      <w:pPr>
        <w:pStyle w:val="ListParagraph"/>
        <w:numPr>
          <w:ilvl w:val="0"/>
          <w:numId w:val="6"/>
        </w:numPr>
        <w:tabs>
          <w:tab w:val="left" w:pos="284" w:leader="none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ЛСР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(ЛС) указывать величину сметной прибыли по видам строительных, ремонтно-строительных, монтажных и пусконаладочных работ, на основании актуальных нормативных документов, внесенных в ФРСН.</w:t>
      </w:r>
    </w:p>
    <w:p>
      <w:pPr>
        <w:pStyle w:val="ListParagraph"/>
        <w:numPr>
          <w:ilvl w:val="0"/>
          <w:numId w:val="6"/>
        </w:numPr>
        <w:tabs>
          <w:tab w:val="left" w:pos="284" w:leader="none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Понижающий коэффициент начисляется в локальных сметах единым индексом в итогах (после начисления лимитированных затрат в случае составления одной сметы). При этом, понижающий коэффициент, указывается в размере не более 7-ми знаков после запятой.</w:t>
      </w:r>
    </w:p>
    <w:p>
      <w:pPr>
        <w:pStyle w:val="ListParagraph"/>
        <w:numPr>
          <w:ilvl w:val="0"/>
          <w:numId w:val="6"/>
        </w:numPr>
        <w:tabs>
          <w:tab w:val="left" w:pos="284" w:leader="none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Сметная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стоимость пусконаладочных работ определяется на основании утвержденных заказчиком программы и графика. Расчет стоимости пусконаладочных работ составлять с применением сметных нормативов, включенных в ФРСН. При определении сметной стоимости полного комплекса пусконаладочных работ на основании раздела </w:t>
      </w:r>
      <w:r>
        <w:rPr>
          <w:rFonts w:ascii="Times New Roman" w:hAnsi="Times New Roman"/>
          <w:sz w:val="24"/>
          <w:szCs w:val="24"/>
          <w:shd w:fill="auto" w:val="clear"/>
          <w:lang w:val="en-US"/>
        </w:rPr>
        <w:t>VII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. Методики определения сметной стоимости строительства: </w:t>
      </w:r>
    </w:p>
    <w:p>
      <w:pPr>
        <w:pStyle w:val="ConsPlusNormal1"/>
        <w:numPr>
          <w:ilvl w:val="0"/>
          <w:numId w:val="4"/>
        </w:numPr>
        <w:tabs>
          <w:tab w:val="left" w:pos="709" w:leader="none"/>
          <w:tab w:val="left" w:pos="1134" w:leader="none"/>
        </w:tabs>
        <w:spacing w:before="40" w:after="40"/>
        <w:ind w:firstLine="567" w:lef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Затраты на проведение пусконаладочных работ «вхолостую» по объектам производственного и непроизводственного назначения, связанных с получением дохода от реализации товаров (услуг) включаются в Главу 9 «Прочие работы и затраты» (графы 7 и 8) ССР. В соответствии с заданием Заказчика и при обосновании программами ПНР (комплексного опробования оборудования), в сметной стоимости ПНР дополнительно могут учитываться: стоимость материальных, энергетических ресурсов, сырья и полуфабрикатов, используемых при проведении ПНР «вхолостую».</w:t>
      </w:r>
    </w:p>
    <w:p>
      <w:pPr>
        <w:pStyle w:val="ConsPlusNormal1"/>
        <w:numPr>
          <w:ilvl w:val="0"/>
          <w:numId w:val="4"/>
        </w:numPr>
        <w:tabs>
          <w:tab w:val="left" w:pos="709" w:leader="none"/>
          <w:tab w:val="left" w:pos="1134" w:leader="none"/>
        </w:tabs>
        <w:spacing w:before="40" w:after="40"/>
        <w:ind w:firstLine="567" w:lef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Пусконаладочные работы «под нагрузкой» для объектов производственного и непроизводственного назначения, связанных с получением дохода от реализации товаров (услуг) не относятся на сметную стоимость строительства и в сметной документации не учитываются. Исключением являются ПНР на особо опасных, технически сложных и уникальных объектах капитального строительства, где необходимость учета таких затрат определяется заказчиком.</w:t>
      </w:r>
    </w:p>
    <w:p>
      <w:pPr>
        <w:pStyle w:val="ConsPlusNormal1"/>
        <w:tabs>
          <w:tab w:val="left" w:pos="709" w:leader="none"/>
          <w:tab w:val="left" w:pos="1134" w:leader="none"/>
        </w:tabs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Данные работы оформляются отдельными локальными сметами в соответствии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с Приложением № 1.5 к Требованиям к оформлению и составлению сметной документации на строительство и реконструкцию объектов капитального строительства и включаются в ССР. </w:t>
      </w:r>
    </w:p>
    <w:p>
      <w:pPr>
        <w:pStyle w:val="ListParagraph"/>
        <w:numPr>
          <w:ilvl w:val="0"/>
          <w:numId w:val="6"/>
        </w:numPr>
        <w:tabs>
          <w:tab w:val="clear" w:pos="709"/>
          <w:tab w:val="left" w:pos="1134" w:leader="none"/>
        </w:tabs>
        <w:spacing w:lineRule="auto" w:line="240" w:before="40" w:after="40"/>
        <w:ind w:firstLine="567" w:left="0"/>
        <w:contextualSpacing w:val="false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В ЛС на ПНР коэффициенты, учитывающие условия производства работ, начисляются только на те этапы работ, которые фактически производятся в данных условиях. Долю работ в общих затратах, для начисления коэффициента, принимать в соответствии со структурой пусконаладочных работ, приведенной в Общих положениях сборников на ПНР.</w:t>
      </w:r>
    </w:p>
    <w:p>
      <w:pPr>
        <w:pStyle w:val="ListParagraph"/>
        <w:numPr>
          <w:ilvl w:val="0"/>
          <w:numId w:val="6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При определении сметных затрат на демонтаж строительных конструкций и оборудования стоимость погрузки, перевозки (от строительной площадки до места утилизации или складирования) и разгрузки строительного мусора и материалов, полученных при разборке строительных конструкций и оборудования, следует учитывать дополнительно, на основании проектной и (или) иной технической документации, проекта организации работ по сносу объекта капитального строительства.</w:t>
      </w:r>
    </w:p>
    <w:p>
      <w:pPr>
        <w:pStyle w:val="ListParagraph"/>
        <w:numPr>
          <w:ilvl w:val="0"/>
          <w:numId w:val="6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локальных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сметных расчетах построчные и итоговые суммы </w:t>
      </w:r>
      <w:r>
        <w:rPr>
          <w:rFonts w:ascii="Times New Roman" w:hAnsi="Times New Roman"/>
          <w:b/>
          <w:sz w:val="24"/>
          <w:szCs w:val="24"/>
          <w:u w:val="single"/>
          <w:shd w:fill="auto" w:val="clear"/>
        </w:rPr>
        <w:t>округлять:</w:t>
      </w:r>
    </w:p>
    <w:p>
      <w:pPr>
        <w:pStyle w:val="ConsPlusNormal1"/>
        <w:numPr>
          <w:ilvl w:val="0"/>
          <w:numId w:val="4"/>
        </w:numPr>
        <w:tabs>
          <w:tab w:val="left" w:pos="709" w:leader="none"/>
          <w:tab w:val="left" w:pos="1134" w:leader="none"/>
        </w:tabs>
        <w:spacing w:before="40" w:after="40"/>
        <w:ind w:firstLine="567" w:lef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при ресурсно-индексном и ресурсным методах, а также в сметных расчетах на отдельные виды затрат - в рублях 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до целых единиц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;</w:t>
      </w:r>
    </w:p>
    <w:p>
      <w:pPr>
        <w:pStyle w:val="ConsPlusNormal1"/>
        <w:numPr>
          <w:ilvl w:val="0"/>
          <w:numId w:val="4"/>
        </w:numPr>
        <w:tabs>
          <w:tab w:val="left" w:pos="709" w:leader="none"/>
          <w:tab w:val="left" w:pos="1134" w:leader="none"/>
        </w:tabs>
        <w:spacing w:before="40" w:after="40"/>
        <w:ind w:firstLine="567" w:lef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в объектных сметных расчетах (сметах), сводном сметном расчете и сводке затрат - в рублях с до двух знаков после запятой. Величину НДС не указывать.</w:t>
      </w:r>
    </w:p>
    <w:p>
      <w:pPr>
        <w:pStyle w:val="ListParagraph"/>
        <w:numPr>
          <w:ilvl w:val="0"/>
          <w:numId w:val="6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Выходные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формы сметных расчетов должны соответствовать Образцу согласно Приложению 1.5.</w:t>
      </w:r>
    </w:p>
    <w:p>
      <w:pPr>
        <w:pStyle w:val="ListParagraph"/>
        <w:numPr>
          <w:ilvl w:val="0"/>
          <w:numId w:val="6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В сметных расчетах при исключении и добавлении ресурсов (материалов) необходимо данные ресурсы относить в отдельную позицию, не допускается изменение внутри расценки.</w:t>
      </w:r>
    </w:p>
    <w:p>
      <w:pPr>
        <w:pStyle w:val="ListParagraph"/>
        <w:numPr>
          <w:ilvl w:val="0"/>
          <w:numId w:val="6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При наличии двух и более сметных расчетов составлять ССР в текущем уровне цен 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по форме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Приложения № 1.1 к Требованиям к оформлению и составлению сметной документации на строительство и реконструкцию объектов капитального строительства.</w:t>
      </w:r>
    </w:p>
    <w:p>
      <w:pPr>
        <w:pStyle w:val="ConsPlusNormal1"/>
        <w:widowControl/>
        <w:numPr>
          <w:ilvl w:val="0"/>
          <w:numId w:val="6"/>
        </w:numPr>
        <w:tabs>
          <w:tab w:val="clear" w:pos="709"/>
          <w:tab w:val="left" w:pos="1134" w:leader="none"/>
        </w:tabs>
        <w:ind w:firstLine="567" w:lef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В случае заключений дополнительных соглашений к договору (далее - д/с), ССР необходимо выполнять в накопительной форме с учетом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ЛСР (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ЛС) к основному договору и ко всем заключенным д/с к нему. В итогах ССР (справочно) указывать суммы изменения (уменьшения, увеличения) основного договора на основании заключения д/с, которые определяются как разница между суммой ССР очередного д/с и стоимостью основного договора. Форма ССР с учетом заключения д/с к договору приведена в Приложении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№ 1.2 к Требованиям к оформлению и составлению сметной документации на строительство и реконструкцию объектов капитального строительства. </w:t>
      </w:r>
    </w:p>
    <w:p>
      <w:pPr>
        <w:pStyle w:val="ConsPlusNormal1"/>
        <w:widowControl/>
        <w:numPr>
          <w:ilvl w:val="0"/>
          <w:numId w:val="6"/>
        </w:numPr>
        <w:tabs>
          <w:tab w:val="clear" w:pos="709"/>
          <w:tab w:val="left" w:pos="1134" w:leader="none"/>
        </w:tabs>
        <w:ind w:firstLine="567" w:lef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ЛСР (ЛС) разрабатываются отдельно на исключаемые и дополнительные объемы работ. К сметной документации дополнительно прилагаются и являются ее неотъемлемой частью сопоставительные ведомости изменения сметной стоимости и сопоставительные ведомости изменения объемов работ, подготовленные в соответствии с Образцом по Приложениям №№ 1.3 и 1.4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к Требованиям к оформлению и составлению сметной документации на строительство и реконструкцию объектов капитального строительства. </w:t>
      </w:r>
    </w:p>
    <w:p>
      <w:pPr>
        <w:pStyle w:val="ConsPlusNormal1"/>
        <w:widowControl/>
        <w:numPr>
          <w:ilvl w:val="0"/>
          <w:numId w:val="6"/>
        </w:numPr>
        <w:tabs>
          <w:tab w:val="clear" w:pos="709"/>
          <w:tab w:val="left" w:pos="1134" w:leader="none"/>
        </w:tabs>
        <w:ind w:firstLine="567" w:lef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ЛС являются приложениями к ССР. Нумерация приложений указывается по мере включения ЛС в ССР в накопительной форме - по порядку.</w:t>
      </w:r>
    </w:p>
    <w:p>
      <w:pPr>
        <w:pStyle w:val="ConsPlusNormal1"/>
        <w:widowControl/>
        <w:numPr>
          <w:ilvl w:val="0"/>
          <w:numId w:val="6"/>
        </w:numPr>
        <w:tabs>
          <w:tab w:val="clear" w:pos="709"/>
          <w:tab w:val="left" w:pos="1134" w:leader="none"/>
        </w:tabs>
        <w:ind w:firstLine="567" w:lef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Разнесение затрат (сумм ЛС) по графам и главам ССР осуществлять в соответствии с указаниями Методики определения сметной стоимости строительства.</w:t>
      </w:r>
    </w:p>
    <w:p>
      <w:pPr>
        <w:pStyle w:val="ConsPlusNormal1"/>
        <w:widowControl/>
        <w:numPr>
          <w:ilvl w:val="0"/>
          <w:numId w:val="6"/>
        </w:numPr>
        <w:tabs>
          <w:tab w:val="clear" w:pos="709"/>
          <w:tab w:val="left" w:pos="1134" w:leader="none"/>
        </w:tabs>
        <w:ind w:firstLine="567" w:lef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В ССР, построчные и итоговые суммы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указывать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в рублях с округлением до двух знаков после запятой. Величину НДС не указывать.</w:t>
      </w:r>
    </w:p>
    <w:p>
      <w:pPr>
        <w:pStyle w:val="ConsPlusNormal1"/>
        <w:widowControl/>
        <w:numPr>
          <w:ilvl w:val="0"/>
          <w:numId w:val="6"/>
        </w:numPr>
        <w:tabs>
          <w:tab w:val="clear" w:pos="709"/>
          <w:tab w:val="left" w:pos="1134" w:leader="none"/>
        </w:tabs>
        <w:ind w:firstLine="567" w:lef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В случае выполнения Подрядчиком полного комплекса пусконаладочных работ («вхолостую» и «под нагрузкой») сумму затрат на выполнение пусконаладочных работ «под нагрузкой» включать за итогом ССР. Таким образом, общая стоимость работ по договору (дополнительному соглашению) будет включать в себя все затраты Подрядчика в рамках конкретного договора, включая пусконаладочные работы «под нагрузкой» (для работ, выполняемых в рамках ТПиР). </w:t>
      </w:r>
    </w:p>
    <w:p>
      <w:pPr>
        <w:pStyle w:val="ConsPlusNormal1"/>
        <w:widowControl/>
        <w:numPr>
          <w:ilvl w:val="0"/>
          <w:numId w:val="6"/>
        </w:numPr>
        <w:tabs>
          <w:tab w:val="clear" w:pos="709"/>
          <w:tab w:val="left" w:pos="1134" w:leader="none"/>
        </w:tabs>
        <w:ind w:firstLine="567" w:lef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В случае если договором определена только предельная цена, то в ССР указываются составляющие стоимости в соответствии с договором.</w:t>
      </w:r>
    </w:p>
    <w:p>
      <w:pPr>
        <w:pStyle w:val="ListParagraph"/>
        <w:numPr>
          <w:ilvl w:val="0"/>
          <w:numId w:val="6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 w:left="0"/>
        <w:contextualSpacing w:val="false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Сметная документация должна быть представлена в двух вариантах:</w:t>
      </w:r>
    </w:p>
    <w:p>
      <w:pPr>
        <w:pStyle w:val="ConsPlusNormal1"/>
        <w:numPr>
          <w:ilvl w:val="0"/>
          <w:numId w:val="4"/>
        </w:numPr>
        <w:tabs>
          <w:tab w:val="left" w:pos="709" w:leader="none"/>
          <w:tab w:val="left" w:pos="851" w:leader="none"/>
          <w:tab w:val="left" w:pos="1134" w:leader="none"/>
        </w:tabs>
        <w:spacing w:before="40" w:after="40"/>
        <w:ind w:firstLine="709" w:lef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на бумажном носителе (количество указано в конкурсной документации) Образец ЛСР в соответствии с приложением № 1.5 к Требованиям к оформлению и составлению сметной документации на строительство и реконструкцию объектов капитального строительства;</w:t>
      </w:r>
    </w:p>
    <w:p>
      <w:pPr>
        <w:sectPr>
          <w:footerReference w:type="default" r:id="rId2"/>
          <w:type w:val="nextPage"/>
          <w:pgSz w:w="11906" w:h="16838"/>
          <w:pgMar w:left="1304" w:right="924" w:gutter="0" w:header="0" w:top="539" w:footer="709" w:bottom="1134"/>
          <w:pgNumType w:fmt="decimal"/>
          <w:formProt w:val="false"/>
          <w:textDirection w:val="lrTb"/>
          <w:docGrid w:type="default" w:linePitch="360" w:charSpace="0"/>
        </w:sectPr>
        <w:pStyle w:val="ConsPlusNormal1"/>
        <w:numPr>
          <w:ilvl w:val="0"/>
          <w:numId w:val="4"/>
        </w:numPr>
        <w:tabs>
          <w:tab w:val="left" w:pos="709" w:leader="none"/>
          <w:tab w:val="left" w:pos="851" w:leader="none"/>
        </w:tabs>
        <w:spacing w:before="40" w:after="40"/>
        <w:ind w:firstLine="709" w:lef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на электронном носителе (в формате «xml» ПК «Гранд-Смета», «Excel», «pdf»), полностью соответствующему, бумажному варианту. Сметная документация в формате «Excel» должна быть представлена в одном файле с внесением ССР, ЛСР и других расчетов на отдельные листы (вкладки) документа.</w:t>
      </w:r>
      <w:r>
        <w:br w:type="page"/>
      </w:r>
    </w:p>
    <w:p>
      <w:pPr>
        <w:pStyle w:val="ListParagraph"/>
        <w:spacing w:lineRule="auto" w:line="240" w:before="0" w:after="0"/>
        <w:ind w:hanging="0" w:left="928" w:right="666"/>
        <w:contextualSpacing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sz w:val="18"/>
          <w:szCs w:val="18"/>
          <w:shd w:fill="auto" w:val="clear"/>
        </w:rPr>
        <w:t xml:space="preserve">Приложение №1.1 </w:t>
      </w:r>
    </w:p>
    <w:p>
      <w:pPr>
        <w:pStyle w:val="ConsPlusNormal1"/>
        <w:ind w:hanging="0" w:left="928" w:right="666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sz w:val="18"/>
          <w:szCs w:val="18"/>
          <w:shd w:fill="auto" w:val="clear"/>
        </w:rPr>
        <w:t>к Требованиям к оформлению и составлению сметной документации</w:t>
      </w:r>
    </w:p>
    <w:p>
      <w:pPr>
        <w:pStyle w:val="ConsPlusNormal1"/>
        <w:ind w:hanging="0" w:left="928" w:right="666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sz w:val="18"/>
          <w:szCs w:val="18"/>
          <w:shd w:fill="auto" w:val="clear"/>
        </w:rPr>
        <w:t xml:space="preserve">на строительство и реконструкцию объектов </w:t>
      </w:r>
    </w:p>
    <w:p>
      <w:pPr>
        <w:pStyle w:val="ConsPlusNormal1"/>
        <w:ind w:hanging="0" w:left="928" w:right="666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sz w:val="18"/>
          <w:szCs w:val="18"/>
          <w:shd w:fill="auto" w:val="clear"/>
        </w:rPr>
        <w:t xml:space="preserve">капитального строительства  </w:t>
      </w:r>
    </w:p>
    <w:tbl>
      <w:tblPr>
        <w:tblW w:w="158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38"/>
        <w:gridCol w:w="73"/>
        <w:gridCol w:w="1635"/>
        <w:gridCol w:w="583"/>
        <w:gridCol w:w="2842"/>
        <w:gridCol w:w="105"/>
        <w:gridCol w:w="12"/>
        <w:gridCol w:w="1525"/>
        <w:gridCol w:w="130"/>
        <w:gridCol w:w="14"/>
        <w:gridCol w:w="1677"/>
        <w:gridCol w:w="68"/>
        <w:gridCol w:w="14"/>
        <w:gridCol w:w="1840"/>
        <w:gridCol w:w="11"/>
        <w:gridCol w:w="38"/>
        <w:gridCol w:w="1930"/>
        <w:gridCol w:w="19"/>
        <w:gridCol w:w="300"/>
        <w:gridCol w:w="1667"/>
        <w:gridCol w:w="10"/>
        <w:gridCol w:w="101"/>
      </w:tblGrid>
      <w:tr>
        <w:trPr>
          <w:trHeight w:val="312" w:hRule="atLeast"/>
        </w:trPr>
        <w:tc>
          <w:tcPr>
            <w:tcW w:w="352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shd w:fill="auto" w:val="clear"/>
              </w:rPr>
              <w:t>ОБРАЗЕЦ</w:t>
            </w:r>
          </w:p>
        </w:tc>
        <w:tc>
          <w:tcPr>
            <w:tcW w:w="29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66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75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85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3965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Приложение __ от 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к Договору № _________ от ______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0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12" w:hRule="atLeast"/>
        </w:trPr>
        <w:tc>
          <w:tcPr>
            <w:tcW w:w="352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СОГЛАСОВАНО:</w:t>
            </w:r>
          </w:p>
        </w:tc>
        <w:tc>
          <w:tcPr>
            <w:tcW w:w="29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</w:r>
          </w:p>
        </w:tc>
        <w:tc>
          <w:tcPr>
            <w:tcW w:w="166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75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5819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УТВЕРЖДАЮ: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0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12" w:hRule="atLeast"/>
        </w:trPr>
        <w:tc>
          <w:tcPr>
            <w:tcW w:w="352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___________________ФИО</w:t>
            </w:r>
          </w:p>
        </w:tc>
        <w:tc>
          <w:tcPr>
            <w:tcW w:w="29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66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75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5819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 xml:space="preserve">___________________ФИО       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0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12" w:hRule="atLeast"/>
        </w:trPr>
        <w:tc>
          <w:tcPr>
            <w:tcW w:w="6488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"_______" _____________ 20___ г.</w:t>
            </w:r>
          </w:p>
        </w:tc>
        <w:tc>
          <w:tcPr>
            <w:tcW w:w="166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75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5815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"______" ____________________ 20__ г.</w:t>
            </w:r>
          </w:p>
        </w:tc>
        <w:tc>
          <w:tcPr>
            <w:tcW w:w="10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65" w:hRule="atLeast"/>
        </w:trPr>
        <w:tc>
          <w:tcPr>
            <w:tcW w:w="123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2291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29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7259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Сводный сметный расчет в сумме:______</w:t>
            </w:r>
          </w:p>
        </w:tc>
        <w:tc>
          <w:tcPr>
            <w:tcW w:w="198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руб. без НДС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0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144" w:hRule="atLeast"/>
        </w:trPr>
        <w:tc>
          <w:tcPr>
            <w:tcW w:w="123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2291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29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5280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 xml:space="preserve">СВОДНЫЙ СМЕТНЫЙ РАСЧЕТ </w:t>
            </w:r>
          </w:p>
        </w:tc>
        <w:tc>
          <w:tcPr>
            <w:tcW w:w="197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98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0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108" w:hRule="atLeast"/>
        </w:trPr>
        <w:tc>
          <w:tcPr>
            <w:tcW w:w="123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229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0206" w:type="dxa"/>
            <w:gridSpan w:val="13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98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i/>
                <w:i/>
                <w:iCs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fill="auto" w:val="clear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0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12" w:hRule="atLeast"/>
        </w:trPr>
        <w:tc>
          <w:tcPr>
            <w:tcW w:w="123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229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2947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5280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fill="auto" w:val="clear"/>
              </w:rPr>
              <w:t>(наименование стройки)</w:t>
            </w:r>
          </w:p>
        </w:tc>
        <w:tc>
          <w:tcPr>
            <w:tcW w:w="197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98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0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12" w:hRule="atLeast"/>
        </w:trPr>
        <w:tc>
          <w:tcPr>
            <w:tcW w:w="123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8678" w:type="dxa"/>
            <w:gridSpan w:val="1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Составлен в ценах, соответствующих периоду выполнения работ по договору</w:t>
            </w:r>
          </w:p>
        </w:tc>
        <w:tc>
          <w:tcPr>
            <w:tcW w:w="185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98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97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0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55" w:hRule="atLeast"/>
        </w:trPr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 xml:space="preserve">№ </w:t>
            </w: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пп</w:t>
            </w:r>
          </w:p>
        </w:tc>
        <w:tc>
          <w:tcPr>
            <w:tcW w:w="22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Номера сметных расчетов и смет</w:t>
            </w:r>
          </w:p>
        </w:tc>
        <w:tc>
          <w:tcPr>
            <w:tcW w:w="29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Наименование глав, объектов, работ и затрат</w:t>
            </w:r>
          </w:p>
        </w:tc>
        <w:tc>
          <w:tcPr>
            <w:tcW w:w="7259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Сметная стоимость, руб.</w:t>
            </w:r>
          </w:p>
        </w:tc>
        <w:tc>
          <w:tcPr>
            <w:tcW w:w="19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Общая сметная стоимость, руб.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0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12" w:hRule="atLeast"/>
        </w:trPr>
        <w:tc>
          <w:tcPr>
            <w:tcW w:w="12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229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294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667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строительных работ</w:t>
            </w:r>
          </w:p>
        </w:tc>
        <w:tc>
          <w:tcPr>
            <w:tcW w:w="175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монтажных работ</w:t>
            </w:r>
          </w:p>
        </w:tc>
        <w:tc>
          <w:tcPr>
            <w:tcW w:w="185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оборудования, мебели, инвентаря</w:t>
            </w:r>
          </w:p>
        </w:tc>
        <w:tc>
          <w:tcPr>
            <w:tcW w:w="197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прочих</w:t>
            </w:r>
          </w:p>
        </w:tc>
        <w:tc>
          <w:tcPr>
            <w:tcW w:w="198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0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69" w:hRule="atLeast"/>
        </w:trPr>
        <w:tc>
          <w:tcPr>
            <w:tcW w:w="12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229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294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667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759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85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979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98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0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12" w:hRule="atLeast"/>
        </w:trPr>
        <w:tc>
          <w:tcPr>
            <w:tcW w:w="12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1</w:t>
            </w:r>
          </w:p>
        </w:tc>
        <w:tc>
          <w:tcPr>
            <w:tcW w:w="2291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2</w:t>
            </w:r>
          </w:p>
        </w:tc>
        <w:tc>
          <w:tcPr>
            <w:tcW w:w="2947" w:type="dxa"/>
            <w:gridSpan w:val="2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3</w:t>
            </w:r>
          </w:p>
        </w:tc>
        <w:tc>
          <w:tcPr>
            <w:tcW w:w="1667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4</w:t>
            </w:r>
          </w:p>
        </w:tc>
        <w:tc>
          <w:tcPr>
            <w:tcW w:w="1759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5</w:t>
            </w:r>
          </w:p>
        </w:tc>
        <w:tc>
          <w:tcPr>
            <w:tcW w:w="1854" w:type="dxa"/>
            <w:gridSpan w:val="2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6</w:t>
            </w:r>
          </w:p>
        </w:tc>
        <w:tc>
          <w:tcPr>
            <w:tcW w:w="1979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7</w:t>
            </w:r>
          </w:p>
        </w:tc>
        <w:tc>
          <w:tcPr>
            <w:tcW w:w="1986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8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0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12" w:hRule="atLeast"/>
        </w:trPr>
        <w:tc>
          <w:tcPr>
            <w:tcW w:w="1573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Глава 2. Основные объекты строительства</w:t>
            </w:r>
          </w:p>
        </w:tc>
        <w:tc>
          <w:tcPr>
            <w:tcW w:w="10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12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1</w:t>
            </w:r>
          </w:p>
        </w:tc>
        <w:tc>
          <w:tcPr>
            <w:tcW w:w="229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02-01-01</w:t>
            </w:r>
          </w:p>
        </w:tc>
        <w:tc>
          <w:tcPr>
            <w:tcW w:w="294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…</w:t>
            </w:r>
          </w:p>
        </w:tc>
        <w:tc>
          <w:tcPr>
            <w:tcW w:w="16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7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97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0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86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525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Итого по Главе 2. "Основные объекты строительства"</w:t>
            </w:r>
          </w:p>
        </w:tc>
        <w:tc>
          <w:tcPr>
            <w:tcW w:w="166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7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5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98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97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0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12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525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Итого по Главам 1-12</w:t>
            </w:r>
          </w:p>
        </w:tc>
        <w:tc>
          <w:tcPr>
            <w:tcW w:w="166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7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5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98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97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0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40" w:hRule="atLeast"/>
        </w:trPr>
        <w:tc>
          <w:tcPr>
            <w:tcW w:w="1573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Непредвиденные затраты</w:t>
            </w:r>
          </w:p>
        </w:tc>
        <w:tc>
          <w:tcPr>
            <w:tcW w:w="10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12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229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294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6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7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97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0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12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525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Итого с учетом "Непредвиденные затраты"</w:t>
            </w:r>
          </w:p>
        </w:tc>
        <w:tc>
          <w:tcPr>
            <w:tcW w:w="166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7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5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98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97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0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12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525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Итого по сводному расчету</w:t>
            </w:r>
          </w:p>
        </w:tc>
        <w:tc>
          <w:tcPr>
            <w:tcW w:w="166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7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5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98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97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0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75" w:hRule="atLeast"/>
        </w:trPr>
        <w:tc>
          <w:tcPr>
            <w:tcW w:w="131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63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Составил:</w:t>
            </w:r>
          </w:p>
        </w:tc>
        <w:tc>
          <w:tcPr>
            <w:tcW w:w="342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642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21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971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2249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778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</w:tr>
      <w:tr>
        <w:trPr>
          <w:trHeight w:val="312" w:hRule="atLeast"/>
        </w:trPr>
        <w:tc>
          <w:tcPr>
            <w:tcW w:w="131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63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3425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5434" w:type="dxa"/>
            <w:gridSpan w:val="11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fill="auto" w:val="clear"/>
              </w:rPr>
              <w:t>(должность, подпись, расшифровка)</w:t>
            </w:r>
          </w:p>
        </w:tc>
        <w:tc>
          <w:tcPr>
            <w:tcW w:w="2249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778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fill="auto" w:val="clear"/>
              </w:rPr>
              <w:t> </w:t>
            </w:r>
          </w:p>
        </w:tc>
      </w:tr>
      <w:tr>
        <w:trPr>
          <w:trHeight w:val="312" w:hRule="atLeast"/>
        </w:trPr>
        <w:tc>
          <w:tcPr>
            <w:tcW w:w="131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63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Проверил:</w:t>
            </w:r>
          </w:p>
        </w:tc>
        <w:tc>
          <w:tcPr>
            <w:tcW w:w="3425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642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21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971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2249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778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</w:tr>
      <w:tr>
        <w:trPr>
          <w:trHeight w:val="724" w:hRule="atLeast"/>
        </w:trPr>
        <w:tc>
          <w:tcPr>
            <w:tcW w:w="131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63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/>
              <w:object>
                <v:shapetype id="_x0000_tole_rId3" coordsize="21600,21600" o:spt="ole_rId3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3" type="_x0000_tole_rId3" style="width:68.3pt;height:43.8pt;mso-wrap-distance-right:0pt" filled="f" o:ole="">
                  <v:imagedata r:id="rId4" o:title=""/>
                </v:shape>
                <o:OLEObject Type="Embed" ProgID="Excel.Sheet.12" ShapeID="ole_rId3" DrawAspect="Icon" ObjectID="_1513612081" r:id="rId3"/>
              </w:object>
            </w:r>
          </w:p>
        </w:tc>
        <w:tc>
          <w:tcPr>
            <w:tcW w:w="3425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5434" w:type="dxa"/>
            <w:gridSpan w:val="11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fill="auto" w:val="clear"/>
              </w:rPr>
              <w:t>(должность, подпись, расшифровка)</w:t>
            </w:r>
          </w:p>
        </w:tc>
        <w:tc>
          <w:tcPr>
            <w:tcW w:w="2249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778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fill="auto" w:val="clear"/>
              </w:rPr>
              <w:t> </w:t>
            </w:r>
          </w:p>
        </w:tc>
      </w:tr>
    </w:tbl>
    <w:p>
      <w:pPr>
        <w:sectPr>
          <w:footerReference w:type="default" r:id="rId5"/>
          <w:footerReference w:type="first" r:id="rId6"/>
          <w:type w:val="nextPage"/>
          <w:pgSz w:orient="landscape" w:w="16838" w:h="11906"/>
          <w:pgMar w:left="425" w:right="851" w:gutter="0" w:header="0" w:top="851" w:footer="709" w:bottom="76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ind w:firstLine="720" w:left="397"/>
        <w:contextualSpacing/>
        <w:rPr>
          <w:highlight w:val="none"/>
          <w:shd w:fill="auto" w:val="clear"/>
        </w:rPr>
      </w:pPr>
      <w:r>
        <w:rPr>
          <w:rFonts w:ascii="Times New Roman" w:hAnsi="Times New Roman"/>
          <w:b/>
          <w:shd w:fill="auto" w:val="clear"/>
        </w:rPr>
        <w:t>ОБРАЗЕЦ</w:t>
      </w:r>
      <w:r>
        <w:rPr>
          <w:rFonts w:ascii="Times New Roman" w:hAnsi="Times New Roman"/>
          <w:shd w:fill="auto" w:val="clear"/>
        </w:rPr>
        <w:t xml:space="preserve">             </w:t>
      </w:r>
    </w:p>
    <w:p>
      <w:pPr>
        <w:pStyle w:val="Normal"/>
        <w:spacing w:lineRule="auto" w:line="240" w:before="0" w:after="0"/>
        <w:ind w:firstLine="720" w:left="8646"/>
        <w:contextualSpacing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 </w:t>
      </w:r>
      <w:r>
        <w:rPr>
          <w:rFonts w:ascii="Times New Roman" w:hAnsi="Times New Roman"/>
          <w:sz w:val="20"/>
          <w:szCs w:val="20"/>
          <w:shd w:fill="auto" w:val="clear"/>
        </w:rPr>
        <w:t xml:space="preserve">Приложение №1.2 </w:t>
      </w:r>
    </w:p>
    <w:p>
      <w:pPr>
        <w:pStyle w:val="ConsPlusNormal1"/>
        <w:ind w:firstLine="720" w:left="5811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к Требованиям к оформлению и составлению сметной документации</w:t>
      </w:r>
    </w:p>
    <w:p>
      <w:pPr>
        <w:pStyle w:val="ConsPlusNormal1"/>
        <w:ind w:firstLine="720" w:left="5811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 </w:t>
      </w:r>
      <w:r>
        <w:rPr>
          <w:rFonts w:ascii="Times New Roman" w:hAnsi="Times New Roman"/>
          <w:shd w:fill="auto" w:val="clear"/>
        </w:rPr>
        <w:t xml:space="preserve">на строительство и реконструкцию </w:t>
      </w:r>
    </w:p>
    <w:p>
      <w:pPr>
        <w:pStyle w:val="ConsPlusNormal1"/>
        <w:ind w:firstLine="720" w:left="5811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объектов капитального строительства</w:t>
      </w:r>
    </w:p>
    <w:tbl>
      <w:tblPr>
        <w:tblW w:w="16199" w:type="dxa"/>
        <w:jc w:val="left"/>
        <w:tblInd w:w="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22"/>
        <w:gridCol w:w="219"/>
        <w:gridCol w:w="1445"/>
        <w:gridCol w:w="220"/>
        <w:gridCol w:w="3264"/>
        <w:gridCol w:w="235"/>
        <w:gridCol w:w="217"/>
        <w:gridCol w:w="1207"/>
        <w:gridCol w:w="1843"/>
        <w:gridCol w:w="246"/>
        <w:gridCol w:w="823"/>
        <w:gridCol w:w="917"/>
        <w:gridCol w:w="256"/>
        <w:gridCol w:w="536"/>
        <w:gridCol w:w="217"/>
        <w:gridCol w:w="844"/>
        <w:gridCol w:w="413"/>
        <w:gridCol w:w="26"/>
        <w:gridCol w:w="444"/>
        <w:gridCol w:w="439"/>
        <w:gridCol w:w="217"/>
        <w:gridCol w:w="716"/>
        <w:gridCol w:w="731"/>
      </w:tblGrid>
      <w:tr>
        <w:trPr>
          <w:trHeight w:val="78" w:hRule="atLeast"/>
        </w:trPr>
        <w:tc>
          <w:tcPr>
            <w:tcW w:w="260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shd w:fill="auto" w:val="clear"/>
              </w:rPr>
              <w:t>СОГЛАСОВАНО:</w:t>
            </w:r>
          </w:p>
        </w:tc>
        <w:tc>
          <w:tcPr>
            <w:tcW w:w="3716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shd w:fill="auto" w:val="clear"/>
              </w:rPr>
            </w:r>
          </w:p>
        </w:tc>
        <w:tc>
          <w:tcPr>
            <w:tcW w:w="3296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996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4583" w:type="dxa"/>
            <w:gridSpan w:val="10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shd w:fill="auto" w:val="clear"/>
              </w:rPr>
              <w:t>УТВЕРЖДАЮ:</w:t>
            </w:r>
          </w:p>
        </w:tc>
      </w:tr>
      <w:tr>
        <w:trPr>
          <w:trHeight w:val="312" w:hRule="atLeast"/>
        </w:trPr>
        <w:tc>
          <w:tcPr>
            <w:tcW w:w="2606" w:type="dxa"/>
            <w:gridSpan w:val="4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_______________ ФИО</w:t>
            </w:r>
          </w:p>
        </w:tc>
        <w:tc>
          <w:tcPr>
            <w:tcW w:w="3716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3296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996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4583" w:type="dxa"/>
            <w:gridSpan w:val="10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________________ФИО</w:t>
            </w:r>
          </w:p>
        </w:tc>
      </w:tr>
      <w:tr>
        <w:trPr>
          <w:trHeight w:val="312" w:hRule="atLeast"/>
        </w:trPr>
        <w:tc>
          <w:tcPr>
            <w:tcW w:w="6322" w:type="dxa"/>
            <w:gridSpan w:val="7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"___" _____________ 20__ г.</w:t>
            </w:r>
          </w:p>
        </w:tc>
        <w:tc>
          <w:tcPr>
            <w:tcW w:w="3296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996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4583" w:type="dxa"/>
            <w:gridSpan w:val="10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"___" _____________ 20__ г.</w:t>
            </w:r>
          </w:p>
        </w:tc>
      </w:tr>
      <w:tr>
        <w:trPr>
          <w:trHeight w:val="312" w:hRule="atLeast"/>
        </w:trPr>
        <w:tc>
          <w:tcPr>
            <w:tcW w:w="94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516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4336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70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6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83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43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93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12" w:hRule="atLeast"/>
        </w:trPr>
        <w:tc>
          <w:tcPr>
            <w:tcW w:w="72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348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659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6095" w:type="dxa"/>
            <w:gridSpan w:val="9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 xml:space="preserve">Сводный сметный расчет в сумме </w:t>
            </w:r>
          </w:p>
        </w:tc>
        <w:tc>
          <w:tcPr>
            <w:tcW w:w="184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руб. без НДС</w:t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12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1264" w:type="dxa"/>
            <w:gridSpan w:val="1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shd w:fill="auto" w:val="clear"/>
              </w:rPr>
              <w:t xml:space="preserve">СВОДНЫЙ СМЕТНЫЙ РАСЧЕТ </w:t>
            </w:r>
          </w:p>
        </w:tc>
        <w:tc>
          <w:tcPr>
            <w:tcW w:w="181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40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2364" w:type="dxa"/>
            <w:gridSpan w:val="18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 </w:t>
            </w:r>
          </w:p>
        </w:tc>
        <w:tc>
          <w:tcPr>
            <w:tcW w:w="7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00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348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5488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shd w:fill="auto" w:val="clear"/>
              </w:rPr>
              <w:t xml:space="preserve">              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shd w:fill="auto" w:val="clear"/>
              </w:rPr>
              <w:t>(наименование стройки)</w:t>
            </w:r>
          </w:p>
        </w:tc>
        <w:tc>
          <w:tcPr>
            <w:tcW w:w="2266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84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12" w:hRule="atLeast"/>
        </w:trPr>
        <w:tc>
          <w:tcPr>
            <w:tcW w:w="12367" w:type="dxa"/>
            <w:gridSpan w:val="1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Составлен в текущих ценах, соответствующих периоду выполнения работ по договору</w:t>
            </w:r>
          </w:p>
        </w:tc>
        <w:tc>
          <w:tcPr>
            <w:tcW w:w="2383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7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84" w:hRule="atLeast"/>
        </w:trPr>
        <w:tc>
          <w:tcPr>
            <w:tcW w:w="72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66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348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65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98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2266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84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84" w:hRule="atLeast"/>
        </w:trPr>
        <w:tc>
          <w:tcPr>
            <w:tcW w:w="72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66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348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65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98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2266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84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55" w:hRule="atLeast"/>
        </w:trPr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 xml:space="preserve">№ </w:t>
            </w: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пп</w:t>
            </w:r>
          </w:p>
        </w:tc>
        <w:tc>
          <w:tcPr>
            <w:tcW w:w="16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Номера сметных расчетов и смет</w:t>
            </w:r>
          </w:p>
        </w:tc>
        <w:tc>
          <w:tcPr>
            <w:tcW w:w="34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Наименование глав, объектов, работ и затрат</w:t>
            </w:r>
          </w:p>
        </w:tc>
        <w:tc>
          <w:tcPr>
            <w:tcW w:w="7754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Сметная стоимость, руб.</w:t>
            </w:r>
          </w:p>
        </w:tc>
        <w:tc>
          <w:tcPr>
            <w:tcW w:w="184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720" w:left="-113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Общая сметная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20" w:left="-113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стоимость, руб</w:t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597" w:hRule="atLeast"/>
        </w:trPr>
        <w:tc>
          <w:tcPr>
            <w:tcW w:w="7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66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34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6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строитель-</w:t>
              <w:br/>
              <w:t>ных работ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монтажных работ</w:t>
            </w:r>
          </w:p>
        </w:tc>
        <w:tc>
          <w:tcPr>
            <w:tcW w:w="19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оборудования, мебели, инвентаря</w:t>
            </w:r>
          </w:p>
        </w:tc>
        <w:tc>
          <w:tcPr>
            <w:tcW w:w="226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прочих</w:t>
            </w:r>
          </w:p>
        </w:tc>
        <w:tc>
          <w:tcPr>
            <w:tcW w:w="1842" w:type="dxa"/>
            <w:gridSpan w:val="5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595" w:left="72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12" w:hRule="atLeast"/>
        </w:trPr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1</w:t>
            </w:r>
          </w:p>
        </w:tc>
        <w:tc>
          <w:tcPr>
            <w:tcW w:w="1664" w:type="dxa"/>
            <w:gridSpan w:val="2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2</w:t>
            </w:r>
          </w:p>
        </w:tc>
        <w:tc>
          <w:tcPr>
            <w:tcW w:w="3484" w:type="dxa"/>
            <w:gridSpan w:val="2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3</w:t>
            </w:r>
          </w:p>
        </w:tc>
        <w:tc>
          <w:tcPr>
            <w:tcW w:w="1659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4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5</w:t>
            </w:r>
          </w:p>
        </w:tc>
        <w:tc>
          <w:tcPr>
            <w:tcW w:w="1986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6</w:t>
            </w:r>
          </w:p>
        </w:tc>
        <w:tc>
          <w:tcPr>
            <w:tcW w:w="2266" w:type="dxa"/>
            <w:gridSpan w:val="5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7</w:t>
            </w:r>
          </w:p>
        </w:tc>
        <w:tc>
          <w:tcPr>
            <w:tcW w:w="1842" w:type="dxa"/>
            <w:gridSpan w:val="5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8</w:t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12" w:hRule="atLeast"/>
        </w:trPr>
        <w:tc>
          <w:tcPr>
            <w:tcW w:w="1546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 xml:space="preserve">Глава 2. Основные объекты </w:t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12" w:hRule="atLeast"/>
        </w:trPr>
        <w:tc>
          <w:tcPr>
            <w:tcW w:w="1546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Сметы основного договора:</w:t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12" w:hRule="atLeast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1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№</w:t>
            </w: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02-01-01</w:t>
            </w:r>
          </w:p>
        </w:tc>
        <w:tc>
          <w:tcPr>
            <w:tcW w:w="3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65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226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4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12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2</w:t>
            </w:r>
          </w:p>
        </w:tc>
        <w:tc>
          <w:tcPr>
            <w:tcW w:w="166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№</w:t>
            </w: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02-01-02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42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60" w:hRule="atLeast"/>
        </w:trPr>
        <w:tc>
          <w:tcPr>
            <w:tcW w:w="1546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Исключить дополнительным соглашением №___</w:t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12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66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№</w:t>
            </w: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02-01-02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42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405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514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Итого исключено Дополнительным соглашением №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42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435" w:hRule="atLeast"/>
        </w:trPr>
        <w:tc>
          <w:tcPr>
            <w:tcW w:w="1546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Включить дополнительным соглашением №____</w:t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70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66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№</w:t>
            </w: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02-01-02/1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42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514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Итого включено Дополнительным соглашением №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42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22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514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Итого по Главе 2. "Основные объекты"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42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12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514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Всего по сводному сметному расчету, без учета НДС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42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6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fill="auto" w:val="clear"/>
              </w:rPr>
              <w:t>сумма основного договора (без НДС)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42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771" w:hRule="atLeast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ДС №___ от ___.__.20___г.</w:t>
            </w:r>
          </w:p>
        </w:tc>
        <w:tc>
          <w:tcPr>
            <w:tcW w:w="3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fill="auto" w:val="clear"/>
              </w:rPr>
              <w:t>сумма увеличения основного договора на основании дополнительного соглашения № ___ без НДС</w:t>
            </w:r>
          </w:p>
        </w:tc>
        <w:tc>
          <w:tcPr>
            <w:tcW w:w="165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226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4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fill="auto" w:val="clear"/>
              </w:rPr>
              <w:t xml:space="preserve">0  </w:t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75" w:hRule="atLeast"/>
        </w:trPr>
        <w:tc>
          <w:tcPr>
            <w:tcW w:w="72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66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Составил: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42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12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348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5488" w:type="dxa"/>
            <w:gridSpan w:val="7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fill="auto" w:val="clear"/>
              </w:rPr>
              <w:t>(должность, подпись, расшифровка)</w:t>
            </w:r>
          </w:p>
        </w:tc>
        <w:tc>
          <w:tcPr>
            <w:tcW w:w="2266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42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12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Проверил: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42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312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348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5488" w:type="dxa"/>
            <w:gridSpan w:val="7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fill="auto" w:val="clear"/>
              </w:rPr>
              <w:t>(должность, подпись, расшифровка)</w:t>
            </w:r>
          </w:p>
        </w:tc>
        <w:tc>
          <w:tcPr>
            <w:tcW w:w="2266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1842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fill="auto" w:val="clear"/>
              </w:rPr>
              <w:t> </w:t>
            </w:r>
          </w:p>
        </w:tc>
        <w:tc>
          <w:tcPr>
            <w:tcW w:w="731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</w:tbl>
    <w:p>
      <w:pPr>
        <w:pStyle w:val="ConsPlusNormal1"/>
        <w:jc w:val="right"/>
        <w:rPr>
          <w:rFonts w:ascii="Times New Roman" w:hAnsi="Times New Roman" w:cs="Times New Roman"/>
          <w:highlight w:val="none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sectPr>
          <w:footerReference w:type="default" r:id="rId9"/>
          <w:footerReference w:type="first" r:id="rId10"/>
          <w:type w:val="nextPage"/>
          <w:pgSz w:orient="landscape" w:w="16838" w:h="11906"/>
          <w:pgMar w:left="425" w:right="851" w:gutter="0" w:header="0" w:top="1276" w:footer="709" w:bottom="766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contextualSpacing/>
        <w:rPr>
          <w:highlight w:val="none"/>
          <w:shd w:fill="auto" w:val="clear"/>
        </w:rPr>
      </w:pPr>
      <w:r>
        <w:rPr/>
        <w:object>
          <v:shapetype id="_x0000_tole_rId7" coordsize="21600,21600" o:spt="ole_rId7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7" type="_x0000_tole_rId7" style="width:79.4pt;height:50.45pt;mso-wrap-distance-right:0pt" filled="f" o:ole="">
            <v:imagedata r:id="rId8" o:title=""/>
          </v:shape>
          <o:OLEObject Type="Embed" ProgID="Excel.Sheet.12" ShapeID="ole_rId7" DrawAspect="Icon" ObjectID="_2058943450" r:id="rId7"/>
        </w:object>
      </w:r>
    </w:p>
    <w:p>
      <w:pPr>
        <w:pStyle w:val="Normal"/>
        <w:spacing w:lineRule="auto" w:line="240" w:before="0" w:after="0"/>
        <w:ind w:hanging="0" w:left="357"/>
        <w:contextualSpacing/>
        <w:rPr>
          <w:rFonts w:ascii="Times New Roman" w:hAnsi="Times New Roman"/>
          <w:b/>
          <w:highlight w:val="none"/>
          <w:shd w:fill="auto" w:val="clear"/>
        </w:rPr>
      </w:pPr>
      <w:r>
        <w:rPr>
          <w:rFonts w:ascii="Times New Roman" w:hAnsi="Times New Roman"/>
          <w:b/>
          <w:shd w:fill="auto" w:val="clear"/>
        </w:rPr>
      </w:r>
      <w:bookmarkStart w:id="0" w:name="P2746"/>
      <w:bookmarkStart w:id="1" w:name="P2736"/>
      <w:bookmarkStart w:id="2" w:name="P2566"/>
      <w:bookmarkStart w:id="3" w:name="P2546"/>
      <w:bookmarkStart w:id="4" w:name="P2530"/>
      <w:bookmarkStart w:id="5" w:name="P2526"/>
      <w:bookmarkStart w:id="6" w:name="P2529"/>
      <w:bookmarkStart w:id="7" w:name="P3258"/>
      <w:bookmarkStart w:id="8" w:name="P2945"/>
      <w:bookmarkStart w:id="9" w:name="P2616"/>
      <w:bookmarkStart w:id="10" w:name="P2531"/>
      <w:bookmarkStart w:id="11" w:name="P2506"/>
      <w:bookmarkStart w:id="12" w:name="P2522"/>
      <w:bookmarkStart w:id="13" w:name="P2523"/>
      <w:bookmarkStart w:id="14" w:name="P2524"/>
      <w:bookmarkStart w:id="15" w:name="P2525"/>
      <w:bookmarkStart w:id="16" w:name="P2527"/>
      <w:bookmarkStart w:id="17" w:name="P2528"/>
      <w:bookmarkStart w:id="18" w:name="P2746"/>
      <w:bookmarkStart w:id="19" w:name="P2736"/>
      <w:bookmarkStart w:id="20" w:name="P2566"/>
      <w:bookmarkStart w:id="21" w:name="P2546"/>
      <w:bookmarkStart w:id="22" w:name="P2530"/>
      <w:bookmarkStart w:id="23" w:name="P2526"/>
      <w:bookmarkStart w:id="24" w:name="P2529"/>
      <w:bookmarkStart w:id="25" w:name="P3258"/>
      <w:bookmarkStart w:id="26" w:name="P2945"/>
      <w:bookmarkStart w:id="27" w:name="P2616"/>
      <w:bookmarkStart w:id="28" w:name="P2531"/>
      <w:bookmarkStart w:id="29" w:name="P2506"/>
      <w:bookmarkStart w:id="30" w:name="P2522"/>
      <w:bookmarkStart w:id="31" w:name="P2523"/>
      <w:bookmarkStart w:id="32" w:name="P2524"/>
      <w:bookmarkStart w:id="33" w:name="P2525"/>
      <w:bookmarkStart w:id="34" w:name="P2527"/>
      <w:bookmarkStart w:id="35" w:name="P2528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>
      <w:pPr>
        <w:pStyle w:val="Normal"/>
        <w:spacing w:lineRule="auto" w:line="240" w:before="0" w:after="0"/>
        <w:ind w:hanging="426" w:left="426"/>
        <w:contextualSpacing/>
        <w:rPr>
          <w:highlight w:val="none"/>
          <w:shd w:fill="auto" w:val="clear"/>
        </w:rPr>
      </w:pPr>
      <w:r>
        <w:rPr>
          <w:rFonts w:ascii="Times New Roman" w:hAnsi="Times New Roman"/>
          <w:b/>
          <w:sz w:val="20"/>
          <w:szCs w:val="20"/>
          <w:shd w:fill="auto" w:val="clear"/>
        </w:rPr>
        <w:t>ОБРАЗЕЦ</w:t>
      </w:r>
    </w:p>
    <w:p>
      <w:pPr>
        <w:pStyle w:val="Normal"/>
        <w:spacing w:lineRule="auto" w:line="240" w:before="0" w:after="0"/>
        <w:ind w:firstLine="720" w:left="5811"/>
        <w:contextualSpacing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 </w:t>
      </w:r>
      <w:r>
        <w:rPr>
          <w:rFonts w:ascii="Times New Roman" w:hAnsi="Times New Roman"/>
          <w:sz w:val="20"/>
          <w:szCs w:val="20"/>
          <w:shd w:fill="auto" w:val="clear"/>
        </w:rPr>
        <w:t xml:space="preserve">Приложение №1.3 </w:t>
      </w:r>
    </w:p>
    <w:p>
      <w:pPr>
        <w:pStyle w:val="ConsPlusNormal1"/>
        <w:ind w:firstLine="720" w:left="5811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 </w:t>
      </w:r>
    </w:p>
    <w:p>
      <w:pPr>
        <w:pStyle w:val="ConsPlusNormal1"/>
        <w:ind w:firstLine="720" w:left="5811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 </w:t>
      </w:r>
      <w:r>
        <w:rPr>
          <w:rFonts w:ascii="Times New Roman" w:hAnsi="Times New Roman"/>
          <w:shd w:fill="auto" w:val="clear"/>
        </w:rPr>
        <w:t>к Требованиям к оформлению и составлению сметной документации на строительство и реконструкцию объектов капитального строительства</w:t>
      </w:r>
    </w:p>
    <w:p>
      <w:pPr>
        <w:pStyle w:val="ConsPlusNormal1"/>
        <w:ind w:firstLine="720" w:left="5811"/>
        <w:jc w:val="right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ConsPlusNormal1"/>
        <w:ind w:firstLine="720" w:left="5811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Приложение №___</w:t>
      </w:r>
    </w:p>
    <w:p>
      <w:pPr>
        <w:pStyle w:val="ConsPlusNormal1"/>
        <w:ind w:firstLine="720" w:left="5811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к дополнительному соглашению от ___ № ___</w:t>
      </w:r>
    </w:p>
    <w:p>
      <w:pPr>
        <w:pStyle w:val="ConsPlusNormal1"/>
        <w:ind w:firstLine="720" w:left="5811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                                   </w:t>
      </w:r>
      <w:r>
        <w:rPr>
          <w:rFonts w:ascii="Times New Roman" w:hAnsi="Times New Roman"/>
          <w:shd w:fill="auto" w:val="clear"/>
        </w:rPr>
        <w:t xml:space="preserve">к договору от_______№_____ </w:t>
      </w:r>
    </w:p>
    <w:p>
      <w:pPr>
        <w:pStyle w:val="ConsPlusNormal1"/>
        <w:jc w:val="center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0"/>
          <w:szCs w:val="20"/>
          <w:shd w:fill="auto" w:val="clear"/>
        </w:rPr>
        <w:t>Сопоставительная ведомость изменения сметной стоимости</w:t>
      </w:r>
    </w:p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Times New Roman" w:hAnsi="Times New Roman"/>
          <w:b/>
          <w:sz w:val="20"/>
          <w:szCs w:val="20"/>
          <w:highlight w:val="none"/>
          <w:shd w:fill="auto" w:val="clear"/>
        </w:rPr>
      </w:pPr>
      <w:r>
        <w:rPr>
          <w:rFonts w:ascii="Times New Roman" w:hAnsi="Times New Roman"/>
          <w:b/>
          <w:sz w:val="20"/>
          <w:szCs w:val="20"/>
          <w:shd w:fill="auto" w:val="clear"/>
        </w:rPr>
      </w:r>
    </w:p>
    <w:tbl>
      <w:tblPr>
        <w:tblW w:w="10206" w:type="dxa"/>
        <w:jc w:val="left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24"/>
        <w:gridCol w:w="850"/>
        <w:gridCol w:w="851"/>
        <w:gridCol w:w="1276"/>
        <w:gridCol w:w="1276"/>
        <w:gridCol w:w="1701"/>
        <w:gridCol w:w="1711"/>
        <w:gridCol w:w="2115"/>
      </w:tblGrid>
      <w:tr>
        <w:trPr>
          <w:trHeight w:val="433" w:hRule="atLeast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 xml:space="preserve">№ </w:t>
            </w: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п/п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Данные сметного расчета (сметы)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Сметная стоимость, тыс. руб.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Разница в сметной стоимости, руб.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Обоснование изменений сметной стоимости</w:t>
            </w:r>
          </w:p>
        </w:tc>
      </w:tr>
      <w:tr>
        <w:trPr/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Calibri"/>
                <w:sz w:val="18"/>
                <w:szCs w:val="18"/>
                <w:highlight w:val="none"/>
                <w:shd w:fill="auto" w:val="clear"/>
                <w:lang w:eastAsia="en-US"/>
              </w:rPr>
            </w:pPr>
            <w:r>
              <w:rPr>
                <w:rFonts w:eastAsia="Calibri" w:ascii="Times New Roman" w:hAnsi="Times New Roman"/>
                <w:sz w:val="18"/>
                <w:szCs w:val="18"/>
                <w:shd w:fill="auto" w:val="clear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шифр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 xml:space="preserve">№ </w:t>
            </w: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позиции сметного расчета (сметы) в ССР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подлежащая включению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подлежащая исключению</w:t>
            </w:r>
          </w:p>
        </w:tc>
        <w:tc>
          <w:tcPr>
            <w:tcW w:w="1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Calibri"/>
                <w:sz w:val="18"/>
                <w:szCs w:val="18"/>
                <w:highlight w:val="none"/>
                <w:shd w:fill="auto" w:val="clear"/>
                <w:lang w:eastAsia="en-US"/>
              </w:rPr>
            </w:pPr>
            <w:r>
              <w:rPr>
                <w:rFonts w:eastAsia="Calibri" w:ascii="Times New Roman" w:hAnsi="Times New Roman"/>
                <w:sz w:val="18"/>
                <w:szCs w:val="18"/>
                <w:shd w:fill="auto" w:val="clear"/>
                <w:lang w:eastAsia="en-US"/>
              </w:rPr>
            </w:r>
          </w:p>
        </w:tc>
        <w:tc>
          <w:tcPr>
            <w:tcW w:w="21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Calibri"/>
                <w:sz w:val="18"/>
                <w:szCs w:val="18"/>
                <w:highlight w:val="none"/>
                <w:shd w:fill="auto" w:val="clear"/>
                <w:lang w:eastAsia="en-US"/>
              </w:rPr>
            </w:pPr>
            <w:r>
              <w:rPr>
                <w:rFonts w:eastAsia="Calibri" w:ascii="Times New Roman" w:hAnsi="Times New Roman"/>
                <w:sz w:val="18"/>
                <w:szCs w:val="18"/>
                <w:shd w:fill="auto" w:val="clear"/>
                <w:lang w:eastAsia="en-US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6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7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  <w:t>8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18"/>
                <w:szCs w:val="18"/>
                <w:shd w:fill="auto" w:val="clear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  <w:highlight w:val="none"/>
          <w:shd w:fill="auto" w:val="clear"/>
        </w:rPr>
      </w:pPr>
      <w:r>
        <w:rPr>
          <w:rFonts w:ascii="Times New Roman" w:hAnsi="Times New Roman"/>
          <w:sz w:val="20"/>
          <w:szCs w:val="20"/>
          <w:shd w:fill="auto" w:val="clear"/>
        </w:rPr>
      </w:r>
    </w:p>
    <w:p>
      <w:pPr>
        <w:pStyle w:val="Normal"/>
        <w:spacing w:lineRule="auto" w:line="240" w:before="0" w:after="0"/>
        <w:ind w:firstLine="720" w:left="357"/>
        <w:contextualSpacing/>
        <w:jc w:val="right"/>
        <w:rPr>
          <w:rFonts w:ascii="Times New Roman" w:hAnsi="Times New Roman"/>
          <w:sz w:val="20"/>
          <w:szCs w:val="20"/>
          <w:highlight w:val="none"/>
          <w:shd w:fill="auto" w:val="clear"/>
        </w:rPr>
      </w:pPr>
      <w:r>
        <w:rPr>
          <w:rFonts w:ascii="Times New Roman" w:hAnsi="Times New Roman"/>
          <w:sz w:val="20"/>
          <w:szCs w:val="20"/>
          <w:shd w:fill="auto" w:val="clear"/>
        </w:rPr>
      </w:r>
      <w:r>
        <w:br w:type="page"/>
      </w:r>
    </w:p>
    <w:p>
      <w:pPr>
        <w:pStyle w:val="Normal"/>
        <w:spacing w:lineRule="auto" w:line="240" w:before="0" w:after="0"/>
        <w:ind w:firstLine="720" w:left="357"/>
        <w:contextualSpacing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sz w:val="20"/>
          <w:szCs w:val="20"/>
          <w:shd w:fill="auto" w:val="clear"/>
        </w:rPr>
        <w:t xml:space="preserve">Приложение №1.4 </w:t>
      </w:r>
    </w:p>
    <w:p>
      <w:pPr>
        <w:pStyle w:val="ConsPlusNormal1"/>
        <w:ind w:firstLine="720" w:left="5811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к Требованиям к оформлению и составлению сметной документации на строительство и реконструкцию объектов капитального строительства</w:t>
      </w:r>
    </w:p>
    <w:p>
      <w:pPr>
        <w:pStyle w:val="ConsPlusNormal1"/>
        <w:ind w:firstLine="720" w:left="5811"/>
        <w:jc w:val="right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ConsPlusNormal1"/>
        <w:ind w:firstLine="720" w:left="5811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Приложение №___</w:t>
      </w:r>
    </w:p>
    <w:p>
      <w:pPr>
        <w:pStyle w:val="ConsPlusNormal1"/>
        <w:ind w:firstLine="720" w:left="5811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к дополнительному соглашению от ___ № ___</w:t>
      </w:r>
    </w:p>
    <w:p>
      <w:pPr>
        <w:pStyle w:val="ConsPlusNormal1"/>
        <w:ind w:firstLine="720" w:left="5811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к договору от_______№_____ 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ConsPlusNormal1"/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shd w:fill="auto" w:val="clear"/>
        </w:rPr>
        <w:t>Сопоставительная ведомость объемов работ</w:t>
      </w:r>
    </w:p>
    <w:p>
      <w:pPr>
        <w:pStyle w:val="ConsPlusNormal1"/>
        <w:jc w:val="center"/>
        <w:rPr>
          <w:rFonts w:ascii="Times New Roman" w:hAnsi="Times New Roman" w:cs="Times New Roman"/>
          <w:b/>
          <w:highlight w:val="none"/>
          <w:shd w:fill="auto" w:val="clear"/>
        </w:rPr>
      </w:pPr>
      <w:r>
        <w:rPr>
          <w:rFonts w:cs="Times New Roman" w:ascii="Times New Roman" w:hAnsi="Times New Roman"/>
          <w:b/>
          <w:shd w:fill="auto" w:val="clear"/>
        </w:rPr>
      </w:r>
    </w:p>
    <w:p>
      <w:pPr>
        <w:pStyle w:val="ConsPlusNormal1"/>
        <w:jc w:val="center"/>
        <w:rPr>
          <w:rFonts w:ascii="Times New Roman" w:hAnsi="Times New Roman" w:cs="Times New Roman"/>
          <w:b/>
          <w:color w:val="auto"/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hd w:fill="auto" w:val="clear"/>
        </w:rPr>
      </w:r>
    </w:p>
    <w:p>
      <w:pPr>
        <w:pStyle w:val="ConsPlusNormal1"/>
        <w:jc w:val="both"/>
        <w:rPr>
          <w:b/>
          <w:color w:val="auto"/>
          <w:highlight w:val="none"/>
          <w:shd w:fill="auto" w:val="clear"/>
        </w:rPr>
      </w:pPr>
      <w:r>
        <w:rPr>
          <w:b/>
          <w:color w:val="000000"/>
          <w:shd w:fill="auto" w:val="clear"/>
        </w:rPr>
      </w:r>
    </w:p>
    <w:tbl>
      <w:tblPr>
        <w:tblW w:w="10773" w:type="dxa"/>
        <w:jc w:val="left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5"/>
        <w:gridCol w:w="709"/>
        <w:gridCol w:w="851"/>
        <w:gridCol w:w="1208"/>
        <w:gridCol w:w="916"/>
        <w:gridCol w:w="850"/>
        <w:gridCol w:w="853"/>
        <w:gridCol w:w="851"/>
        <w:gridCol w:w="851"/>
        <w:gridCol w:w="706"/>
        <w:gridCol w:w="567"/>
        <w:gridCol w:w="850"/>
        <w:gridCol w:w="1135"/>
      </w:tblGrid>
      <w:tr>
        <w:trPr>
          <w:trHeight w:val="880" w:hRule="atLeast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 w:left="-62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  <w:t xml:space="preserve">№№ 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  <w:t>пп</w:t>
            </w:r>
          </w:p>
        </w:tc>
        <w:tc>
          <w:tcPr>
            <w:tcW w:w="3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  <w:t>Данные сметного расчета (сметы)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  <w:t>Наименование работ и затрат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63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  <w:t>Ед. изм.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  <w:t>Объем работ в сметной документации</w:t>
            </w: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  <w:t>Изменение объемов работ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  <w:t>Обоснование изменений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1416" w:left="136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  <w:t>Примечание</w:t>
            </w:r>
          </w:p>
        </w:tc>
      </w:tr>
      <w:tr>
        <w:trPr>
          <w:trHeight w:val="62" w:hRule="atLeast"/>
        </w:trPr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firstLine="720" w:left="-797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  <w:t>шифр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 w:left="-64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  <w:t>Наименование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  <w:t xml:space="preserve">№ 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  <w:t>позиции в сметном расчете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color w:val="auto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fill="auto" w:val="clear"/>
              </w:rPr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color w:val="auto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fill="auto" w:val="clear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27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color w:val="auto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fill="auto" w:val="clear"/>
              </w:rPr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color w:val="auto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fill="auto" w:val="clear"/>
              </w:rPr>
            </w:r>
          </w:p>
        </w:tc>
      </w:tr>
      <w:tr>
        <w:trPr>
          <w:trHeight w:val="1308" w:hRule="atLeast"/>
        </w:trPr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  <w:t>до изменений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  <w:t>с учетом изменений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8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firstLine="79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  <w:t>до изменений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 w:left="0" w:right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  <w:t>с учетом изменений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firstLine="720" w:left="-80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  <w:t>увели</w:t>
            </w:r>
          </w:p>
          <w:p>
            <w:pPr>
              <w:pStyle w:val="ConsPlusNormal1"/>
              <w:widowControl w:val="false"/>
              <w:ind w:firstLine="720" w:left="-80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  <w:t>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  <w:t>снижение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  <w:shd w:fill="auto" w:val="clear"/>
              </w:rPr>
            </w:r>
          </w:p>
        </w:tc>
      </w:tr>
    </w:tbl>
    <w:p>
      <w:pPr>
        <w:sectPr>
          <w:footerReference w:type="default" r:id="rId11"/>
          <w:footerReference w:type="first" r:id="rId12"/>
          <w:type w:val="nextPage"/>
          <w:pgSz w:w="11906" w:h="16838"/>
          <w:pgMar w:left="426" w:right="924" w:gutter="0" w:header="0" w:top="284" w:footer="709" w:bottom="766"/>
          <w:pgNumType w:fmt="decimal"/>
          <w:formProt w:val="false"/>
          <w:textDirection w:val="lrTb"/>
          <w:docGrid w:type="default" w:linePitch="360" w:charSpace="0"/>
        </w:sectPr>
        <w:pStyle w:val="ConsPlusNormal1"/>
        <w:jc w:val="both"/>
        <w:rPr>
          <w:rFonts w:ascii="Times New Roman" w:hAnsi="Times New Roman" w:cs="Times New Roman"/>
          <w:b/>
          <w:highlight w:val="none"/>
          <w:shd w:fill="auto" w:val="clear"/>
        </w:rPr>
      </w:pPr>
      <w:r>
        <w:rPr>
          <w:rFonts w:cs="Times New Roman" w:ascii="Times New Roman" w:hAnsi="Times New Roman"/>
          <w:b/>
          <w:shd w:fill="auto" w:val="clear"/>
        </w:rPr>
      </w:r>
    </w:p>
    <w:p>
      <w:pPr>
        <w:pStyle w:val="Normal"/>
        <w:spacing w:lineRule="auto" w:line="240" w:before="0" w:after="0"/>
        <w:ind w:firstLine="720" w:left="5811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0"/>
          <w:szCs w:val="20"/>
          <w:shd w:fill="auto" w:val="clear"/>
        </w:rPr>
        <w:t xml:space="preserve">Приложение № 1 </w:t>
      </w:r>
    </w:p>
    <w:p>
      <w:pPr>
        <w:pStyle w:val="Normal"/>
        <w:spacing w:lineRule="auto" w:line="240" w:before="0" w:after="0"/>
        <w:ind w:firstLine="142" w:left="5811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0"/>
          <w:szCs w:val="20"/>
          <w:shd w:fill="auto" w:val="clear"/>
        </w:rPr>
        <w:t>к Требованиям к оформлению и составлению сметной документации</w:t>
      </w:r>
    </w:p>
    <w:p>
      <w:pPr>
        <w:pStyle w:val="Normal"/>
        <w:spacing w:lineRule="auto" w:line="240" w:before="0" w:after="0"/>
        <w:ind w:firstLine="142" w:left="5811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0"/>
          <w:szCs w:val="20"/>
          <w:shd w:fill="auto" w:val="clear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shd w:fill="auto" w:val="clear"/>
        </w:rPr>
        <w:t>на строительство и реконструкцию объектов капитального строительства</w:t>
      </w:r>
    </w:p>
    <w:p>
      <w:pPr>
        <w:pStyle w:val="Normal"/>
        <w:spacing w:lineRule="auto" w:line="240" w:before="0" w:after="0"/>
        <w:ind w:firstLine="720" w:left="5811"/>
        <w:jc w:val="right"/>
        <w:rPr>
          <w:rFonts w:ascii="Times New Roman" w:hAnsi="Times New Roman"/>
          <w:color w:val="000000"/>
          <w:sz w:val="20"/>
          <w:szCs w:val="20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0"/>
          <w:szCs w:val="20"/>
          <w:shd w:fill="auto" w:val="clear"/>
        </w:rPr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ascii="Times New Roman" w:hAnsi="Times New Roman"/>
          <w:b/>
          <w:color w:val="000000"/>
          <w:sz w:val="20"/>
          <w:szCs w:val="20"/>
          <w:shd w:fill="auto" w:val="clear"/>
        </w:rPr>
        <w:t>ОБРАЗЕЦ (</w:t>
      </w:r>
      <w:r>
        <w:rPr>
          <w:rFonts w:ascii="Times New Roman" w:hAnsi="Times New Roman"/>
          <w:b/>
          <w:color w:val="000000"/>
          <w:sz w:val="20"/>
          <w:szCs w:val="20"/>
          <w:shd w:fill="auto" w:val="clear"/>
          <w:lang w:val="en-US"/>
        </w:rPr>
        <w:t>Р</w:t>
      </w:r>
      <w:r>
        <w:rPr>
          <w:rFonts w:ascii="Times New Roman" w:hAnsi="Times New Roman"/>
          <w:b/>
          <w:color w:val="000000"/>
          <w:sz w:val="20"/>
          <w:szCs w:val="20"/>
          <w:shd w:fill="auto" w:val="clear"/>
        </w:rPr>
        <w:t>ИМ)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0"/>
          <w:szCs w:val="20"/>
          <w:shd w:fill="auto" w:val="clear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3"/>
        <w:gridCol w:w="1316"/>
        <w:gridCol w:w="692"/>
        <w:gridCol w:w="2815"/>
        <w:gridCol w:w="849"/>
        <w:gridCol w:w="1099"/>
        <w:gridCol w:w="665"/>
        <w:gridCol w:w="1042"/>
        <w:gridCol w:w="1083"/>
        <w:gridCol w:w="665"/>
        <w:gridCol w:w="1042"/>
        <w:gridCol w:w="506"/>
        <w:gridCol w:w="687"/>
        <w:gridCol w:w="2239"/>
      </w:tblGrid>
      <w:tr>
        <w:trPr>
          <w:trHeight w:val="285" w:hRule="atLeast"/>
        </w:trPr>
        <w:tc>
          <w:tcPr>
            <w:tcW w:w="3141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shd w:fill="auto" w:val="clear"/>
              </w:rPr>
              <w:t>СОГЛАСОВАНО: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shd w:fill="auto" w:val="clear"/>
              </w:rPr>
            </w:r>
          </w:p>
        </w:tc>
        <w:tc>
          <w:tcPr>
            <w:tcW w:w="8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9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4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8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4474" w:type="dxa"/>
            <w:gridSpan w:val="4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shd w:fill="auto" w:val="clear"/>
              </w:rPr>
              <w:t>УТВЕРЖДАЮ:</w:t>
            </w:r>
          </w:p>
        </w:tc>
      </w:tr>
      <w:tr>
        <w:trPr>
          <w:trHeight w:val="225" w:hRule="exact"/>
        </w:trPr>
        <w:tc>
          <w:tcPr>
            <w:tcW w:w="5956" w:type="dxa"/>
            <w:gridSpan w:val="4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9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4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8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5139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 </w:t>
            </w:r>
          </w:p>
        </w:tc>
        <w:tc>
          <w:tcPr>
            <w:tcW w:w="131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 </w:t>
            </w:r>
          </w:p>
        </w:tc>
        <w:tc>
          <w:tcPr>
            <w:tcW w:w="69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</w:r>
          </w:p>
        </w:tc>
        <w:tc>
          <w:tcPr>
            <w:tcW w:w="281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9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4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8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4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 </w:t>
            </w:r>
          </w:p>
        </w:tc>
        <w:tc>
          <w:tcPr>
            <w:tcW w:w="50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 </w:t>
            </w:r>
          </w:p>
        </w:tc>
        <w:tc>
          <w:tcPr>
            <w:tcW w:w="223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44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"_____" _____________202</w:t>
            </w: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  <w:lang w:val="en-US"/>
              </w:rPr>
              <w:t>5</w:t>
            </w: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 xml:space="preserve"> г</w:t>
            </w:r>
          </w:p>
        </w:tc>
        <w:tc>
          <w:tcPr>
            <w:tcW w:w="69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9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4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8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4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5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68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223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"_____" ________202</w:t>
            </w: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  <w:lang w:val="en-US"/>
              </w:rPr>
              <w:t>5</w:t>
            </w: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 xml:space="preserve"> г</w:t>
            </w:r>
          </w:p>
        </w:tc>
      </w:tr>
      <w:tr>
        <w:trPr>
          <w:trHeight w:val="225" w:hRule="atLeast"/>
        </w:trPr>
        <w:tc>
          <w:tcPr>
            <w:tcW w:w="3141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 xml:space="preserve">Наименование редакции сметных нормативов  </w:t>
            </w:r>
          </w:p>
        </w:tc>
        <w:tc>
          <w:tcPr>
            <w:tcW w:w="12692" w:type="dxa"/>
            <w:gridSpan w:val="11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</w:r>
          </w:p>
        </w:tc>
      </w:tr>
      <w:tr>
        <w:trPr>
          <w:trHeight w:val="300" w:hRule="atLeast"/>
        </w:trPr>
        <w:tc>
          <w:tcPr>
            <w:tcW w:w="314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Наименование программного продукта</w:t>
            </w:r>
          </w:p>
        </w:tc>
        <w:tc>
          <w:tcPr>
            <w:tcW w:w="3664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ПК "ГРАНД-Смета 202</w:t>
            </w: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  <w:lang w:val="en-US"/>
              </w:rPr>
              <w:t>5</w:t>
            </w: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"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 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 </w:t>
            </w:r>
          </w:p>
        </w:tc>
        <w:tc>
          <w:tcPr>
            <w:tcW w:w="108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 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 </w:t>
            </w:r>
          </w:p>
        </w:tc>
        <w:tc>
          <w:tcPr>
            <w:tcW w:w="506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 </w:t>
            </w:r>
          </w:p>
        </w:tc>
        <w:tc>
          <w:tcPr>
            <w:tcW w:w="223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 </w:t>
            </w:r>
          </w:p>
        </w:tc>
      </w:tr>
      <w:tr>
        <w:trPr>
          <w:trHeight w:val="165" w:hRule="exact"/>
        </w:trPr>
        <w:tc>
          <w:tcPr>
            <w:tcW w:w="113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</w:r>
          </w:p>
        </w:tc>
        <w:tc>
          <w:tcPr>
            <w:tcW w:w="131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69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281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66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8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66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5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68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22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</w:tr>
      <w:tr>
        <w:trPr>
          <w:trHeight w:val="225" w:hRule="atLeast"/>
        </w:trPr>
        <w:tc>
          <w:tcPr>
            <w:tcW w:w="15833" w:type="dxa"/>
            <w:gridSpan w:val="14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16"/>
                <w:szCs w:val="16"/>
                <w:shd w:fill="auto" w:val="clear"/>
              </w:rPr>
              <w:t>(наименование стройки)</w:t>
            </w:r>
          </w:p>
        </w:tc>
      </w:tr>
      <w:tr>
        <w:trPr>
          <w:trHeight w:val="225" w:hRule="exact"/>
        </w:trPr>
        <w:tc>
          <w:tcPr>
            <w:tcW w:w="15833" w:type="dxa"/>
            <w:gridSpan w:val="1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</w:tr>
      <w:tr>
        <w:trPr>
          <w:trHeight w:val="225" w:hRule="atLeast"/>
        </w:trPr>
        <w:tc>
          <w:tcPr>
            <w:tcW w:w="15833" w:type="dxa"/>
            <w:gridSpan w:val="14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16"/>
                <w:szCs w:val="16"/>
                <w:shd w:fill="auto" w:val="clear"/>
              </w:rPr>
              <w:t>(наименование объекта капитального строительства)</w:t>
            </w:r>
          </w:p>
        </w:tc>
      </w:tr>
      <w:tr>
        <w:trPr>
          <w:trHeight w:val="480" w:hRule="atLeast"/>
        </w:trPr>
        <w:tc>
          <w:tcPr>
            <w:tcW w:w="15833" w:type="dxa"/>
            <w:gridSpan w:val="1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 xml:space="preserve">ЛОКАЛЬНЫЙ СМЕТНЫЙ РАСЧЕТ (СМЕТА) № </w:t>
            </w:r>
          </w:p>
        </w:tc>
      </w:tr>
    </w:tbl>
    <w:p>
      <w:pPr>
        <w:pStyle w:val="Normal"/>
        <w:spacing w:lineRule="auto" w:line="240" w:before="0" w:after="0"/>
        <w:ind w:firstLine="720" w:left="6373"/>
        <w:jc w:val="right"/>
        <w:rPr>
          <w:rFonts w:ascii="Times New Roman" w:hAnsi="Times New Roman"/>
          <w:color w:val="000000"/>
          <w:sz w:val="20"/>
          <w:szCs w:val="20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0"/>
          <w:szCs w:val="20"/>
          <w:shd w:fill="auto" w:val="clear"/>
        </w:rPr>
      </w:r>
    </w:p>
    <w:tbl>
      <w:tblPr>
        <w:tblW w:w="160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20"/>
        <w:gridCol w:w="1349"/>
        <w:gridCol w:w="11"/>
        <w:gridCol w:w="858"/>
        <w:gridCol w:w="11"/>
        <w:gridCol w:w="683"/>
        <w:gridCol w:w="10"/>
        <w:gridCol w:w="811"/>
        <w:gridCol w:w="8"/>
        <w:gridCol w:w="595"/>
        <w:gridCol w:w="13"/>
        <w:gridCol w:w="891"/>
        <w:gridCol w:w="8"/>
        <w:gridCol w:w="96"/>
        <w:gridCol w:w="16"/>
        <w:gridCol w:w="143"/>
        <w:gridCol w:w="9"/>
        <w:gridCol w:w="652"/>
        <w:gridCol w:w="9"/>
        <w:gridCol w:w="333"/>
        <w:gridCol w:w="11"/>
        <w:gridCol w:w="792"/>
        <w:gridCol w:w="10"/>
        <w:gridCol w:w="177"/>
        <w:gridCol w:w="10"/>
        <w:gridCol w:w="1384"/>
        <w:gridCol w:w="10"/>
        <w:gridCol w:w="76"/>
        <w:gridCol w:w="1"/>
        <w:gridCol w:w="7"/>
        <w:gridCol w:w="951"/>
        <w:gridCol w:w="11"/>
        <w:gridCol w:w="109"/>
        <w:gridCol w:w="11"/>
        <w:gridCol w:w="584"/>
        <w:gridCol w:w="8"/>
        <w:gridCol w:w="435"/>
        <w:gridCol w:w="11"/>
        <w:gridCol w:w="642"/>
        <w:gridCol w:w="24"/>
        <w:gridCol w:w="125"/>
        <w:gridCol w:w="22"/>
        <w:gridCol w:w="808"/>
        <w:gridCol w:w="360"/>
        <w:gridCol w:w="843"/>
        <w:gridCol w:w="48"/>
        <w:gridCol w:w="1000"/>
      </w:tblGrid>
      <w:tr>
        <w:trPr>
          <w:trHeight w:val="300" w:hRule="atLeast"/>
        </w:trPr>
        <w:tc>
          <w:tcPr>
            <w:tcW w:w="14996" w:type="dxa"/>
            <w:gridSpan w:val="46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>Волжская ГЭС. ОРУ 220 кВ. Релейная защита и автоматика.Демонтажные работы</w:t>
            </w:r>
          </w:p>
        </w:tc>
        <w:tc>
          <w:tcPr>
            <w:tcW w:w="100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25" w:hRule="atLeast"/>
        </w:trPr>
        <w:tc>
          <w:tcPr>
            <w:tcW w:w="14996" w:type="dxa"/>
            <w:gridSpan w:val="46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i/>
                <w:iCs/>
                <w:sz w:val="16"/>
                <w:szCs w:val="16"/>
                <w:shd w:fill="auto" w:val="clear"/>
              </w:rPr>
              <w:t xml:space="preserve"> </w:t>
            </w:r>
            <w:r>
              <w:rPr>
                <w:rFonts w:cs="Arial" w:ascii="Arial" w:hAnsi="Arial"/>
                <w:i/>
                <w:iCs/>
                <w:sz w:val="16"/>
                <w:szCs w:val="16"/>
                <w:shd w:fill="auto" w:val="clear"/>
              </w:rPr>
              <w:t>(наименование работ и затрат)</w:t>
            </w:r>
          </w:p>
        </w:tc>
        <w:tc>
          <w:tcPr>
            <w:tcW w:w="100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40" w:hRule="atLeas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 xml:space="preserve">Составлен </w:t>
            </w:r>
          </w:p>
        </w:tc>
        <w:tc>
          <w:tcPr>
            <w:tcW w:w="134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ресурсно-индексным</w:t>
            </w:r>
          </w:p>
        </w:tc>
        <w:tc>
          <w:tcPr>
            <w:tcW w:w="8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методом</w:t>
            </w:r>
          </w:p>
        </w:tc>
        <w:tc>
          <w:tcPr>
            <w:tcW w:w="69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</w:r>
          </w:p>
        </w:tc>
        <w:tc>
          <w:tcPr>
            <w:tcW w:w="82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50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26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668" w:type="dxa"/>
            <w:gridSpan w:val="7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7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3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0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3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25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0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</w:tr>
      <w:tr>
        <w:trPr>
          <w:trHeight w:val="300" w:hRule="atLeas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>Основание</w:t>
            </w:r>
          </w:p>
        </w:tc>
        <w:tc>
          <w:tcPr>
            <w:tcW w:w="5240" w:type="dxa"/>
            <w:gridSpan w:val="11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>ЭТЛ-13622-ЛС.1.ВОР</w:t>
            </w:r>
          </w:p>
        </w:tc>
        <w:tc>
          <w:tcPr>
            <w:tcW w:w="26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667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79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3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0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3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25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0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</w:tr>
      <w:tr>
        <w:trPr>
          <w:trHeight w:val="210" w:hRule="atLeas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5240" w:type="dxa"/>
            <w:gridSpan w:val="11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i/>
                <w:iCs/>
                <w:sz w:val="16"/>
                <w:szCs w:val="16"/>
                <w:shd w:fill="auto" w:val="clear"/>
              </w:rPr>
              <w:t>(проектная и (или) иная техническая документация)</w:t>
            </w:r>
          </w:p>
        </w:tc>
        <w:tc>
          <w:tcPr>
            <w:tcW w:w="26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i/>
                <w:iCs/>
                <w:sz w:val="16"/>
                <w:szCs w:val="16"/>
                <w:shd w:fill="auto" w:val="clear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667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79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3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0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3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251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0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</w:tr>
      <w:tr>
        <w:trPr>
          <w:trHeight w:val="195" w:hRule="exac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3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69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2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50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26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668" w:type="dxa"/>
            <w:gridSpan w:val="7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7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3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0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3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25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0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</w:tr>
      <w:tr>
        <w:trPr>
          <w:trHeight w:val="300" w:hRule="atLeast"/>
        </w:trPr>
        <w:tc>
          <w:tcPr>
            <w:tcW w:w="5369" w:type="dxa"/>
            <w:gridSpan w:val="11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shd w:fill="auto" w:val="clear"/>
              </w:rPr>
              <w:t xml:space="preserve">Составлен(а) в текущем уровне цен ,    2 кв. 2026 г.  </w:t>
            </w:r>
          </w:p>
        </w:tc>
        <w:tc>
          <w:tcPr>
            <w:tcW w:w="101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Cs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shd w:fill="auto" w:val="clear"/>
              </w:rPr>
            </w:r>
          </w:p>
        </w:tc>
        <w:tc>
          <w:tcPr>
            <w:tcW w:w="81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333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39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46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71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11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315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4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195" w:hRule="atLeas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3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69" w:type="dxa"/>
            <w:gridSpan w:val="2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> </w:t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> 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> </w:t>
            </w:r>
          </w:p>
        </w:tc>
        <w:tc>
          <w:tcPr>
            <w:tcW w:w="1507" w:type="dxa"/>
            <w:gridSpan w:val="4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> </w:t>
            </w:r>
          </w:p>
        </w:tc>
        <w:tc>
          <w:tcPr>
            <w:tcW w:w="26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668" w:type="dxa"/>
            <w:gridSpan w:val="7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7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3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0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3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25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0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</w:tr>
      <w:tr>
        <w:trPr>
          <w:trHeight w:val="240" w:hRule="atLeast"/>
        </w:trPr>
        <w:tc>
          <w:tcPr>
            <w:tcW w:w="238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shd w:fill="auto" w:val="clear"/>
              </w:rPr>
              <w:t xml:space="preserve">Сметная стоимость </w:t>
            </w:r>
          </w:p>
        </w:tc>
        <w:tc>
          <w:tcPr>
            <w:tcW w:w="869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 </w:t>
            </w:r>
          </w:p>
        </w:tc>
        <w:tc>
          <w:tcPr>
            <w:tcW w:w="693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  <w:lang w:val="en-US"/>
              </w:rPr>
              <w:t>0.00</w:t>
            </w:r>
          </w:p>
        </w:tc>
        <w:tc>
          <w:tcPr>
            <w:tcW w:w="819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>тыс.руб.</w:t>
            </w:r>
          </w:p>
        </w:tc>
        <w:tc>
          <w:tcPr>
            <w:tcW w:w="150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</w:r>
          </w:p>
        </w:tc>
        <w:tc>
          <w:tcPr>
            <w:tcW w:w="26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05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02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665" w:type="dxa"/>
            <w:gridSpan w:val="7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8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3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1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0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251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0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</w:tr>
      <w:tr>
        <w:trPr>
          <w:trHeight w:val="240" w:hRule="atLeas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3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i/>
                <w:iCs/>
                <w:sz w:val="16"/>
                <w:szCs w:val="16"/>
                <w:shd w:fill="auto" w:val="clear"/>
              </w:rPr>
              <w:t>в том числе:</w:t>
            </w:r>
          </w:p>
        </w:tc>
        <w:tc>
          <w:tcPr>
            <w:tcW w:w="8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i/>
                <w:i/>
                <w:iCs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i/>
                <w:iCs/>
                <w:sz w:val="16"/>
                <w:szCs w:val="16"/>
                <w:shd w:fill="auto" w:val="clear"/>
              </w:rPr>
            </w:r>
          </w:p>
        </w:tc>
        <w:tc>
          <w:tcPr>
            <w:tcW w:w="69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2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50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26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668" w:type="dxa"/>
            <w:gridSpan w:val="7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7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3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0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3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25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0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</w:tr>
      <w:tr>
        <w:trPr>
          <w:trHeight w:val="240" w:hRule="atLeas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3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shd w:fill="auto" w:val="clear"/>
              </w:rPr>
              <w:t>строительных работ</w:t>
            </w:r>
          </w:p>
        </w:tc>
        <w:tc>
          <w:tcPr>
            <w:tcW w:w="869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 </w:t>
            </w:r>
          </w:p>
        </w:tc>
        <w:tc>
          <w:tcPr>
            <w:tcW w:w="694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>0,00</w:t>
            </w:r>
          </w:p>
        </w:tc>
        <w:tc>
          <w:tcPr>
            <w:tcW w:w="82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>тыс.руб.</w:t>
            </w:r>
          </w:p>
        </w:tc>
        <w:tc>
          <w:tcPr>
            <w:tcW w:w="150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</w:r>
          </w:p>
        </w:tc>
        <w:tc>
          <w:tcPr>
            <w:tcW w:w="26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668" w:type="dxa"/>
            <w:gridSpan w:val="7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2116" w:type="dxa"/>
            <w:gridSpan w:val="8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>Средства на оплату труда рабочих</w:t>
            </w:r>
          </w:p>
        </w:tc>
        <w:tc>
          <w:tcPr>
            <w:tcW w:w="80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</w:r>
          </w:p>
        </w:tc>
        <w:tc>
          <w:tcPr>
            <w:tcW w:w="830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> </w:t>
            </w:r>
          </w:p>
        </w:tc>
        <w:tc>
          <w:tcPr>
            <w:tcW w:w="1251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>тыс.руб.</w:t>
            </w:r>
          </w:p>
        </w:tc>
      </w:tr>
      <w:tr>
        <w:trPr>
          <w:trHeight w:val="240" w:hRule="atLeas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</w:r>
          </w:p>
        </w:tc>
        <w:tc>
          <w:tcPr>
            <w:tcW w:w="13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shd w:fill="auto" w:val="clear"/>
              </w:rPr>
              <w:t>монтажных работ</w:t>
            </w:r>
          </w:p>
        </w:tc>
        <w:tc>
          <w:tcPr>
            <w:tcW w:w="869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 </w:t>
            </w:r>
          </w:p>
        </w:tc>
        <w:tc>
          <w:tcPr>
            <w:tcW w:w="694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  <w:lang w:val="en-US"/>
              </w:rPr>
              <w:t>0.00</w:t>
            </w:r>
          </w:p>
        </w:tc>
        <w:tc>
          <w:tcPr>
            <w:tcW w:w="82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>тыс.руб.</w:t>
            </w:r>
          </w:p>
        </w:tc>
        <w:tc>
          <w:tcPr>
            <w:tcW w:w="150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</w:r>
          </w:p>
        </w:tc>
        <w:tc>
          <w:tcPr>
            <w:tcW w:w="26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668" w:type="dxa"/>
            <w:gridSpan w:val="7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2116" w:type="dxa"/>
            <w:gridSpan w:val="8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>Средства на оплату труда машинистов</w:t>
            </w:r>
          </w:p>
        </w:tc>
        <w:tc>
          <w:tcPr>
            <w:tcW w:w="80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</w:r>
          </w:p>
        </w:tc>
        <w:tc>
          <w:tcPr>
            <w:tcW w:w="830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> </w:t>
            </w:r>
          </w:p>
        </w:tc>
        <w:tc>
          <w:tcPr>
            <w:tcW w:w="1251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>тыс.руб.</w:t>
            </w:r>
          </w:p>
        </w:tc>
      </w:tr>
      <w:tr>
        <w:trPr>
          <w:trHeight w:val="240" w:hRule="atLeas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</w:r>
          </w:p>
        </w:tc>
        <w:tc>
          <w:tcPr>
            <w:tcW w:w="13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shd w:fill="auto" w:val="clear"/>
              </w:rPr>
              <w:t>оборудования</w:t>
            </w:r>
          </w:p>
        </w:tc>
        <w:tc>
          <w:tcPr>
            <w:tcW w:w="869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 </w:t>
            </w:r>
          </w:p>
        </w:tc>
        <w:tc>
          <w:tcPr>
            <w:tcW w:w="694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>0,00</w:t>
            </w:r>
          </w:p>
        </w:tc>
        <w:tc>
          <w:tcPr>
            <w:tcW w:w="82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>тыс.руб.</w:t>
            </w:r>
          </w:p>
        </w:tc>
        <w:tc>
          <w:tcPr>
            <w:tcW w:w="150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</w:r>
          </w:p>
        </w:tc>
        <w:tc>
          <w:tcPr>
            <w:tcW w:w="26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668" w:type="dxa"/>
            <w:gridSpan w:val="7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2116" w:type="dxa"/>
            <w:gridSpan w:val="8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>Нормативные затраты труда рабочих</w:t>
            </w:r>
          </w:p>
        </w:tc>
        <w:tc>
          <w:tcPr>
            <w:tcW w:w="80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</w:r>
          </w:p>
        </w:tc>
        <w:tc>
          <w:tcPr>
            <w:tcW w:w="830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> </w:t>
            </w:r>
          </w:p>
        </w:tc>
        <w:tc>
          <w:tcPr>
            <w:tcW w:w="1251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</w:r>
          </w:p>
        </w:tc>
        <w:tc>
          <w:tcPr>
            <w:tcW w:w="100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>чел.-ч.</w:t>
            </w:r>
          </w:p>
        </w:tc>
      </w:tr>
      <w:tr>
        <w:trPr>
          <w:trHeight w:val="240" w:hRule="atLeas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</w:r>
          </w:p>
        </w:tc>
        <w:tc>
          <w:tcPr>
            <w:tcW w:w="13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shd w:fill="auto" w:val="clear"/>
              </w:rPr>
              <w:t>прочих затрат</w:t>
            </w:r>
          </w:p>
        </w:tc>
        <w:tc>
          <w:tcPr>
            <w:tcW w:w="869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 </w:t>
            </w:r>
          </w:p>
        </w:tc>
        <w:tc>
          <w:tcPr>
            <w:tcW w:w="694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>0,00</w:t>
            </w:r>
          </w:p>
        </w:tc>
        <w:tc>
          <w:tcPr>
            <w:tcW w:w="82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>тыс.руб.</w:t>
            </w:r>
          </w:p>
        </w:tc>
        <w:tc>
          <w:tcPr>
            <w:tcW w:w="150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</w:r>
          </w:p>
        </w:tc>
        <w:tc>
          <w:tcPr>
            <w:tcW w:w="26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668" w:type="dxa"/>
            <w:gridSpan w:val="7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2918" w:type="dxa"/>
            <w:gridSpan w:val="1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>Нормативные затраты труда машинистов</w:t>
            </w:r>
          </w:p>
        </w:tc>
        <w:tc>
          <w:tcPr>
            <w:tcW w:w="830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> </w:t>
            </w:r>
          </w:p>
        </w:tc>
        <w:tc>
          <w:tcPr>
            <w:tcW w:w="1251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</w:r>
          </w:p>
        </w:tc>
        <w:tc>
          <w:tcPr>
            <w:tcW w:w="100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  <w:t>чел.-ч.</w:t>
            </w:r>
          </w:p>
        </w:tc>
      </w:tr>
      <w:tr>
        <w:trPr>
          <w:trHeight w:val="195" w:hRule="exac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sz w:val="16"/>
                <w:szCs w:val="16"/>
                <w:shd w:fill="auto" w:val="clear"/>
              </w:rPr>
            </w:r>
          </w:p>
        </w:tc>
        <w:tc>
          <w:tcPr>
            <w:tcW w:w="13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69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2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50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26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668" w:type="dxa"/>
            <w:gridSpan w:val="7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7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3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0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83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25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  <w:tc>
          <w:tcPr>
            <w:tcW w:w="100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</w:r>
          </w:p>
        </w:tc>
      </w:tr>
      <w:tr>
        <w:trPr>
          <w:trHeight w:val="269" w:hRule="atLeast"/>
        </w:trPr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 xml:space="preserve">№ </w:t>
            </w: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п/п</w:t>
            </w: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Обоснование</w:t>
            </w:r>
          </w:p>
        </w:tc>
        <w:tc>
          <w:tcPr>
            <w:tcW w:w="2987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Наименование работ и затрат</w:t>
            </w:r>
          </w:p>
        </w:tc>
        <w:tc>
          <w:tcPr>
            <w:tcW w:w="10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Единица измерения</w:t>
            </w:r>
          </w:p>
        </w:tc>
        <w:tc>
          <w:tcPr>
            <w:tcW w:w="3546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Количество</w:t>
            </w:r>
          </w:p>
        </w:tc>
        <w:tc>
          <w:tcPr>
            <w:tcW w:w="5038" w:type="dxa"/>
            <w:gridSpan w:val="1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Сметная стоимость, руб.</w:t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69" w:hRule="atLeast"/>
        </w:trPr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</w:r>
          </w:p>
        </w:tc>
        <w:tc>
          <w:tcPr>
            <w:tcW w:w="13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</w:r>
          </w:p>
        </w:tc>
        <w:tc>
          <w:tcPr>
            <w:tcW w:w="2987" w:type="dxa"/>
            <w:gridSpan w:val="8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</w:r>
          </w:p>
        </w:tc>
        <w:tc>
          <w:tcPr>
            <w:tcW w:w="1008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</w:r>
          </w:p>
        </w:tc>
        <w:tc>
          <w:tcPr>
            <w:tcW w:w="3546" w:type="dxa"/>
            <w:gridSpan w:val="1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</w:r>
          </w:p>
        </w:tc>
        <w:tc>
          <w:tcPr>
            <w:tcW w:w="5038" w:type="dxa"/>
            <w:gridSpan w:val="19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873" w:hRule="atLeast"/>
        </w:trPr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</w:r>
          </w:p>
        </w:tc>
        <w:tc>
          <w:tcPr>
            <w:tcW w:w="13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</w:r>
          </w:p>
        </w:tc>
        <w:tc>
          <w:tcPr>
            <w:tcW w:w="2987" w:type="dxa"/>
            <w:gridSpan w:val="8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</w:r>
          </w:p>
        </w:tc>
        <w:tc>
          <w:tcPr>
            <w:tcW w:w="1008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</w:r>
          </w:p>
        </w:tc>
        <w:tc>
          <w:tcPr>
            <w:tcW w:w="82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на ед</w:t>
            </w: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  <w:lang w:val="en-US"/>
              </w:rPr>
              <w:t>.</w:t>
            </w: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 xml:space="preserve"> изм</w:t>
            </w:r>
          </w:p>
        </w:tc>
        <w:tc>
          <w:tcPr>
            <w:tcW w:w="1332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коэффициенты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всего с учетом коэффициентов</w:t>
            </w:r>
          </w:p>
        </w:tc>
        <w:tc>
          <w:tcPr>
            <w:tcW w:w="1045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на ед изм в базисном уровне цен</w:t>
            </w:r>
          </w:p>
        </w:tc>
        <w:tc>
          <w:tcPr>
            <w:tcW w:w="715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индекс</w:t>
            </w:r>
          </w:p>
        </w:tc>
        <w:tc>
          <w:tcPr>
            <w:tcW w:w="1096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на ед изм в текущем уровне цен</w:t>
            </w:r>
          </w:p>
        </w:tc>
        <w:tc>
          <w:tcPr>
            <w:tcW w:w="1339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коэффициенты</w:t>
            </w:r>
          </w:p>
        </w:tc>
        <w:tc>
          <w:tcPr>
            <w:tcW w:w="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всего в текущем уровне цен</w:t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1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2</w:t>
            </w:r>
          </w:p>
        </w:tc>
        <w:tc>
          <w:tcPr>
            <w:tcW w:w="298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3</w:t>
            </w:r>
          </w:p>
        </w:tc>
        <w:tc>
          <w:tcPr>
            <w:tcW w:w="10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4</w:t>
            </w:r>
          </w:p>
        </w:tc>
        <w:tc>
          <w:tcPr>
            <w:tcW w:w="82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5</w:t>
            </w:r>
          </w:p>
        </w:tc>
        <w:tc>
          <w:tcPr>
            <w:tcW w:w="1332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6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7</w:t>
            </w:r>
          </w:p>
        </w:tc>
        <w:tc>
          <w:tcPr>
            <w:tcW w:w="1045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8</w:t>
            </w:r>
          </w:p>
        </w:tc>
        <w:tc>
          <w:tcPr>
            <w:tcW w:w="715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9</w:t>
            </w:r>
          </w:p>
        </w:tc>
        <w:tc>
          <w:tcPr>
            <w:tcW w:w="1096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10</w:t>
            </w:r>
          </w:p>
        </w:tc>
        <w:tc>
          <w:tcPr>
            <w:tcW w:w="1339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11</w:t>
            </w:r>
          </w:p>
        </w:tc>
        <w:tc>
          <w:tcPr>
            <w:tcW w:w="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shd w:fill="auto" w:val="clear"/>
              </w:rPr>
              <w:t>12</w:t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00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</w:tbl>
    <w:p>
      <w:pPr>
        <w:sectPr>
          <w:footerReference w:type="default" r:id="rId13"/>
          <w:footerReference w:type="first" r:id="rId14"/>
          <w:type w:val="nextPage"/>
          <w:pgSz w:orient="landscape" w:w="16838" w:h="11906"/>
          <w:pgMar w:left="720" w:right="284" w:gutter="0" w:header="0" w:top="426" w:footer="709" w:bottom="92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ind w:firstLine="720" w:left="5811"/>
        <w:jc w:val="right"/>
        <w:rPr>
          <w:rFonts w:ascii="Times New Roman" w:hAnsi="Times New Roman"/>
          <w:color w:val="000000"/>
          <w:sz w:val="20"/>
          <w:szCs w:val="20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0"/>
          <w:szCs w:val="20"/>
          <w:shd w:fill="auto" w:val="clear"/>
        </w:rPr>
      </w:r>
    </w:p>
    <w:p>
      <w:pPr>
        <w:pStyle w:val="Normal"/>
        <w:spacing w:lineRule="auto" w:line="240" w:before="0" w:after="0"/>
        <w:ind w:firstLine="720" w:left="5811" w:right="0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Приложение№ 2 </w:t>
      </w:r>
    </w:p>
    <w:p>
      <w:pPr>
        <w:pStyle w:val="ConsPlusNormal1"/>
        <w:ind w:firstLine="720" w:left="5811" w:right="0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hd w:fill="auto" w:val="clear"/>
        </w:rPr>
        <w:t>к Требованиям к оформлению и составлению сметной документации</w:t>
      </w:r>
    </w:p>
    <w:p>
      <w:pPr>
        <w:pStyle w:val="ConsPlusNormal1"/>
        <w:ind w:firstLine="720" w:left="5811" w:right="0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hd w:fill="auto" w:val="clear"/>
        </w:rPr>
        <w:t xml:space="preserve"> </w:t>
      </w:r>
      <w:r>
        <w:rPr>
          <w:rFonts w:ascii="Times New Roman" w:hAnsi="Times New Roman"/>
          <w:color w:val="000000"/>
          <w:shd w:fill="auto" w:val="clear"/>
        </w:rPr>
        <w:t xml:space="preserve">на строительство и реконструкцию </w:t>
      </w:r>
    </w:p>
    <w:p>
      <w:pPr>
        <w:pStyle w:val="ConsPlusNormal1"/>
        <w:ind w:firstLine="720" w:left="5811" w:right="0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hd w:fill="auto" w:val="clear"/>
        </w:rPr>
        <w:t>объектов капитального строительства</w:t>
      </w:r>
      <w:r>
        <w:rPr>
          <w:b/>
          <w:bCs/>
          <w:color w:val="000000"/>
          <w:shd w:fill="auto" w:val="clear"/>
        </w:rPr>
        <w:t xml:space="preserve"> </w:t>
      </w:r>
    </w:p>
    <w:p>
      <w:pPr>
        <w:pStyle w:val="HEADERTEXT"/>
        <w:rPr>
          <w:b/>
          <w:bCs/>
          <w:color w:val="auto"/>
          <w:highlight w:val="none"/>
          <w:shd w:fill="auto" w:val="clear"/>
        </w:rPr>
      </w:pPr>
      <w:r>
        <w:rPr>
          <w:b/>
          <w:bCs/>
          <w:color w:val="000000"/>
          <w:shd w:fill="auto" w:val="clear"/>
        </w:rPr>
      </w:r>
    </w:p>
    <w:p>
      <w:pPr>
        <w:pStyle w:val="HEADERTEXT"/>
        <w:jc w:val="center"/>
        <w:rPr>
          <w:highlight w:val="none"/>
          <w:shd w:fill="auto" w:val="clear"/>
        </w:rPr>
      </w:pPr>
      <w:r>
        <w:rPr>
          <w:rFonts w:eastAsia="Times New Roman" w:ascii="Times New Roman" w:hAnsi="Times New Roman"/>
          <w:color w:val="000000"/>
          <w:shd w:fill="auto" w:val="clear"/>
        </w:rPr>
        <w:t xml:space="preserve"> </w:t>
      </w:r>
      <w:r>
        <w:rPr>
          <w:rFonts w:eastAsia="Times New Roman" w:ascii="Times New Roman" w:hAnsi="Times New Roman"/>
          <w:color w:val="000000"/>
          <w:shd w:fill="auto" w:val="clear"/>
        </w:rPr>
        <w:t xml:space="preserve">Конъюнктурный анализ </w:t>
      </w:r>
    </w:p>
    <w:tbl>
      <w:tblPr>
        <w:tblW w:w="9298" w:type="dxa"/>
        <w:jc w:val="left"/>
        <w:tblInd w:w="45" w:type="dxa"/>
        <w:tblLayout w:type="fixed"/>
        <w:tblCellMar>
          <w:top w:w="114" w:type="dxa"/>
          <w:left w:w="28" w:type="dxa"/>
          <w:bottom w:w="114" w:type="dxa"/>
          <w:right w:w="28" w:type="dxa"/>
        </w:tblCellMar>
      </w:tblPr>
      <w:tblGrid>
        <w:gridCol w:w="9298"/>
      </w:tblGrid>
      <w:tr>
        <w:trPr/>
        <w:tc>
          <w:tcPr>
            <w:tcW w:w="9298" w:type="dxa"/>
            <w:tcBorders>
              <w:bottom w:val="single" w:sz="6" w:space="0" w:color="000000"/>
            </w:tcBorders>
          </w:tcPr>
          <w:p>
            <w:pPr>
              <w:pStyle w:val="FORMATTEXT"/>
              <w:widowControl w:val="false"/>
              <w:rPr>
                <w:color w:val="auto"/>
                <w:sz w:val="12"/>
                <w:szCs w:val="12"/>
                <w:highlight w:val="none"/>
                <w:shd w:fill="auto" w:val="clear"/>
              </w:rPr>
            </w:pPr>
            <w:r>
              <w:rPr>
                <w:color w:val="000000"/>
                <w:sz w:val="12"/>
                <w:szCs w:val="12"/>
                <w:shd w:fill="auto" w:val="clear"/>
              </w:rPr>
            </w:r>
          </w:p>
        </w:tc>
      </w:tr>
      <w:tr>
        <w:trPr/>
        <w:tc>
          <w:tcPr>
            <w:tcW w:w="9298" w:type="dxa"/>
            <w:tcBorders>
              <w:top w:val="single" w:sz="6" w:space="0" w:color="000000"/>
            </w:tcBorders>
          </w:tcPr>
          <w:p>
            <w:pPr>
              <w:pStyle w:val="FORMAT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/>
                <w:iCs/>
                <w:color w:val="000000"/>
                <w:sz w:val="18"/>
                <w:szCs w:val="18"/>
                <w:shd w:fill="auto" w:val="clear"/>
              </w:rPr>
              <w:t>(наименование объекта строительства)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, sans-serif" w:hAnsi="Arial, sans-serif"/>
          <w:color w:val="auto"/>
          <w:sz w:val="24"/>
          <w:szCs w:val="24"/>
          <w:highlight w:val="none"/>
          <w:shd w:fill="auto" w:val="clear"/>
        </w:rPr>
      </w:pPr>
      <w:r>
        <w:rPr>
          <w:rFonts w:ascii="Arial, sans-serif" w:hAnsi="Arial, sans-serif"/>
          <w:color w:val="000000"/>
          <w:sz w:val="24"/>
          <w:szCs w:val="24"/>
          <w:shd w:fill="auto" w:val="clear"/>
        </w:rPr>
      </w:r>
    </w:p>
    <w:tbl>
      <w:tblPr>
        <w:tblW w:w="14564" w:type="dxa"/>
        <w:jc w:val="left"/>
        <w:tblInd w:w="-6" w:type="dxa"/>
        <w:tblLayout w:type="fixed"/>
        <w:tblCellMar>
          <w:top w:w="113" w:type="dxa"/>
          <w:left w:w="28" w:type="dxa"/>
          <w:bottom w:w="113" w:type="dxa"/>
          <w:right w:w="28" w:type="dxa"/>
        </w:tblCellMar>
      </w:tblPr>
      <w:tblGrid>
        <w:gridCol w:w="531"/>
        <w:gridCol w:w="664"/>
        <w:gridCol w:w="781"/>
        <w:gridCol w:w="898"/>
        <w:gridCol w:w="465"/>
        <w:gridCol w:w="763"/>
        <w:gridCol w:w="878"/>
        <w:gridCol w:w="729"/>
        <w:gridCol w:w="742"/>
        <w:gridCol w:w="638"/>
        <w:gridCol w:w="710"/>
        <w:gridCol w:w="780"/>
        <w:gridCol w:w="527"/>
        <w:gridCol w:w="597"/>
        <w:gridCol w:w="911"/>
        <w:gridCol w:w="705"/>
        <w:gridCol w:w="681"/>
        <w:gridCol w:w="1077"/>
        <w:gridCol w:w="782"/>
        <w:gridCol w:w="701"/>
      </w:tblGrid>
      <w:tr>
        <w:trPr>
          <w:trHeight w:val="1105" w:hRule="atLeast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N п/п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Код стро-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итель-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Наиме-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нование строи-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Полное наиме-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нование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Ед.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изм.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Ед. изм. стро-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итель-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Текущая отпуск-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ная цена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Теку-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щая отпуск-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Стои-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мость пере-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Заготовительно-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складские расходы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Сметная цена без НДС в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Год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Квар-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тал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Наименование произво-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дителя/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КПП орга-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низа-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ИНН орга-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низа-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Гипер-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ссылка на веб-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Насе-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ленный пункт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Статус органи-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зации</w:t>
            </w:r>
          </w:p>
        </w:tc>
      </w:tr>
      <w:tr>
        <w:trPr>
          <w:trHeight w:val="436" w:hRule="atLeast"/>
        </w:trPr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66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ного ресур-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са</w:t>
            </w:r>
          </w:p>
        </w:tc>
        <w:tc>
          <w:tcPr>
            <w:tcW w:w="781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тельного ресурса, затрат</w:t>
            </w:r>
          </w:p>
        </w:tc>
        <w:tc>
          <w:tcPr>
            <w:tcW w:w="89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строи-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тельного ресурса, затрат в обосно-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вываю-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щем документе</w:t>
            </w:r>
          </w:p>
        </w:tc>
        <w:tc>
          <w:tcPr>
            <w:tcW w:w="46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76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ного ресурса, затрат в обосно-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вываю-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щем доку-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менте</w:t>
            </w:r>
          </w:p>
        </w:tc>
        <w:tc>
          <w:tcPr>
            <w:tcW w:w="87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за ед.изм. в обосно-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вываю-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щем докумен-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те с НДС в руб.</w:t>
            </w:r>
          </w:p>
        </w:tc>
        <w:tc>
          <w:tcPr>
            <w:tcW w:w="72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ная цена за ед.изм. без НДС в руб. в соот-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ветст-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вии с графой 5</w:t>
            </w:r>
          </w:p>
        </w:tc>
        <w:tc>
          <w:tcPr>
            <w:tcW w:w="74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возки без НДС в руб. за ед.изм.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%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руб.</w:t>
            </w:r>
          </w:p>
        </w:tc>
        <w:tc>
          <w:tcPr>
            <w:tcW w:w="780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руб. за ед.изм.</w:t>
            </w:r>
          </w:p>
        </w:tc>
        <w:tc>
          <w:tcPr>
            <w:tcW w:w="52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59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911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поставщика</w:t>
            </w:r>
          </w:p>
        </w:tc>
        <w:tc>
          <w:tcPr>
            <w:tcW w:w="70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ции</w:t>
            </w:r>
          </w:p>
        </w:tc>
        <w:tc>
          <w:tcPr>
            <w:tcW w:w="681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ции</w:t>
            </w: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сайт произ-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води-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теля/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постав-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щика</w:t>
            </w:r>
          </w:p>
        </w:tc>
        <w:tc>
          <w:tcPr>
            <w:tcW w:w="78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распо-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ложения склада произ-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води-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теля/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постав-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щика</w:t>
            </w:r>
          </w:p>
        </w:tc>
        <w:tc>
          <w:tcPr>
            <w:tcW w:w="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(произ-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води-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тель (1)/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постав-</w:t>
            </w:r>
          </w:p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щик (2)</w:t>
            </w:r>
          </w:p>
        </w:tc>
      </w:tr>
      <w:tr>
        <w:trPr/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1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2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3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5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6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7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8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9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10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12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13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14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15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16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17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18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19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20</w:t>
            </w:r>
          </w:p>
        </w:tc>
      </w:tr>
      <w:tr>
        <w:trPr/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Поставщик 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</w:tr>
      <w:tr>
        <w:trPr/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Поставщик 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HEADERTEXT"/>
              <w:widowControl w:val="false"/>
              <w:jc w:val="center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</w:tr>
    </w:tbl>
    <w:p>
      <w:pPr>
        <w:sectPr>
          <w:footerReference w:type="default" r:id="rId15"/>
          <w:footerReference w:type="first" r:id="rId16"/>
          <w:type w:val="nextPage"/>
          <w:pgSz w:orient="landscape" w:w="16838" w:h="11906"/>
          <w:pgMar w:left="1276" w:right="709" w:gutter="0" w:header="0" w:top="851" w:footer="709" w:bottom="76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ind w:firstLine="720" w:left="284" w:right="0"/>
        <w:rPr>
          <w:rFonts w:ascii="Times New Roman" w:hAnsi="Times New Roman"/>
          <w:sz w:val="20"/>
          <w:szCs w:val="20"/>
          <w:highlight w:val="none"/>
          <w:shd w:fill="auto" w:val="clear"/>
        </w:rPr>
      </w:pPr>
      <w:r>
        <w:rPr>
          <w:rFonts w:ascii="Times New Roman" w:hAnsi="Times New Roman"/>
          <w:sz w:val="20"/>
          <w:szCs w:val="20"/>
          <w:shd w:fill="auto" w:val="clear"/>
        </w:rPr>
      </w:r>
    </w:p>
    <w:p>
      <w:pPr>
        <w:pStyle w:val="Normal"/>
        <w:spacing w:lineRule="auto" w:line="240" w:before="0" w:after="0"/>
        <w:ind w:firstLine="720" w:left="284"/>
        <w:rPr>
          <w:rFonts w:ascii="Times New Roman" w:hAnsi="Times New Roman"/>
          <w:sz w:val="20"/>
          <w:szCs w:val="20"/>
          <w:highlight w:val="none"/>
          <w:shd w:fill="auto" w:val="clear"/>
        </w:rPr>
      </w:pPr>
      <w:r>
        <w:rPr>
          <w:rFonts w:ascii="Times New Roman" w:hAnsi="Times New Roman"/>
          <w:sz w:val="20"/>
          <w:szCs w:val="20"/>
          <w:shd w:fill="auto" w:val="clear"/>
        </w:rPr>
      </w:r>
    </w:p>
    <w:p>
      <w:pPr>
        <w:pStyle w:val="Normal"/>
        <w:widowControl w:val="false"/>
        <w:spacing w:lineRule="auto" w:line="240" w:before="0" w:after="0"/>
        <w:rPr>
          <w:rFonts w:ascii="Arial, sans-serif" w:hAnsi="Arial, sans-serif"/>
          <w:color w:val="auto"/>
          <w:sz w:val="24"/>
          <w:szCs w:val="24"/>
          <w:highlight w:val="none"/>
          <w:shd w:fill="auto" w:val="clear"/>
        </w:rPr>
      </w:pPr>
      <w:r>
        <w:rPr>
          <w:rFonts w:ascii="Arial, sans-serif" w:hAnsi="Arial, sans-serif"/>
          <w:color w:val="000000"/>
          <w:sz w:val="24"/>
          <w:szCs w:val="24"/>
          <w:shd w:fill="auto" w:val="clear"/>
        </w:rPr>
      </w:r>
    </w:p>
    <w:tbl>
      <w:tblPr>
        <w:tblW w:w="9450" w:type="dxa"/>
        <w:jc w:val="left"/>
        <w:tblInd w:w="28" w:type="dxa"/>
        <w:tblLayout w:type="fixed"/>
        <w:tblCellMar>
          <w:top w:w="114" w:type="dxa"/>
          <w:left w:w="28" w:type="dxa"/>
          <w:bottom w:w="114" w:type="dxa"/>
          <w:right w:w="28" w:type="dxa"/>
        </w:tblCellMar>
      </w:tblPr>
      <w:tblGrid>
        <w:gridCol w:w="1529"/>
        <w:gridCol w:w="7920"/>
      </w:tblGrid>
      <w:tr>
        <w:trPr/>
        <w:tc>
          <w:tcPr>
            <w:tcW w:w="152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, sans-serif" w:hAnsi="Arial, sans-serif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Arial, sans-serif" w:hAnsi="Arial, sans-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792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, sans-serif" w:hAnsi="Arial, sans-serif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Arial, sans-serif" w:hAnsi="Arial, sans-serif"/>
                <w:color w:val="000000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529" w:type="dxa"/>
            <w:tcBorders/>
          </w:tcPr>
          <w:p>
            <w:pPr>
              <w:pStyle w:val="HEADERTEXT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Составил</w:t>
            </w:r>
          </w:p>
        </w:tc>
        <w:tc>
          <w:tcPr>
            <w:tcW w:w="7920" w:type="dxa"/>
            <w:tcBorders>
              <w:bottom w:val="single" w:sz="6" w:space="0" w:color="000000"/>
            </w:tcBorders>
          </w:tcPr>
          <w:p>
            <w:pPr>
              <w:pStyle w:val="HEADERTEXT"/>
              <w:widowControl w:val="false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</w:tr>
      <w:tr>
        <w:trPr/>
        <w:tc>
          <w:tcPr>
            <w:tcW w:w="1529" w:type="dxa"/>
            <w:tcBorders/>
          </w:tcPr>
          <w:p>
            <w:pPr>
              <w:pStyle w:val="HEADERTEXT"/>
              <w:widowControl w:val="false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7920" w:type="dxa"/>
            <w:tcBorders>
              <w:top w:val="single" w:sz="6" w:space="0" w:color="000000"/>
            </w:tcBorders>
          </w:tcPr>
          <w:p>
            <w:pPr>
              <w:pStyle w:val="HEADERTEXT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[должность, подпись (инициалы, фамилия)]</w:t>
            </w:r>
          </w:p>
        </w:tc>
      </w:tr>
      <w:tr>
        <w:trPr/>
        <w:tc>
          <w:tcPr>
            <w:tcW w:w="1529" w:type="dxa"/>
            <w:tcBorders/>
          </w:tcPr>
          <w:p>
            <w:pPr>
              <w:pStyle w:val="HEADERTEXT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Проверил</w:t>
            </w:r>
          </w:p>
        </w:tc>
        <w:tc>
          <w:tcPr>
            <w:tcW w:w="7920" w:type="dxa"/>
            <w:tcBorders>
              <w:bottom w:val="single" w:sz="6" w:space="0" w:color="000000"/>
            </w:tcBorders>
          </w:tcPr>
          <w:p>
            <w:pPr>
              <w:pStyle w:val="HEADERTEXT"/>
              <w:widowControl w:val="false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</w:tr>
      <w:tr>
        <w:trPr/>
        <w:tc>
          <w:tcPr>
            <w:tcW w:w="1529" w:type="dxa"/>
            <w:tcBorders/>
          </w:tcPr>
          <w:p>
            <w:pPr>
              <w:pStyle w:val="HEADERTEXT"/>
              <w:widowControl w:val="false"/>
              <w:rPr>
                <w:rFonts w:ascii="Times New Roman" w:hAnsi="Times New Roman" w:eastAsia="Times New Roman"/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</w:r>
          </w:p>
        </w:tc>
        <w:tc>
          <w:tcPr>
            <w:tcW w:w="7920" w:type="dxa"/>
            <w:tcBorders>
              <w:top w:val="single" w:sz="6" w:space="0" w:color="000000"/>
            </w:tcBorders>
          </w:tcPr>
          <w:p>
            <w:pPr>
              <w:pStyle w:val="HEADERTEXT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color w:val="000000"/>
                <w:shd w:fill="auto" w:val="clear"/>
              </w:rPr>
              <w:t>[должность, подпись (инициалы, фамилия)]</w:t>
            </w:r>
          </w:p>
        </w:tc>
      </w:tr>
    </w:tbl>
    <w:p>
      <w:pPr>
        <w:pStyle w:val="HEADERTEXT"/>
        <w:rPr>
          <w:rFonts w:ascii="Times New Roman" w:hAnsi="Times New Roman" w:eastAsia="Times New Roman"/>
          <w:color w:val="auto"/>
          <w:highlight w:val="none"/>
          <w:shd w:fill="auto" w:val="clear"/>
        </w:rPr>
      </w:pPr>
      <w:r>
        <w:rPr>
          <w:rFonts w:eastAsia="Times New Roman" w:ascii="Times New Roman" w:hAnsi="Times New Roman"/>
          <w:color w:val="000000"/>
          <w:shd w:fill="auto" w:val="clear"/>
        </w:rPr>
      </w:r>
    </w:p>
    <w:p>
      <w:pPr>
        <w:pStyle w:val="HEADERTEXT"/>
        <w:rPr>
          <w:highlight w:val="none"/>
          <w:shd w:fill="auto" w:val="clear"/>
        </w:rPr>
      </w:pPr>
      <w:r>
        <w:rPr>
          <w:rFonts w:eastAsia="Times New Roman" w:ascii="Times New Roman" w:hAnsi="Times New Roman"/>
          <w:color w:val="000000"/>
          <w:shd w:fill="auto" w:val="clear"/>
        </w:rPr>
        <w:t>Примечание.</w:t>
      </w:r>
    </w:p>
    <w:p>
      <w:pPr>
        <w:pStyle w:val="HEADERTEXT"/>
        <w:rPr>
          <w:rFonts w:ascii="Times New Roman" w:hAnsi="Times New Roman" w:eastAsia="Times New Roman"/>
          <w:color w:val="auto"/>
          <w:highlight w:val="none"/>
          <w:shd w:fill="auto" w:val="clear"/>
        </w:rPr>
      </w:pPr>
      <w:r>
        <w:rPr>
          <w:rFonts w:eastAsia="Times New Roman" w:ascii="Times New Roman" w:hAnsi="Times New Roman"/>
          <w:color w:val="000000"/>
          <w:shd w:fill="auto" w:val="clear"/>
        </w:rPr>
      </w:r>
    </w:p>
    <w:p>
      <w:pPr>
        <w:pStyle w:val="HEADERTEXT"/>
        <w:rPr>
          <w:highlight w:val="none"/>
          <w:shd w:fill="auto" w:val="clear"/>
        </w:rPr>
      </w:pPr>
      <w:r>
        <w:rPr>
          <w:rFonts w:eastAsia="Times New Roman" w:ascii="Times New Roman" w:hAnsi="Times New Roman"/>
          <w:color w:val="000000"/>
          <w:shd w:fill="auto" w:val="clear"/>
        </w:rPr>
        <w:t>1. В графе 1 указывается номер, состоящих из двух групп цифр, разделенных точкой, первая группа цифр которого соответствует номеру ресурса по порядку, вторая - порядковому номеру обосновывающего документа, например, 1.1.</w:t>
      </w:r>
    </w:p>
    <w:p>
      <w:pPr>
        <w:pStyle w:val="HEADERTEXT"/>
        <w:rPr>
          <w:rFonts w:ascii="Times New Roman" w:hAnsi="Times New Roman" w:eastAsia="Times New Roman"/>
          <w:color w:val="auto"/>
          <w:highlight w:val="none"/>
          <w:shd w:fill="auto" w:val="clear"/>
        </w:rPr>
      </w:pPr>
      <w:r>
        <w:rPr>
          <w:rFonts w:eastAsia="Times New Roman" w:ascii="Times New Roman" w:hAnsi="Times New Roman"/>
          <w:color w:val="000000"/>
          <w:shd w:fill="auto" w:val="clear"/>
        </w:rPr>
      </w:r>
    </w:p>
    <w:p>
      <w:pPr>
        <w:pStyle w:val="HEADERTEXT"/>
        <w:rPr>
          <w:highlight w:val="none"/>
          <w:shd w:fill="auto" w:val="clear"/>
        </w:rPr>
      </w:pPr>
      <w:r>
        <w:rPr>
          <w:rFonts w:eastAsia="Times New Roman" w:ascii="Times New Roman" w:hAnsi="Times New Roman"/>
          <w:color w:val="000000"/>
          <w:shd w:fill="auto" w:val="clear"/>
        </w:rPr>
        <w:t>2. В графе 2 для каждой позиции материальных ресурсов и оборудования указывается код строительного ресурса в соответствии с пунктами 23 и 24 Методики.</w:t>
      </w:r>
    </w:p>
    <w:p>
      <w:pPr>
        <w:pStyle w:val="HEADERTEXT"/>
        <w:rPr>
          <w:rFonts w:ascii="Times New Roman" w:hAnsi="Times New Roman" w:eastAsia="Times New Roman"/>
          <w:color w:val="auto"/>
          <w:highlight w:val="none"/>
          <w:shd w:fill="auto" w:val="clear"/>
        </w:rPr>
      </w:pPr>
      <w:r>
        <w:rPr>
          <w:rFonts w:eastAsia="Times New Roman" w:ascii="Times New Roman" w:hAnsi="Times New Roman"/>
          <w:color w:val="000000"/>
          <w:shd w:fill="auto" w:val="clear"/>
        </w:rPr>
      </w:r>
    </w:p>
    <w:p>
      <w:pPr>
        <w:pStyle w:val="HEADERTEXT"/>
        <w:rPr>
          <w:highlight w:val="none"/>
          <w:shd w:fill="auto" w:val="clear"/>
        </w:rPr>
      </w:pPr>
      <w:r>
        <w:rPr>
          <w:rFonts w:eastAsia="Times New Roman" w:ascii="Times New Roman" w:hAnsi="Times New Roman"/>
          <w:color w:val="000000"/>
          <w:shd w:fill="auto" w:val="clear"/>
        </w:rPr>
        <w:t>3. Анализируются сопоставимые элементы стоимости материальных ресурсов (отпускные цены, сметные с учетом транспортных затрат), затрат.</w:t>
      </w:r>
    </w:p>
    <w:p>
      <w:pPr>
        <w:pStyle w:val="HEADERTEXT"/>
        <w:rPr>
          <w:rFonts w:ascii="Times New Roman" w:hAnsi="Times New Roman" w:eastAsia="Times New Roman"/>
          <w:color w:val="auto"/>
          <w:highlight w:val="none"/>
          <w:shd w:fill="auto" w:val="clear"/>
        </w:rPr>
      </w:pPr>
      <w:r>
        <w:rPr>
          <w:rFonts w:eastAsia="Times New Roman" w:ascii="Times New Roman" w:hAnsi="Times New Roman"/>
          <w:color w:val="000000"/>
          <w:shd w:fill="auto" w:val="clear"/>
        </w:rPr>
      </w:r>
    </w:p>
    <w:p>
      <w:pPr>
        <w:pStyle w:val="HEADERTEXT"/>
        <w:rPr>
          <w:highlight w:val="none"/>
          <w:shd w:fill="auto" w:val="clear"/>
        </w:rPr>
      </w:pPr>
      <w:r>
        <w:rPr>
          <w:rFonts w:eastAsia="Times New Roman" w:ascii="Times New Roman" w:hAnsi="Times New Roman"/>
          <w:color w:val="000000"/>
          <w:shd w:fill="auto" w:val="clear"/>
        </w:rPr>
        <w:t>4. В случае, если текущая отпускная цена за ед.изм. в обосновывающем документе указана с учетом доставки до приобъектного склада, то графа 9 не заполняется.</w:t>
      </w:r>
    </w:p>
    <w:p>
      <w:pPr>
        <w:pStyle w:val="HEADERTEXT"/>
        <w:rPr>
          <w:rFonts w:ascii="Times New Roman" w:hAnsi="Times New Roman" w:eastAsia="Times New Roman"/>
          <w:color w:val="auto"/>
          <w:highlight w:val="none"/>
          <w:shd w:fill="auto" w:val="clear"/>
        </w:rPr>
      </w:pPr>
      <w:r>
        <w:rPr>
          <w:rFonts w:eastAsia="Times New Roman" w:ascii="Times New Roman" w:hAnsi="Times New Roman"/>
          <w:color w:val="000000"/>
          <w:shd w:fill="auto" w:val="clear"/>
        </w:rPr>
      </w:r>
    </w:p>
    <w:p>
      <w:pPr>
        <w:pStyle w:val="HEADERTEXT"/>
        <w:rPr>
          <w:highlight w:val="none"/>
          <w:shd w:fill="auto" w:val="clear"/>
        </w:rPr>
      </w:pPr>
      <w:r>
        <w:rPr>
          <w:rFonts w:eastAsia="Times New Roman" w:ascii="Times New Roman" w:hAnsi="Times New Roman"/>
          <w:color w:val="000000"/>
          <w:shd w:fill="auto" w:val="clear"/>
        </w:rPr>
        <w:t>5. Данные граф 2, 4, 9-11,20 для прочих затрат заполняются при их наличии.</w:t>
      </w:r>
    </w:p>
    <w:p>
      <w:pPr>
        <w:pStyle w:val="HEADERTEXT"/>
        <w:rPr>
          <w:rFonts w:ascii="Times New Roman" w:hAnsi="Times New Roman" w:eastAsia="Times New Roman"/>
          <w:color w:val="auto"/>
          <w:highlight w:val="none"/>
          <w:shd w:fill="auto" w:val="clear"/>
        </w:rPr>
      </w:pPr>
      <w:r>
        <w:rPr>
          <w:rFonts w:eastAsia="Times New Roman" w:ascii="Times New Roman" w:hAnsi="Times New Roman"/>
          <w:color w:val="000000"/>
          <w:shd w:fill="auto" w:val="clear"/>
        </w:rPr>
      </w:r>
    </w:p>
    <w:p>
      <w:pPr>
        <w:pStyle w:val="HEADERTEXT"/>
        <w:rPr>
          <w:highlight w:val="none"/>
          <w:shd w:fill="auto" w:val="clear"/>
        </w:rPr>
      </w:pPr>
      <w:r>
        <w:rPr>
          <w:rFonts w:eastAsia="Times New Roman" w:ascii="Times New Roman" w:hAnsi="Times New Roman"/>
          <w:color w:val="000000"/>
          <w:shd w:fill="auto" w:val="clear"/>
        </w:rPr>
        <w:t>6. При отсутствии в обосновывающих стоимость материальных ресурсов, оборудования, работ и услуг документах производителей и (или) поставщиков сведений по графам 16-20 соответствующие графы формы конъюнктурного анализа заполняются на основании информации из открытых и (или) официальных источников.</w:t>
      </w:r>
    </w:p>
    <w:p>
      <w:pPr>
        <w:pStyle w:val="HEADERTEXT"/>
        <w:rPr>
          <w:rFonts w:ascii="Times New Roman" w:hAnsi="Times New Roman" w:eastAsia="Times New Roman"/>
          <w:color w:val="auto"/>
          <w:highlight w:val="none"/>
          <w:shd w:fill="auto" w:val="clear"/>
        </w:rPr>
      </w:pPr>
      <w:r>
        <w:rPr>
          <w:rFonts w:eastAsia="Times New Roman" w:ascii="Times New Roman" w:hAnsi="Times New Roman"/>
          <w:color w:val="000000"/>
          <w:shd w:fill="auto" w:val="clear"/>
        </w:rPr>
      </w:r>
    </w:p>
    <w:p>
      <w:pPr>
        <w:sectPr>
          <w:footerReference w:type="default" r:id="rId17"/>
          <w:footerReference w:type="first" r:id="rId18"/>
          <w:type w:val="nextPage"/>
          <w:pgSz w:orient="landscape" w:w="16838" w:h="11906"/>
          <w:pgMar w:left="425" w:right="851" w:gutter="0" w:header="0" w:top="1276" w:footer="709" w:bottom="766"/>
          <w:pgNumType w:fmt="decimal"/>
          <w:formProt w:val="false"/>
          <w:textDirection w:val="lrTb"/>
          <w:docGrid w:type="default" w:linePitch="360" w:charSpace="0"/>
        </w:sectPr>
        <w:pStyle w:val="HEADERTEXT"/>
        <w:rPr>
          <w:highlight w:val="none"/>
          <w:shd w:fill="auto" w:val="clear"/>
        </w:rPr>
      </w:pPr>
      <w:r>
        <w:rPr>
          <w:rFonts w:eastAsia="Times New Roman" w:ascii="Times New Roman" w:hAnsi="Times New Roman"/>
          <w:color w:val="000000"/>
          <w:shd w:fill="auto" w:val="clear"/>
        </w:rPr>
        <w:t>7. При отсутствии у производителя (поставщика) веб-сайта графа 18 не заполняется.".</w:t>
      </w:r>
    </w:p>
    <w:p>
      <w:pPr>
        <w:pStyle w:val="Normal"/>
        <w:spacing w:lineRule="auto" w:line="240" w:before="0" w:after="0"/>
        <w:ind w:firstLine="720" w:left="6373" w:right="2947"/>
        <w:rPr>
          <w:rFonts w:ascii="Times New Roman" w:hAnsi="Times New Roman"/>
          <w:sz w:val="20"/>
          <w:szCs w:val="20"/>
          <w:highlight w:val="none"/>
          <w:shd w:fill="auto" w:val="clear"/>
        </w:rPr>
      </w:pPr>
      <w:r>
        <w:rPr>
          <w:rFonts w:ascii="Times New Roman" w:hAnsi="Times New Roman"/>
          <w:sz w:val="20"/>
          <w:szCs w:val="20"/>
          <w:shd w:fill="auto" w:val="clear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lineRule="auto" w:line="240" w:before="0" w:after="0"/>
        <w:jc w:val="right"/>
        <w:rPr/>
      </w:pPr>
      <w:r>
        <w:rPr>
          <w:rStyle w:val="Style15"/>
          <w:rFonts w:ascii="Times New Roman" w:hAnsi="Times New Roman"/>
          <w:iCs/>
          <w:shd w:fill="auto" w:val="clear"/>
        </w:rPr>
        <w:t>Приложение № 3</w:t>
      </w:r>
    </w:p>
    <w:p>
      <w:pPr>
        <w:pStyle w:val="Normal"/>
        <w:widowControl w:val="false"/>
        <w:pBdr>
          <w:bottom w:val="single" w:sz="4" w:space="1" w:color="000000"/>
        </w:pBdr>
        <w:tabs>
          <w:tab w:val="clear" w:pos="709"/>
          <w:tab w:val="left" w:pos="426" w:leader="none"/>
        </w:tabs>
        <w:spacing w:lineRule="auto" w:line="240" w:before="0" w:after="0"/>
        <w:jc w:val="right"/>
        <w:rPr/>
      </w:pPr>
      <w:r>
        <w:rPr>
          <w:rStyle w:val="Style15"/>
          <w:rFonts w:ascii="Times New Roman" w:hAnsi="Times New Roman"/>
          <w:iCs/>
          <w:shd w:fill="auto" w:val="clear"/>
        </w:rPr>
        <w:t>к Требования к оформлению и составлению</w:t>
      </w:r>
    </w:p>
    <w:p>
      <w:pPr>
        <w:pStyle w:val="Normal"/>
        <w:widowControl w:val="false"/>
        <w:pBdr>
          <w:bottom w:val="single" w:sz="4" w:space="1" w:color="000000"/>
        </w:pBdr>
        <w:tabs>
          <w:tab w:val="clear" w:pos="709"/>
          <w:tab w:val="left" w:pos="426" w:leader="none"/>
        </w:tabs>
        <w:spacing w:lineRule="auto" w:line="240" w:before="0" w:after="0"/>
        <w:jc w:val="right"/>
        <w:rPr/>
      </w:pPr>
      <w:r>
        <w:rPr>
          <w:rStyle w:val="Style15"/>
          <w:rFonts w:ascii="Times New Roman" w:hAnsi="Times New Roman"/>
          <w:iCs/>
          <w:shd w:fill="auto" w:val="clear"/>
        </w:rPr>
        <w:t xml:space="preserve"> </w:t>
      </w:r>
      <w:r>
        <w:rPr>
          <w:rStyle w:val="Style15"/>
          <w:rFonts w:ascii="Times New Roman" w:hAnsi="Times New Roman"/>
          <w:iCs/>
          <w:shd w:fill="auto" w:val="clear"/>
        </w:rPr>
        <w:t xml:space="preserve">сметной документации на строительство </w:t>
      </w:r>
    </w:p>
    <w:p>
      <w:pPr>
        <w:pStyle w:val="Normal"/>
        <w:widowControl w:val="false"/>
        <w:pBdr>
          <w:bottom w:val="single" w:sz="4" w:space="1" w:color="000000"/>
        </w:pBdr>
        <w:tabs>
          <w:tab w:val="clear" w:pos="709"/>
          <w:tab w:val="left" w:pos="426" w:leader="none"/>
        </w:tabs>
        <w:spacing w:lineRule="auto" w:line="240" w:before="0" w:after="0"/>
        <w:jc w:val="right"/>
        <w:rPr/>
      </w:pPr>
      <w:r>
        <w:rPr>
          <w:rStyle w:val="Style15"/>
          <w:rFonts w:ascii="Times New Roman" w:hAnsi="Times New Roman"/>
          <w:iCs/>
          <w:shd w:fill="auto" w:val="clear"/>
        </w:rPr>
        <w:t xml:space="preserve">и реконструкцию объектов капитального строительства </w:t>
      </w:r>
    </w:p>
    <w:p>
      <w:pPr>
        <w:pStyle w:val="Normal"/>
        <w:shd w:val="clear" w:color="auto" w:fill="FFFFFF" w:themeFill="background1"/>
        <w:tabs>
          <w:tab w:val="clear" w:pos="709"/>
          <w:tab w:val="left" w:pos="900" w:leader="none"/>
        </w:tabs>
        <w:spacing w:lineRule="auto" w:line="240" w:before="0" w:after="0"/>
        <w:ind w:firstLine="360"/>
        <w:jc w:val="right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4"/>
          <w:szCs w:val="24"/>
          <w:shd w:fill="auto" w:val="clear"/>
        </w:rPr>
        <w:t>Требования к оформлению и составлению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4"/>
          <w:szCs w:val="24"/>
          <w:shd w:fill="auto" w:val="clear"/>
        </w:rPr>
        <w:t>сметной документации на выполнение проектных и изыскательских работ.</w:t>
      </w:r>
    </w:p>
    <w:p>
      <w:pPr>
        <w:pStyle w:val="ConsPlusNormal1"/>
        <w:numPr>
          <w:ilvl w:val="0"/>
          <w:numId w:val="8"/>
        </w:numPr>
        <w:tabs>
          <w:tab w:val="clear" w:pos="709"/>
          <w:tab w:val="left" w:pos="1134" w:leader="none"/>
        </w:tabs>
        <w:ind w:firstLine="567" w:lef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Настоящие требования разработаны для единого подхода к определению стоимости проектных и изыскательских работ (далее - ПИР).</w:t>
      </w:r>
    </w:p>
    <w:p>
      <w:pPr>
        <w:pStyle w:val="ConsPlusNormal1"/>
        <w:numPr>
          <w:ilvl w:val="0"/>
          <w:numId w:val="8"/>
        </w:numPr>
        <w:tabs>
          <w:tab w:val="clear" w:pos="709"/>
          <w:tab w:val="left" w:pos="1134" w:leader="none"/>
        </w:tabs>
        <w:ind w:firstLine="567" w:lef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Затраты на проведение инженерных изысканий, подготовку проектной и рабочей документации определяются расчетами на основании сметных нормативов, сведения о которых включены в ФРСН.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Сметы на ПИР составлять на основании технических требований (технического задания) заказчика, графиков производства работ, программы изысканий. 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Сметный расчет стоимости изыскательских работ составляется в соответствии с 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прилагаемой к сметному расчету программой изысканий. Программа изысканий составляется исполнителем на основе технического задания заказчика с учетом требований соответствующих нормативных документов, регламентирующих состав и объем изыскательских работ.</w:t>
      </w:r>
      <w:r>
        <w:rPr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sz w:val="24"/>
          <w:szCs w:val="24"/>
          <w:shd w:fill="auto" w:val="clear"/>
        </w:rPr>
        <w:t>По окончании изысканий составляется сметный расчет – исполнительная смета (необходимо предусмотреть условиями договора) на основе технического отчета по результатам изысканий в соответствии с составом и объемами фактически выполненных работ с учетом категории сложности их выполнения.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Стоимость проектных работ на строительство, реконструкцию и техническое перевооружение объектов производственного назначения определяется на основе Справочников базовых цен на соответствующие работы, входящих в ФРСН, «Методических указаний по применению Справочников базовых цен на проектные работы в строительстве», утвержденных Приказом Министерства регионального развития РФ от 29.12.2009 № 620 (далее - Методика №620) и Методики определения стоимости работ по подготовке проектной документации, утвержденной Приказом Министерства строительства и жилищно-коммунального хозяйства РФ от 1 октября 2021 г. N 707/пр. (далее – Методика №707) не противоречащим положениям Методики №620 и Справочникам базовых цен (далее – СБЦ) на проектные работы в строительстве . 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Стоимость изыскательских работ определять на основе «Методического пособия по определению стоимости инженерных изысканий для строительства», утвержденного письмом Госстроя России от 31.03.2004 № НЗ-2078/10 и внесенного в ФРСН нормативов или иного актуального документа.  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При определении стоимости изыскательских работ </w:t>
      </w:r>
      <w:r>
        <w:rPr>
          <w:rFonts w:ascii="Times New Roman" w:hAnsi="Times New Roman"/>
          <w:b/>
          <w:sz w:val="24"/>
          <w:szCs w:val="24"/>
          <w:shd w:fill="auto" w:val="clear"/>
        </w:rPr>
        <w:t>по согласованию с Заказчиком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возможно применять следующие коэффициенты в соответствии с письмом ПАО «ПНИИИС» от 03.04.2014 №11/298:</w:t>
      </w:r>
    </w:p>
    <w:p>
      <w:pPr>
        <w:pStyle w:val="ListParagraph"/>
        <w:numPr>
          <w:ilvl w:val="0"/>
          <w:numId w:val="5"/>
        </w:numPr>
        <w:tabs>
          <w:tab w:val="clear" w:pos="709"/>
          <w:tab w:val="left" w:pos="567" w:leader="none"/>
        </w:tabs>
        <w:spacing w:lineRule="auto" w:line="240" w:before="0" w:after="0"/>
        <w:ind w:firstLine="283" w:left="567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1,75 – «выполнение картографических работ с составлением планов (продольных профилей) в двух видах: на магнитном и бумажном носителях» (п. 15 е Общих указаний) - при наличии в технических требованиях указания о необходимости составления инженерно-топографических планов (продольных профилей) в двух видах (в электронном виде и на планшете на жесткой основе), либо при выявлении данных требований в процессе выполнения изысканий;</w:t>
      </w:r>
    </w:p>
    <w:p>
      <w:pPr>
        <w:pStyle w:val="ListParagraph"/>
        <w:numPr>
          <w:ilvl w:val="0"/>
          <w:numId w:val="5"/>
        </w:numPr>
        <w:tabs>
          <w:tab w:val="clear" w:pos="709"/>
          <w:tab w:val="left" w:pos="567" w:leader="none"/>
        </w:tabs>
        <w:spacing w:lineRule="auto" w:line="240" w:before="0" w:after="0"/>
        <w:ind w:firstLine="283" w:left="567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1,2 – «выполнение камеральных и картографических работ с применением компьютерных технологий» (п. 15 д Общих указаний) – применяется при условии, что топографические планы выполняются только в электронном виде (распечатка является вариантом электронной версии);</w:t>
      </w:r>
    </w:p>
    <w:p>
      <w:pPr>
        <w:pStyle w:val="ListParagraph"/>
        <w:numPr>
          <w:ilvl w:val="0"/>
          <w:numId w:val="5"/>
        </w:numPr>
        <w:tabs>
          <w:tab w:val="clear" w:pos="709"/>
          <w:tab w:val="left" w:pos="567" w:leader="none"/>
        </w:tabs>
        <w:spacing w:lineRule="auto" w:line="240" w:before="0" w:after="0"/>
        <w:ind w:firstLine="283" w:left="567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1,25 – «при выполнении полевых работ на территориях гидроэлектростанций» (п. 8 в Общих указаний) – на станциях Северного Кавказа и Амурской области;</w:t>
      </w:r>
    </w:p>
    <w:p>
      <w:pPr>
        <w:pStyle w:val="ListParagraph"/>
        <w:numPr>
          <w:ilvl w:val="0"/>
          <w:numId w:val="5"/>
        </w:numPr>
        <w:tabs>
          <w:tab w:val="clear" w:pos="709"/>
          <w:tab w:val="left" w:pos="567" w:leader="none"/>
        </w:tabs>
        <w:spacing w:lineRule="auto" w:line="240" w:before="0" w:after="0"/>
        <w:ind w:firstLine="283" w:left="567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1,15 – «при выполнении полевых работ на территориях гидроэлектростанций и ТЭЦ» (п. 8 в Общих указаний) – на всех гидроэлектростанциях и ТЭЦ, кроме станций Северного Кавказа и Амурской области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Применение расценки, предусмотренной § 4 таблицы 73 «Изготовление копии профиля на кальке с оригинала, вычерченного в карандаше» обоснованно, если такой вид работ в действительности выполнялся (был предусмотрен заданием и/или программой работ).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При определении стоимости ПИР в сметных расчетах указывать полное наименование нормативного документа, на основании, которого составляется сметная документация с указанием всех реквизитов документа.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При использовании в сметах коэффициентов (доплат, процентов и т.д.) в графе «Номер частей, глав, таблиц, процентов…» указывать обоснование из методических указаний, общих положений сборников или других нормативных документов и приложений к ним.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Проектная документация отдельных этапов строительства, реконструкции и различных видов объектов капитального строительства должна быть выполнена в соответствии с «Положением о составе разделов проектной документации и требованиях к их содержанию», утвержденным Постановлением Правительства РФ от 16.02.2008 №87.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Пересчет сметной стоимости проектных (изыскательских) работ по состоянию на 01.01.2001г, 01.01.1995г. (1991г.) следует производить согласно индексам на указанные (проектные или изыскательские) работы, рекомендованным к применению письмом соответствующего органа исполнительной власти, уполномоченного в области сметного нормирования и ценообразования в сфере градостроительной деятельности.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При определении стоимости проектных работ от стоимости строительства по сборникам базовых цен на проектные работы для строительства, разработанным в уровне цен 2001 года необходимо руководствоваться пунктом 2.2 раздела </w:t>
      </w:r>
      <w:r>
        <w:rPr>
          <w:rFonts w:ascii="Times New Roman" w:hAnsi="Times New Roman"/>
          <w:sz w:val="24"/>
          <w:szCs w:val="24"/>
          <w:shd w:fill="auto" w:val="clear"/>
          <w:lang w:val="en-US"/>
        </w:rPr>
        <w:t>II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МУ. При определении стоимости проектных работ от стоимости строительства по сборникам базовых цен на проектные работы для строительства (изд. 1994-1999 гг.) стоимость строительства следует приводить к уровню цен по состоянию на 01.01.1991. Для пересчета стоимости строительно-монтажных работ и прочих затрат из уровня цен по состоянию на 01.01.2000 в уровень цен по состоянию 01.01.1991 и обратно использовать соответствующее отношение индексов пересчета из уровня цен 1991-го и 2000 года в уровень цен I квартала 2010 года, опубликованных в последней официальной публикации индексов Министерства регионального развития Российской Федерации к уровню цен 1991 года (письмо от 20 января 2010 г. № 1289-СК/08). При отсутствии разделения стоимости строительства на «Строительно-монтажные работы», «Оборудование» и «Прочие затраты» применяется индекс на строительно-монтажные работы».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При составлении сметной документации на подготовку проектной документации рекомендуется дополнить Технические требования пунктом о составлении проектной организацией Ведомости объемов конструктивных решений (элементов) и комплексов (видов) работ, оборудования.</w:t>
      </w:r>
    </w:p>
    <w:p>
      <w:pPr>
        <w:pStyle w:val="ConsPlusNormal1"/>
        <w:widowControl/>
        <w:numPr>
          <w:ilvl w:val="0"/>
          <w:numId w:val="8"/>
        </w:numPr>
        <w:tabs>
          <w:tab w:val="clear" w:pos="709"/>
          <w:tab w:val="left" w:pos="1134" w:leader="none"/>
        </w:tabs>
        <w:spacing w:before="40" w:after="40"/>
        <w:ind w:firstLine="567" w:lef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В сметных расчетах допускается использовать прогнозные индексы-дефляторы в соответствии с текущим прогнозом Министерства экономического развития РФ по строке ИПЦ (индекс потребительских цен), в среднем за год, вариант – базовый (указать реквизиты приказа при формировании ТТ) в размере … (указать размер применяемых индексов-дефляторов). </w:t>
      </w:r>
    </w:p>
    <w:p>
      <w:pPr>
        <w:pStyle w:val="ConsPlusNormal1"/>
        <w:widowControl/>
        <w:tabs>
          <w:tab w:val="clear" w:pos="709"/>
          <w:tab w:val="left" w:pos="1134" w:leader="none"/>
        </w:tabs>
        <w:spacing w:before="40" w:after="40"/>
        <w:ind w:hanging="0" w:left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Стоимость работ определяется по формуле: </w:t>
      </w:r>
    </w:p>
    <w:p>
      <w:pPr>
        <w:pStyle w:val="ConsPlusNormal1"/>
        <w:spacing w:before="40" w:after="40"/>
        <w:ind w:firstLine="1276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Цд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∗</m:t>
        </m:r>
        <m:r>
          <w:rPr>
            <w:rFonts w:ascii="Cambria Math" w:hAnsi="Cambria Math"/>
          </w:rPr>
          <m:t xml:space="preserve">Иинфл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</m:e>
        </m:d>
      </m:oMath>
    </w:p>
    <w:p>
      <w:pPr>
        <w:pStyle w:val="ConsPlusNormal1"/>
        <w:widowControl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где</w:t>
      </w:r>
    </w:p>
    <w:p>
      <w:pPr>
        <w:pStyle w:val="ConsPlusNormal1"/>
        <w:widowControl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Цд – стоимость договора;</w:t>
      </w:r>
    </w:p>
    <w:p>
      <w:pPr>
        <w:pStyle w:val="ConsPlusNormal1"/>
        <w:widowControl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С - сметная стоимость подрядных работ, подлежащих выполнению подрядчиком; </w:t>
      </w:r>
    </w:p>
    <w:p>
      <w:pPr>
        <w:pStyle w:val="ConsPlusNormal1"/>
        <w:widowControl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Иинф – индекс инфляции, рассчитываемый как среднее арифметическое значение между индексами прогнозной инфляции на даты начала и окончания работ. При расчете индекса прогнозной инфляции определение периода выполнения работ осуществляется исходя из продолжительности, установленной заказчиком в задании на выполнение проектных и изыскательских работ.</w:t>
      </w:r>
    </w:p>
    <w:p>
      <w:pPr>
        <w:pStyle w:val="ConsPlusNormal1"/>
        <w:spacing w:before="40" w:after="4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</w:r>
    </w:p>
    <w:p>
      <w:pPr>
        <w:pStyle w:val="ConsPlusNormal1"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В случае, если срок выполнения работ превышает календарный год, то индекс инфляции определяется по формуле: </w:t>
      </w:r>
    </w:p>
    <w:p>
      <w:pPr>
        <w:pStyle w:val="ConsPlusNormal1"/>
        <w:widowControl/>
        <w:spacing w:before="40" w:after="40"/>
        <w:ind w:firstLine="426"/>
        <w:jc w:val="center"/>
        <w:rPr>
          <w:highlight w:val="none"/>
          <w:shd w:fill="auto" w:val="clear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И</m:t>
          </m:r>
          <m:r>
            <w:rPr>
              <w:rFonts w:ascii="Cambria Math" w:hAnsi="Cambria Math"/>
            </w:rPr>
            <m:t xml:space="preserve">инф</m:t>
          </m:r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Д</m:t>
          </m:r>
          <m:r>
            <w:rPr>
              <w:rFonts w:ascii="Cambria Math" w:hAnsi="Cambria Math"/>
            </w:rPr>
            <m:t xml:space="preserve">1</m:t>
          </m:r>
          <m:r>
            <w:rPr>
              <w:rFonts w:ascii="Cambria Math" w:hAnsi="Cambria Math"/>
            </w:rPr>
            <m:t xml:space="preserve">∗</m:t>
          </m:r>
          <m:r>
            <w:rPr>
              <w:rFonts w:ascii="Cambria Math" w:hAnsi="Cambria Math"/>
            </w:rPr>
            <m:t xml:space="preserve">К</m:t>
          </m:r>
          <m:r>
            <w:rPr>
              <w:rFonts w:ascii="Cambria Math" w:hAnsi="Cambria Math"/>
            </w:rPr>
            <m:t xml:space="preserve">1</m:t>
          </m:r>
          <m:r>
            <w:rPr>
              <w:rFonts w:ascii="Cambria Math" w:hAnsi="Cambria Math"/>
            </w:rPr>
            <m:t xml:space="preserve">+</m:t>
          </m:r>
          <m:r>
            <w:rPr>
              <w:rFonts w:ascii="Cambria Math" w:hAnsi="Cambria Math"/>
            </w:rPr>
            <m:t xml:space="preserve">Д</m:t>
          </m:r>
          <m:r>
            <w:rPr>
              <w:rFonts w:ascii="Cambria Math" w:hAnsi="Cambria Math"/>
            </w:rPr>
            <m:t xml:space="preserve">2</m:t>
          </m:r>
          <m:r>
            <w:rPr>
              <w:rFonts w:ascii="Cambria Math" w:hAnsi="Cambria Math"/>
            </w:rPr>
            <m:t xml:space="preserve">∗</m:t>
          </m:r>
          <m:r>
            <w:rPr>
              <w:rFonts w:ascii="Cambria Math" w:hAnsi="Cambria Math"/>
            </w:rPr>
            <m:t xml:space="preserve">К</m:t>
          </m:r>
          <m:r>
            <w:rPr>
              <w:rFonts w:ascii="Cambria Math" w:hAnsi="Cambria Math"/>
            </w:rPr>
            <m:t xml:space="preserve">2</m:t>
          </m:r>
          <m:r>
            <w:rPr>
              <w:rFonts w:ascii="Cambria Math" w:hAnsi="Cambria Math"/>
            </w:rPr>
            <m:t xml:space="preserve">+</m:t>
          </m:r>
          <m:r>
            <w:rPr>
              <w:rFonts w:ascii="Cambria Math" w:hAnsi="Cambria Math"/>
            </w:rPr>
            <m:t xml:space="preserve">...</m:t>
          </m:r>
          <m:r>
            <w:rPr>
              <w:rFonts w:ascii="Cambria Math" w:hAnsi="Cambria Math"/>
            </w:rPr>
            <m:t xml:space="preserve">+</m:t>
          </m:r>
          <m:r>
            <w:rPr>
              <w:rFonts w:ascii="Cambria Math" w:hAnsi="Cambria Math"/>
            </w:rPr>
            <m:t xml:space="preserve">Д</m:t>
          </m:r>
          <m:r>
            <w:rPr>
              <w:rFonts w:ascii="Cambria Math" w:hAnsi="Cambria Math"/>
            </w:rPr>
            <m:t xml:space="preserve">i</m:t>
          </m:r>
          <m:r>
            <w:rPr>
              <w:rFonts w:ascii="Cambria Math" w:hAnsi="Cambria Math"/>
            </w:rPr>
            <m:t xml:space="preserve">∗</m:t>
          </m:r>
          <m:r>
            <w:rPr>
              <w:rFonts w:ascii="Cambria Math" w:hAnsi="Cambria Math"/>
            </w:rPr>
            <m:t xml:space="preserve">К</m:t>
          </m:r>
          <m:r>
            <w:rPr>
              <w:rFonts w:ascii="Cambria Math" w:hAnsi="Cambria Math"/>
            </w:rPr>
            <m:t xml:space="preserve">i</m:t>
          </m:r>
          <m:d>
            <m:dPr>
              <m:begChr m:val="("/>
              <m:endChr m:val=")"/>
            </m:dPr>
            <m:e>
              <m:r>
                <w:rPr>
                  <w:rFonts w:ascii="Cambria Math" w:hAnsi="Cambria Math"/>
                </w:rPr>
                <m:t xml:space="preserve">2</m:t>
              </m:r>
            </m:e>
          </m:d>
        </m:oMath>
      </m:oMathPara>
    </w:p>
    <w:p>
      <w:pPr>
        <w:pStyle w:val="ConsPlusNormal1"/>
        <w:widowControl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где</w:t>
      </w:r>
    </w:p>
    <w:p>
      <w:pPr>
        <w:pStyle w:val="Dt-p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highlight w:val="none"/>
          <w:shd w:fill="auto" w:val="clear"/>
        </w:rPr>
      </w:pPr>
      <w:r>
        <w:rPr>
          <w:color w:val="000000"/>
          <w:shd w:fill="auto" w:val="clear"/>
        </w:rPr>
        <w:t>Д1,Д2,Д</w:t>
      </w:r>
      <w:r>
        <w:rPr>
          <w:color w:val="000000"/>
          <w:shd w:fill="auto" w:val="clear"/>
          <w:lang w:val="en-US"/>
        </w:rPr>
        <w:t>i</w:t>
      </w:r>
      <w:r>
        <w:rPr>
          <w:color w:val="000000"/>
          <w:shd w:fill="auto" w:val="clear"/>
        </w:rPr>
        <w:t xml:space="preserve"> - доля сметной стоимости работ, подлежащих выполнению соответственно в 1-й, 2-й, 3-й, i-ый годы строительства;</w:t>
      </w:r>
      <w:bookmarkStart w:id="36" w:name="l170"/>
      <w:bookmarkEnd w:id="36"/>
    </w:p>
    <w:p>
      <w:pPr>
        <w:pStyle w:val="Dt-p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highlight w:val="none"/>
          <w:shd w:fill="auto" w:val="clear"/>
        </w:rPr>
      </w:pPr>
      <w:r>
        <w:rPr>
          <w:color w:val="000000"/>
          <w:shd w:fill="auto" w:val="clear"/>
        </w:rPr>
        <w:t>i - год завершения строительства объекта;</w:t>
      </w:r>
    </w:p>
    <w:p>
      <w:pPr>
        <w:pStyle w:val="Dt-p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highlight w:val="none"/>
          <w:shd w:fill="auto" w:val="clear"/>
        </w:rPr>
      </w:pPr>
      <w:r>
        <w:rPr>
          <w:color w:val="000000"/>
          <w:shd w:fill="auto" w:val="clear"/>
        </w:rPr>
        <w:t>К1 - индекс прогнозной инфляции за первый год строительства объекта, определяемый как среднее арифметическое между индексом прогнозной инфляции на дату начала строительства объекта и индексом прогнозной инфляции на декабрь первого года строительства объекта;</w:t>
      </w:r>
      <w:bookmarkStart w:id="37" w:name="l38"/>
      <w:bookmarkEnd w:id="37"/>
    </w:p>
    <w:p>
      <w:pPr>
        <w:pStyle w:val="Dt-p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highlight w:val="none"/>
          <w:shd w:fill="auto" w:val="clear"/>
        </w:rPr>
      </w:pPr>
      <w:r>
        <w:rPr>
          <w:color w:val="000000"/>
          <w:shd w:fill="auto" w:val="clear"/>
        </w:rPr>
        <w:t>К2 - индекс прогнозной инфляции, учитывающий инфляцию за первый и второй годы строительства объекта. Рассчитывается как произведение индекса прогнозной инфляции, устанавливаемого нарастающим итогом на декабрь первого года строительства объекта, и индекса прогнозной инфляции на второй год строительства объекта, определенного как среднее арифметическое между индексом прогнозной инфляции на январь второго года строительства объекта и индекса прогнозной инфляции на декабрь второго года строительства объекта;</w:t>
      </w:r>
      <w:bookmarkStart w:id="38" w:name="l39"/>
      <w:bookmarkStart w:id="39" w:name="l171"/>
      <w:bookmarkEnd w:id="38"/>
      <w:bookmarkEnd w:id="39"/>
    </w:p>
    <w:p>
      <w:pPr>
        <w:pStyle w:val="ConsPlusNormal1"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К3 - индекс прогнозной инфляции, учитывающий инфляцию за весь период строительства объекта. Указанный индекс рассчитывается как произведение индекса прогнозной инфляции, устанавливаемого нарастающим итогом на декабрь предшествующего года строительства объекта, и индекса прогнозной инфляции на последний год строительства объекта, определенного как среднее арифметическое между индексом прогнозной инфляции на январь последнего года строительства объекта и индексом прогнозной инфляции на дату окончания строительства объекта в последнем году.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</w:t>
      </w:r>
    </w:p>
    <w:p>
      <w:pPr>
        <w:pStyle w:val="ConsPlusNormal1"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При этом:</w:t>
      </w:r>
    </w:p>
    <w:p>
      <w:pPr>
        <w:pStyle w:val="ConsPlusNormal1"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1) если срок выполнения работ указан в целом по договору (дата начала работ – дата окончание работ), применяется единый дефлятор, в соответствии с формулой (1)</w:t>
      </w:r>
    </w:p>
    <w:p>
      <w:pPr>
        <w:pStyle w:val="ConsPlusNormal1"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2) если договором предусмотрен график выполнения работ с разбивкой на этапы (дата начала работ по этапу – дата окончания работ по этапу), дефлятор применяется в соответствии с таким графиком, и рассчитывается на каждый этап, в соответствии с формулой (2).</w:t>
      </w:r>
    </w:p>
    <w:p>
      <w:pPr>
        <w:pStyle w:val="ConsPlusNormal1"/>
        <w:widowControl/>
        <w:spacing w:before="40" w:after="4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При определении стоимости ПИР, затраты проектной организации, расположенной в районах, в которых, в соответствии с действующим законодательством производятся выплаты, обусловленные районным регулированием оплаты труда, в т.ч. выплаты по районным коэффициентам, а также надбавки за непрерывный стаж и других льгот, предусмотренных законодательством в районах Крайнего Севера и приравненных к ним местностям на основании: «Рекомендаций по определению коэффициента к базовым ценам на проектные работы, учитывающего дополнительные затраты организаций на льготные выплаты по заработной плате», одобренных и рекомендованных к применению письмом Госстроя России от 30.06.98 N 9-10-17/40 учитываются путем введения к итогу базовой цены повышающих коэффициентов. Размер примененных коэффициентов, доплат и т.д. указывать с обоснованиями из технической части, вводных указаний сборников или других нормативных документов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Стоимость разработки раздела «Оценка воздействия на окружающую среду» принимается в размере не более 4% от общей стоимости проектных работ.</w:t>
      </w:r>
    </w:p>
    <w:p>
      <w:pPr>
        <w:pStyle w:val="ConsPlusNormal1"/>
        <w:numPr>
          <w:ilvl w:val="0"/>
          <w:numId w:val="8"/>
        </w:numPr>
        <w:tabs>
          <w:tab w:val="clear" w:pos="709"/>
          <w:tab w:val="left" w:pos="1134" w:leader="none"/>
        </w:tabs>
        <w:ind w:firstLine="567" w:lef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В случае отсутствия в сметных нормативах, сведения о которых включены в ФРСН, показателей и нормативов цены проектных работ, стоимость работ по подготовке проектной документации определяется в соответствии с положениями Методики №620, либо по нормативному акту, пришедшему на смену данному документу.</w:t>
      </w:r>
    </w:p>
    <w:p>
      <w:pPr>
        <w:pStyle w:val="ConsPlusNormal1"/>
        <w:numPr>
          <w:ilvl w:val="0"/>
          <w:numId w:val="8"/>
        </w:numPr>
        <w:tabs>
          <w:tab w:val="clear" w:pos="709"/>
          <w:tab w:val="left" w:pos="1134" w:leader="none"/>
        </w:tabs>
        <w:ind w:firstLine="567" w:left="0"/>
        <w:jc w:val="both"/>
        <w:rPr/>
      </w:pPr>
      <w:r>
        <w:rPr>
          <w:rFonts w:ascii="Times New Roman" w:hAnsi="Times New Roman"/>
          <w:sz w:val="24"/>
          <w:szCs w:val="24"/>
          <w:shd w:fill="auto" w:val="clear"/>
        </w:rPr>
        <w:t xml:space="preserve">Стоимость работ, цены на которые отсутствуют в МНЗ и СБЦ, внесенных в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ФРСН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, возможно определять сметным расчетом по себестоимости и сложившемуся уровню рентабельности (форма </w:t>
      </w:r>
      <w:hyperlink r:id="rId19">
        <w:r>
          <w:rPr>
            <w:rStyle w:val="Hyperlink"/>
            <w:rFonts w:ascii="Times New Roman" w:hAnsi="Times New Roman"/>
            <w:sz w:val="24"/>
            <w:szCs w:val="24"/>
            <w:shd w:fill="auto" w:val="clear"/>
          </w:rPr>
          <w:t>3п</w:t>
        </w:r>
      </w:hyperlink>
      <w:r>
        <w:rPr>
          <w:rFonts w:ascii="Times New Roman" w:hAnsi="Times New Roman"/>
          <w:sz w:val="24"/>
          <w:szCs w:val="24"/>
          <w:shd w:fill="auto" w:val="clear"/>
        </w:rPr>
        <w:t>) по согласованию с Заказчиком.</w:t>
      </w:r>
    </w:p>
    <w:p>
      <w:pPr>
        <w:pStyle w:val="ConsPlusNormal1"/>
        <w:numPr>
          <w:ilvl w:val="0"/>
          <w:numId w:val="8"/>
        </w:numPr>
        <w:tabs>
          <w:tab w:val="clear" w:pos="709"/>
          <w:tab w:val="left" w:pos="1134" w:leader="none"/>
        </w:tabs>
        <w:ind w:firstLine="567" w:lef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Стоимость проведения государственной экспертизы проектных работ определяется согласно Постановлению Правительства РФ от 5 марта 2007 г. № 145 «О порядке организации и проведения государственной экспертизы проектной документации и результатов инженерных изысканий».</w:t>
      </w:r>
    </w:p>
    <w:p>
      <w:pPr>
        <w:pStyle w:val="ConsPlusNormal1"/>
        <w:widowControl/>
        <w:numPr>
          <w:ilvl w:val="0"/>
          <w:numId w:val="8"/>
        </w:numPr>
        <w:tabs>
          <w:tab w:val="clear" w:pos="709"/>
          <w:tab w:val="left" w:pos="1134" w:leader="none"/>
        </w:tabs>
        <w:ind w:firstLine="567" w:lef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Сметы на ПИР предоставляются в форматах: «Excel» и «</w:t>
      </w:r>
      <w:r>
        <w:rPr>
          <w:rFonts w:cs="Times New Roman" w:ascii="Times New Roman" w:hAnsi="Times New Roman"/>
          <w:sz w:val="24"/>
          <w:szCs w:val="24"/>
          <w:shd w:fill="auto" w:val="clear"/>
          <w:lang w:val="en-US"/>
        </w:rPr>
        <w:t>pdf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» (с подписями и печатью). Сметная документация в формате «Exce</w:t>
      </w:r>
      <w:r>
        <w:rPr>
          <w:rFonts w:cs="Times New Roman" w:ascii="Times New Roman" w:hAnsi="Times New Roman"/>
          <w:sz w:val="24"/>
          <w:szCs w:val="24"/>
          <w:shd w:fill="auto" w:val="clear"/>
          <w:lang w:val="en-US"/>
        </w:rPr>
        <w:t>l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» должна быть представлена в одном файле с внесением ССРСС, ЛСР и других расчетов на отдельные листы (вкладки) документа.</w:t>
      </w:r>
    </w:p>
    <w:p>
      <w:pPr>
        <w:pStyle w:val="ConsPlusNormal1"/>
        <w:numPr>
          <w:ilvl w:val="0"/>
          <w:numId w:val="8"/>
        </w:numPr>
        <w:tabs>
          <w:tab w:val="clear" w:pos="709"/>
          <w:tab w:val="left" w:pos="1134" w:leader="none"/>
        </w:tabs>
        <w:ind w:firstLine="567" w:lef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Результаты вычислений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(построчные) 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и итоговые данные в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ЛСР (ЛС), приводятся в рублях,</w:t>
      </w:r>
    </w:p>
    <w:p>
      <w:pPr>
        <w:pStyle w:val="ConsPlusNormal1"/>
        <w:numPr>
          <w:ilvl w:val="0"/>
          <w:numId w:val="9"/>
        </w:numPr>
        <w:tabs>
          <w:tab w:val="clear" w:pos="709"/>
          <w:tab w:val="left" w:pos="567" w:leader="none"/>
          <w:tab w:val="left" w:pos="1134" w:leader="none"/>
        </w:tabs>
        <w:ind w:firstLine="567" w:lef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при базисно-индексном методе, с округлением до двух знаков после запятой (до копеек);</w:t>
      </w:r>
    </w:p>
    <w:p>
      <w:pPr>
        <w:pStyle w:val="ConsPlusNormal1"/>
        <w:numPr>
          <w:ilvl w:val="0"/>
          <w:numId w:val="9"/>
        </w:numPr>
        <w:tabs>
          <w:tab w:val="clear" w:pos="709"/>
          <w:tab w:val="left" w:pos="567" w:leader="none"/>
          <w:tab w:val="left" w:pos="1134" w:leader="none"/>
        </w:tabs>
        <w:ind w:firstLine="567" w:lef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при ресурсно-индексном и ресурсным методах, а также сметных расчетах на отдельные виды затрат - с округлением до целых единиц;</w:t>
      </w:r>
    </w:p>
    <w:p>
      <w:pPr>
        <w:pStyle w:val="ConsPlusNormal1"/>
        <w:numPr>
          <w:ilvl w:val="0"/>
          <w:numId w:val="9"/>
        </w:numPr>
        <w:tabs>
          <w:tab w:val="clear" w:pos="709"/>
          <w:tab w:val="left" w:pos="567" w:leader="none"/>
          <w:tab w:val="left" w:pos="1134" w:leader="none"/>
        </w:tabs>
        <w:ind w:firstLine="567" w:lef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в сводной смете - в рублях с округлением до целых единиц. </w:t>
      </w:r>
    </w:p>
    <w:p>
      <w:pPr>
        <w:pStyle w:val="ConsPlusNormal1"/>
        <w:numPr>
          <w:ilvl w:val="0"/>
          <w:numId w:val="8"/>
        </w:numPr>
        <w:tabs>
          <w:tab w:val="clear" w:pos="709"/>
          <w:tab w:val="left" w:pos="1134" w:leader="none"/>
        </w:tabs>
        <w:ind w:firstLine="567" w:left="0"/>
        <w:jc w:val="both"/>
        <w:rPr>
          <w:highlight w:val="none"/>
          <w:shd w:fill="auto" w:val="clear"/>
        </w:rPr>
      </w:pPr>
      <w:r>
        <w:rPr>
          <w:rFonts w:eastAsia="Geneva" w:cs="" w:ascii="Times New Roman" w:hAnsi="Times New Roman" w:cstheme="minorBidi"/>
          <w:sz w:val="24"/>
          <w:szCs w:val="24"/>
          <w:shd w:fill="auto" w:val="clear"/>
          <w:lang w:eastAsia="en-US"/>
        </w:rPr>
        <w:t xml:space="preserve">Командировочные расходы, учтенные в смете, подтверждаются отдельным расчетом. Лимиты командировочных расходов при производстве ПИР 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  <w:shd w:fill="auto" w:val="clear"/>
        </w:rPr>
        <w:t>не более</w:t>
      </w:r>
      <w:r>
        <w:rPr>
          <w:rFonts w:eastAsia="Geneva" w:cs="" w:ascii="Times New Roman" w:hAnsi="Times New Roman" w:cstheme="minorBidi"/>
          <w:sz w:val="24"/>
          <w:szCs w:val="24"/>
          <w:shd w:fill="auto" w:val="clear"/>
          <w:lang w:eastAsia="en-US"/>
        </w:rPr>
        <w:t>:</w:t>
      </w:r>
    </w:p>
    <w:p>
      <w:pPr>
        <w:pStyle w:val="ListParagraph"/>
        <w:tabs>
          <w:tab w:val="clear" w:pos="709"/>
          <w:tab w:val="left" w:pos="851" w:leader="none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eastAsia="Geneva" w:ascii="Times New Roman" w:hAnsi="Times New Roman"/>
          <w:sz w:val="24"/>
          <w:szCs w:val="24"/>
          <w:shd w:fill="auto" w:val="clear"/>
        </w:rPr>
        <w:t>суточные - 700 руб./сутки;</w:t>
      </w:r>
    </w:p>
    <w:p>
      <w:pPr>
        <w:pStyle w:val="ListParagraph"/>
        <w:tabs>
          <w:tab w:val="clear" w:pos="709"/>
          <w:tab w:val="left" w:pos="851" w:leader="none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eastAsia="Geneva" w:ascii="Times New Roman" w:hAnsi="Times New Roman"/>
          <w:sz w:val="24"/>
          <w:szCs w:val="24"/>
          <w:shd w:fill="auto" w:val="clear"/>
        </w:rPr>
        <w:t>проживание – 5000 руб./сутки;</w:t>
      </w:r>
    </w:p>
    <w:p>
      <w:pPr>
        <w:pStyle w:val="ListParagraph"/>
        <w:tabs>
          <w:tab w:val="clear" w:pos="709"/>
          <w:tab w:val="left" w:pos="851" w:leader="none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eastAsia="Geneva" w:ascii="Times New Roman" w:hAnsi="Times New Roman"/>
          <w:sz w:val="24"/>
          <w:szCs w:val="24"/>
          <w:shd w:fill="auto" w:val="clear"/>
        </w:rPr>
        <w:t>проезд: поезд (купе) или самолет (класс–эконом с багажом до 20 (двадцати) кг, ручная кладь до 10 (десяти) кг).</w:t>
      </w:r>
    </w:p>
    <w:p>
      <w:pPr>
        <w:pStyle w:val="ConsPlusNormal1"/>
        <w:numPr>
          <w:ilvl w:val="0"/>
          <w:numId w:val="8"/>
        </w:numPr>
        <w:tabs>
          <w:tab w:val="clear" w:pos="709"/>
          <w:tab w:val="left" w:pos="1134" w:leader="none"/>
        </w:tabs>
        <w:ind w:firstLine="567" w:lef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При одновременной разработке проектной и полной или частичной разработке рабочей документации, суммарный процент базовой цены определяется по согласованию между Заказчиком и Подрядчиком в зависимости от архитектурных, функционально-технологических, конструктивных и инженерно-технических решений, содержащихся в проектной документации и степени их детализации.</w:t>
      </w:r>
    </w:p>
    <w:p>
      <w:pPr>
        <w:sectPr>
          <w:footerReference w:type="default" r:id="rId20"/>
          <w:footerReference w:type="first" r:id="rId21"/>
          <w:type w:val="nextPage"/>
          <w:pgSz w:w="11906" w:h="16838"/>
          <w:pgMar w:left="1134" w:right="709" w:gutter="0" w:header="0" w:top="709" w:footer="709" w:bottom="766"/>
          <w:pgNumType w:fmt="decimal"/>
          <w:formProt w:val="false"/>
          <w:textDirection w:val="lrTb"/>
          <w:docGrid w:type="default" w:linePitch="360" w:charSpace="0"/>
        </w:sectPr>
        <w:pStyle w:val="ConsPlusNormal1"/>
        <w:numPr>
          <w:ilvl w:val="0"/>
          <w:numId w:val="8"/>
        </w:numPr>
        <w:tabs>
          <w:tab w:val="clear" w:pos="709"/>
          <w:tab w:val="left" w:pos="1134" w:leader="none"/>
        </w:tabs>
        <w:ind w:firstLine="567" w:lef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Выполнение обследований и обмерных работ на объектах, подлежащих реконструкции, расширению и техническому перевооружению рассчитывается по соответствующим Справочникам и относится в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главу 1 ССРСС.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Стоимость данных работ не включается в расчет стоимости проведения государственной экспертизы.</w:t>
      </w:r>
    </w:p>
    <w:p>
      <w:pPr>
        <w:pStyle w:val="Normal"/>
        <w:spacing w:lineRule="auto" w:line="240" w:before="0" w:after="0"/>
        <w:ind w:hanging="0" w:left="5811"/>
        <w:rPr>
          <w:highlight w:val="none"/>
          <w:shd w:fill="auto" w:val="clear"/>
        </w:rPr>
      </w:pPr>
      <w:r>
        <w:rPr>
          <w:rFonts w:ascii="Times New Roman" w:hAnsi="Times New Roman"/>
          <w:sz w:val="20"/>
          <w:shd w:fill="auto" w:val="clear"/>
        </w:rPr>
        <w:t>Приложение № 1</w:t>
      </w:r>
    </w:p>
    <w:p>
      <w:pPr>
        <w:pStyle w:val="Normal"/>
        <w:spacing w:lineRule="auto" w:line="240" w:before="0" w:after="0"/>
        <w:ind w:hanging="0" w:left="5811"/>
        <w:rPr>
          <w:highlight w:val="none"/>
          <w:shd w:fill="auto" w:val="clear"/>
        </w:rPr>
      </w:pPr>
      <w:r>
        <w:rPr>
          <w:rFonts w:ascii="Times New Roman" w:hAnsi="Times New Roman"/>
          <w:sz w:val="20"/>
          <w:shd w:fill="auto" w:val="clear"/>
        </w:rPr>
        <w:t>к Требованиям к оформлению и составлению сметной документации на выполнение проектных и изыскательских работ</w:t>
      </w:r>
    </w:p>
    <w:p>
      <w:pPr>
        <w:pStyle w:val="Normal"/>
        <w:spacing w:lineRule="auto" w:line="240" w:before="0" w:after="0"/>
        <w:ind w:hanging="0" w:left="5811"/>
        <w:rPr>
          <w:rFonts w:ascii="Times New Roman" w:hAnsi="Times New Roman"/>
          <w:sz w:val="20"/>
          <w:highlight w:val="none"/>
          <w:shd w:fill="auto" w:val="clear"/>
        </w:rPr>
      </w:pPr>
      <w:r>
        <w:rPr>
          <w:rFonts w:ascii="Times New Roman" w:hAnsi="Times New Roman"/>
          <w:sz w:val="20"/>
          <w:shd w:fill="auto" w:val="clear"/>
        </w:rPr>
      </w:r>
    </w:p>
    <w:p>
      <w:pPr>
        <w:pStyle w:val="Normal"/>
        <w:spacing w:lineRule="auto" w:line="240" w:before="0" w:after="0"/>
        <w:ind w:hanging="0" w:left="5811"/>
        <w:jc w:val="center"/>
        <w:rPr>
          <w:rFonts w:ascii="Times New Roman" w:hAnsi="Times New Roman"/>
          <w:sz w:val="20"/>
          <w:highlight w:val="none"/>
          <w:shd w:fill="auto" w:val="clear"/>
        </w:rPr>
      </w:pPr>
      <w:r>
        <w:rPr>
          <w:rFonts w:ascii="Times New Roman" w:hAnsi="Times New Roman"/>
          <w:sz w:val="20"/>
          <w:shd w:fill="auto" w:val="clear"/>
        </w:rPr>
      </w:r>
    </w:p>
    <w:p>
      <w:pPr>
        <w:pStyle w:val="Normal"/>
        <w:spacing w:lineRule="auto" w:line="240" w:before="0" w:after="0"/>
        <w:ind w:hanging="0" w:left="5811"/>
        <w:rPr>
          <w:rFonts w:ascii="Times New Roman" w:hAnsi="Times New Roman"/>
          <w:sz w:val="20"/>
          <w:highlight w:val="none"/>
          <w:shd w:fill="auto" w:val="clear"/>
        </w:rPr>
      </w:pPr>
      <w:r>
        <w:rPr>
          <w:rFonts w:ascii="Times New Roman" w:hAnsi="Times New Roman"/>
          <w:sz w:val="20"/>
          <w:shd w:fill="auto" w:val="clear"/>
        </w:rPr>
      </w:r>
    </w:p>
    <w:p>
      <w:pPr>
        <w:pStyle w:val="Normal"/>
        <w:spacing w:lineRule="auto" w:line="240" w:before="0" w:after="0"/>
        <w:ind w:hanging="0" w:left="5811"/>
        <w:rPr>
          <w:rFonts w:ascii="Times New Roman" w:hAnsi="Times New Roman"/>
          <w:sz w:val="20"/>
          <w:highlight w:val="none"/>
          <w:shd w:fill="auto" w:val="clear"/>
        </w:rPr>
      </w:pPr>
      <w:r>
        <w:rPr>
          <w:rFonts w:ascii="Times New Roman" w:hAnsi="Times New Roman"/>
          <w:sz w:val="20"/>
          <w:shd w:fill="auto" w:val="clear"/>
        </w:rPr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color w:val="000000"/>
          <w:sz w:val="24"/>
          <w:szCs w:val="24"/>
          <w:shd w:fill="auto" w:val="clear"/>
        </w:rPr>
        <w:t xml:space="preserve">ПОЯСНИТЕЛЬНАЯ ЗАПИСКА 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color w:val="000000"/>
          <w:sz w:val="24"/>
          <w:szCs w:val="24"/>
          <w:shd w:fill="auto" w:val="clear"/>
        </w:rPr>
        <w:t>по заполнению формы №3п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color w:val="000000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shd w:fill="auto" w:val="clear"/>
        </w:rPr>
        <w:t>при составлении смет на ПИР.</w:t>
      </w:r>
    </w:p>
    <w:p>
      <w:pPr>
        <w:pStyle w:val="Normal"/>
        <w:spacing w:lineRule="auto" w:line="240" w:before="0" w:after="0"/>
        <w:ind w:hanging="0" w:left="5811"/>
        <w:rPr>
          <w:rFonts w:ascii="Times New Roman" w:hAnsi="Times New Roman"/>
          <w:b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b/>
          <w:sz w:val="24"/>
          <w:szCs w:val="24"/>
          <w:shd w:fill="auto" w:val="clear"/>
        </w:rPr>
      </w:r>
    </w:p>
    <w:p>
      <w:pPr>
        <w:pStyle w:val="ListParagraph"/>
        <w:numPr>
          <w:ilvl w:val="0"/>
          <w:numId w:val="7"/>
        </w:numPr>
        <w:tabs>
          <w:tab w:val="clear" w:pos="709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bookmarkStart w:id="40" w:name="RANGE!A1%252525252525252525253AD25"/>
      <w:bookmarkEnd w:id="40"/>
      <w:r>
        <w:rPr>
          <w:rFonts w:ascii="Times New Roman" w:hAnsi="Times New Roman"/>
          <w:color w:val="000000"/>
          <w:sz w:val="24"/>
          <w:szCs w:val="24"/>
          <w:shd w:fill="auto" w:val="clear"/>
        </w:rPr>
        <w:t>При составлении калькуляции затрат (форма №3п), разработанным организацией, выполняющей ПИР, Заказчику предоставляется обоснование расчета. Сметные расчеты составляются в ценах текущего периода.</w:t>
      </w:r>
    </w:p>
    <w:p>
      <w:pPr>
        <w:pStyle w:val="ListParagraph"/>
        <w:numPr>
          <w:ilvl w:val="0"/>
          <w:numId w:val="7"/>
        </w:numPr>
        <w:tabs>
          <w:tab w:val="clear" w:pos="709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Калькуляцией затрат (форма №3п) рекомендуется определять стоимость работ, цены на которые отсутствуют в МНЗ и СБЦ, внесенных в ФРСН.</w:t>
      </w:r>
    </w:p>
    <w:p>
      <w:pPr>
        <w:pStyle w:val="ListParagraph"/>
        <w:numPr>
          <w:ilvl w:val="0"/>
          <w:numId w:val="7"/>
        </w:numPr>
        <w:tabs>
          <w:tab w:val="clear" w:pos="709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Стоимость работ и расходов в соответствии с калькуляцией затрат определяется согласно положениям Методики №707 с учетом следующего:</w:t>
      </w:r>
    </w:p>
    <w:p>
      <w:pPr>
        <w:pStyle w:val="ConsPlusNormal1"/>
        <w:numPr>
          <w:ilvl w:val="1"/>
          <w:numId w:val="7"/>
        </w:numPr>
        <w:tabs>
          <w:tab w:val="clear" w:pos="709"/>
          <w:tab w:val="left" w:pos="1134" w:leader="none"/>
        </w:tabs>
        <w:ind w:firstLine="567" w:lef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Стоимость проектных работ и расходов (</w:t>
      </w:r>
      <w:r>
        <w:rPr/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Спр</m:t>
        </m:r>
      </m:oMath>
      <w:r>
        <w:rPr>
          <w:rFonts w:cs="Times New Roman" w:ascii="Times New Roman" w:hAnsi="Times New Roman"/>
          <w:sz w:val="24"/>
          <w:szCs w:val="24"/>
          <w:shd w:fill="auto" w:val="clear"/>
        </w:rPr>
        <w:t>) в соответствии с калькуляцией затрат определяется по формуле:</w:t>
      </w:r>
    </w:p>
    <w:p>
      <w:pPr>
        <w:pStyle w:val="ConsPlusNormal1"/>
        <w:tabs>
          <w:tab w:val="clear" w:pos="709"/>
          <w:tab w:val="left" w:pos="0" w:leader="none"/>
          <w:tab w:val="left" w:pos="1134" w:leader="none"/>
        </w:tabs>
        <w:ind w:hanging="0"/>
        <w:jc w:val="center"/>
        <w:rPr>
          <w:highlight w:val="none"/>
          <w:shd w:fill="auto" w:val="clear"/>
        </w:rPr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С</m:t>
            </m:r>
          </m:e>
          <m:sub>
            <m:r>
              <w:rPr>
                <w:rFonts w:ascii="Cambria Math" w:hAnsi="Cambria Math"/>
              </w:rPr>
              <m:t xml:space="preserve">пр</m:t>
            </m:r>
          </m:sub>
        </m:sSub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В</m:t>
            </m:r>
          </m:e>
          <m:sub>
            <m:r>
              <w:rPr>
                <w:rFonts w:ascii="Cambria Math" w:hAnsi="Cambria Math"/>
              </w:rPr>
              <m:t xml:space="preserve">ср</m:t>
            </m:r>
          </m:sub>
        </m:sSub>
        <m:r>
          <w:rPr>
            <w:rFonts w:ascii="Cambria Math" w:hAnsi="Cambria Math"/>
          </w:rPr>
          <m:t xml:space="preserve">×</m:t>
        </m:r>
        <m:sSub>
          <m:e>
            <m:r>
              <w:rPr>
                <w:rFonts w:ascii="Cambria Math" w:hAnsi="Cambria Math"/>
              </w:rPr>
              <m:t xml:space="preserve">Т</m:t>
            </m:r>
          </m:e>
          <m:sub>
            <m:r>
              <w:rPr>
                <w:rFonts w:ascii="Cambria Math" w:hAnsi="Cambria Math"/>
              </w:rPr>
              <m:t xml:space="preserve">п</m:t>
            </m:r>
          </m:sub>
        </m:sSub>
        <m:r>
          <w:rPr>
            <w:rFonts w:ascii="Cambria Math" w:hAnsi="Cambria Math"/>
          </w:rPr>
          <m:t xml:space="preserve">×</m:t>
        </m:r>
        <m:sSub>
          <m:e>
            <m:r>
              <w:rPr>
                <w:rFonts w:ascii="Cambria Math" w:hAnsi="Cambria Math"/>
              </w:rPr>
              <m:t xml:space="preserve">Ч</m:t>
            </m:r>
          </m:e>
          <m:sub>
            <m:r>
              <w:rPr>
                <w:rFonts w:ascii="Cambria Math" w:hAnsi="Cambria Math"/>
              </w:rPr>
              <m:t xml:space="preserve">общ</m:t>
            </m:r>
          </m:sub>
        </m:sSub>
        <m:r>
          <w:rPr>
            <w:rFonts w:ascii="Cambria Math" w:hAnsi="Cambria Math"/>
          </w:rPr>
          <m:t xml:space="preserve">×</m:t>
        </m:r>
        <m:sSub>
          <m:e>
            <m:r>
              <w:rPr>
                <w:rFonts w:ascii="Cambria Math" w:hAnsi="Cambria Math"/>
              </w:rPr>
              <m:t xml:space="preserve">К</m:t>
            </m:r>
          </m:e>
          <m:sub>
            <m:r>
              <w:rPr>
                <w:rFonts w:ascii="Cambria Math" w:hAnsi="Cambria Math"/>
              </w:rPr>
              <m:t xml:space="preserve">кв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уч</m:t>
            </m:r>
          </m:sub>
        </m:sSub>
      </m:oMath>
      <w:r>
        <w:rPr>
          <w:shd w:fill="auto" w:val="clear"/>
        </w:rPr>
        <w:t>х</w:t>
      </w:r>
      <w:r>
        <w:rPr>
          <w:i/>
          <w:iCs/>
          <w:sz w:val="22"/>
          <w:szCs w:val="22"/>
          <w:shd w:fill="auto" w:val="clear"/>
        </w:rPr>
        <w:t>И</w:t>
      </w:r>
      <w:r>
        <w:rPr>
          <w:i/>
          <w:iCs/>
          <w:sz w:val="22"/>
          <w:szCs w:val="22"/>
          <w:shd w:fill="auto" w:val="clear"/>
          <w:vertAlign w:val="subscript"/>
        </w:rPr>
        <w:t>инф</w:t>
      </w:r>
    </w:p>
    <w:p>
      <w:pPr>
        <w:pStyle w:val="ConsPlusNormal1"/>
        <w:tabs>
          <w:tab w:val="clear" w:pos="709"/>
          <w:tab w:val="left" w:pos="1134" w:leader="none"/>
        </w:tabs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где:</w:t>
      </w:r>
    </w:p>
    <w:p>
      <w:pPr>
        <w:pStyle w:val="ConsPlusNormal1"/>
        <w:tabs>
          <w:tab w:val="clear" w:pos="709"/>
          <w:tab w:val="left" w:pos="1134" w:leader="none"/>
        </w:tabs>
        <w:ind w:firstLine="567"/>
        <w:jc w:val="both"/>
        <w:rPr>
          <w:highlight w:val="none"/>
          <w:shd w:fill="auto" w:val="clear"/>
        </w:rPr>
      </w:pPr>
      <w:r>
        <w:rPr/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Спр</m:t>
        </m:r>
      </m:oMath>
      <w:r>
        <w:rPr>
          <w:rFonts w:cs="Times New Roman" w:ascii="Times New Roman" w:hAnsi="Times New Roman"/>
          <w:sz w:val="24"/>
          <w:szCs w:val="24"/>
          <w:shd w:fill="auto" w:val="clear"/>
          <w:vertAlign w:val="subscript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- стоимость проектных работ, определенная в соответствии с калькуляцией затрат, рублей;</w:t>
      </w:r>
    </w:p>
    <w:p>
      <w:pPr>
        <w:pStyle w:val="ConsPlusNormal1"/>
        <w:tabs>
          <w:tab w:val="clear" w:pos="709"/>
          <w:tab w:val="left" w:pos="1134" w:leader="none"/>
        </w:tabs>
        <w:ind w:firstLine="567"/>
        <w:jc w:val="both"/>
        <w:rPr>
          <w:highlight w:val="none"/>
          <w:shd w:fill="auto" w:val="clear"/>
        </w:rPr>
      </w:pPr>
      <w:r>
        <w:rPr/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Вср</m:t>
        </m:r>
      </m:oMath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- среднедневная выработка одного непосредственного исполнителя, рублей;</w:t>
      </w:r>
    </w:p>
    <w:p>
      <w:pPr>
        <w:pStyle w:val="ConsPlusNormal1"/>
        <w:tabs>
          <w:tab w:val="clear" w:pos="709"/>
          <w:tab w:val="left" w:pos="1134" w:leader="none"/>
        </w:tabs>
        <w:ind w:firstLine="567"/>
        <w:jc w:val="both"/>
        <w:rPr>
          <w:highlight w:val="none"/>
          <w:shd w:fill="auto" w:val="clear"/>
        </w:rPr>
      </w:pPr>
      <w:r>
        <w:rPr/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Тп</m:t>
        </m:r>
      </m:oMath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- плановая продолжительность выполнения проектных работ, предусмотренных калькуляцией затрат, дни;</w:t>
      </w:r>
    </w:p>
    <w:p>
      <w:pPr>
        <w:pStyle w:val="ConsPlusNormal1"/>
        <w:tabs>
          <w:tab w:val="clear" w:pos="709"/>
          <w:tab w:val="left" w:pos="1134" w:leader="none"/>
        </w:tabs>
        <w:ind w:firstLine="567"/>
        <w:jc w:val="both"/>
        <w:rPr>
          <w:highlight w:val="none"/>
          <w:shd w:fill="auto" w:val="clear"/>
        </w:rPr>
      </w:pPr>
      <w:r>
        <w:rPr/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Чобщ</m:t>
        </m:r>
      </m:oMath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- общая численность непосредственных исполнителей-проектировщиков, занятых в выполнении проектных работ, предусмотренных калькуляцией затрат, чел.;</w:t>
      </w:r>
    </w:p>
    <w:p>
      <w:pPr>
        <w:pStyle w:val="ConsPlusNormal1"/>
        <w:tabs>
          <w:tab w:val="clear" w:pos="709"/>
          <w:tab w:val="left" w:pos="1134" w:leader="none"/>
        </w:tabs>
        <w:ind w:firstLine="567"/>
        <w:jc w:val="both"/>
        <w:rPr>
          <w:highlight w:val="none"/>
          <w:shd w:fill="auto" w:val="clear"/>
        </w:rPr>
      </w:pPr>
      <w:r>
        <w:rPr/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Ккв-уч</m:t>
        </m:r>
      </m:oMath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- корректирующий коэффициент, учитывающий степень участия исполнителей различной квалификации в выполнении проектных работ, предусмотренных калькуляцией затрат (далее - коэффициент квалификации-участия);</w:t>
      </w:r>
    </w:p>
    <w:p>
      <w:pPr>
        <w:pStyle w:val="ConsPlusNormal1"/>
        <w:widowControl/>
        <w:spacing w:before="40" w:after="40"/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Иинф – индекс инфляции, рассчитываемый как среднее арифметическое значение между индексами прогнозной инфляции на даты начала и окончания работ. При расчете индекса прогнозной инфляции определение периода выполнения работ осуществляется исходя из продолжительности, установленной заказчиком в задании на выполнение проектных и изыскательских работ.</w:t>
      </w:r>
    </w:p>
    <w:p>
      <w:pPr>
        <w:pStyle w:val="ConsPlusNormal1"/>
        <w:numPr>
          <w:ilvl w:val="1"/>
          <w:numId w:val="7"/>
        </w:numPr>
        <w:tabs>
          <w:tab w:val="clear" w:pos="709"/>
          <w:tab w:val="left" w:pos="1134" w:leader="none"/>
        </w:tabs>
        <w:ind w:firstLine="567" w:lef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среднедневная выработка (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В</m:t>
        </m:r>
        <m:r>
          <m:rPr>
            <m:lit/>
            <m:nor/>
          </m:rPr>
          <w:rPr>
            <w:rFonts w:ascii="Cambria Math" w:hAnsi="Cambria Math"/>
          </w:rPr>
          <m:t xml:space="preserve">ср</m:t>
        </m:r>
      </m:oMath>
      <w:r>
        <w:rPr>
          <w:rFonts w:cs="Times New Roman" w:ascii="Times New Roman" w:hAnsi="Times New Roman"/>
          <w:sz w:val="24"/>
          <w:szCs w:val="24"/>
          <w:shd w:fill="auto" w:val="clear"/>
        </w:rPr>
        <w:t>) определяется по формуле:</w:t>
      </w:r>
    </w:p>
    <w:p>
      <w:pPr>
        <w:pStyle w:val="ConsPlusNormal1"/>
        <w:tabs>
          <w:tab w:val="clear" w:pos="709"/>
          <w:tab w:val="left" w:pos="1134" w:leader="none"/>
        </w:tabs>
        <w:ind w:hanging="0"/>
        <w:jc w:val="both"/>
        <w:rPr>
          <w:rFonts w:ascii="Times New Roman" w:hAnsi="Times New Roman" w:cs="Times New Roman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</w:r>
    </w:p>
    <w:p>
      <w:pPr>
        <w:pStyle w:val="ConsPlusNormal1"/>
        <w:tabs>
          <w:tab w:val="clear" w:pos="709"/>
          <w:tab w:val="left" w:pos="0" w:leader="none"/>
          <w:tab w:val="left" w:pos="1134" w:leader="none"/>
        </w:tabs>
        <w:ind w:hanging="0"/>
        <w:jc w:val="center"/>
        <w:rPr>
          <w:highlight w:val="none"/>
          <w:shd w:fill="auto" w:val="clear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В</m:t>
              </m:r>
            </m:e>
            <m:sub>
              <m:r>
                <w:rPr>
                  <w:rFonts w:ascii="Cambria Math" w:hAnsi="Cambria Math"/>
                </w:rPr>
                <m:t xml:space="preserve">ср</m:t>
              </m:r>
            </m:sub>
          </m:sSub>
          <m:r>
            <w:rPr>
              <w:rFonts w:ascii="Cambria Math" w:hAnsi="Cambria Math"/>
            </w:rPr>
            <m:t xml:space="preserve">=</m:t>
          </m:r>
          <m:f>
            <m:num>
              <m:sSub>
                <m:e>
                  <m:r>
                    <w:rPr>
                      <w:rFonts w:ascii="Cambria Math" w:hAnsi="Cambria Math"/>
                    </w:rPr>
                    <m:t xml:space="preserve">ЗП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ср</m:t>
                  </m:r>
                </m:sub>
              </m:sSub>
              <m:r>
                <w:rPr>
                  <w:rFonts w:ascii="Cambria Math" w:hAnsi="Cambria Math"/>
                </w:rPr>
                <m:t xml:space="preserve">×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1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Р</m:t>
                  </m:r>
                </m:e>
              </m:d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К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з</m:t>
                  </m:r>
                </m:sub>
              </m:sSub>
            </m:den>
          </m:f>
        </m:oMath>
      </m:oMathPara>
    </w:p>
    <w:p>
      <w:pPr>
        <w:pStyle w:val="ConsPlusNormal1"/>
        <w:tabs>
          <w:tab w:val="clear" w:pos="709"/>
          <w:tab w:val="left" w:pos="1134" w:leader="none"/>
        </w:tabs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где:</w:t>
      </w:r>
    </w:p>
    <w:p>
      <w:pPr>
        <w:pStyle w:val="ConsPlusNormal1"/>
        <w:tabs>
          <w:tab w:val="clear" w:pos="709"/>
          <w:tab w:val="left" w:pos="1134" w:leader="none"/>
        </w:tabs>
        <w:ind w:firstLine="567"/>
        <w:jc w:val="both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Р</m:t>
        </m:r>
      </m:oMath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- коэффициент уровня рентабельности (сметной прибыли), принимается Р = 0,1 (1%) согласно </w:t>
      </w:r>
      <w:hyperlink w:anchor="P1643">
        <w:r>
          <w:rPr>
            <w:rStyle w:val="Hyperlink"/>
            <w:rFonts w:cs="Times New Roman" w:ascii="Times New Roman" w:hAnsi="Times New Roman"/>
            <w:sz w:val="24"/>
            <w:szCs w:val="24"/>
            <w:shd w:fill="auto" w:val="clear"/>
          </w:rPr>
          <w:t>таблице 1.2</w:t>
        </w:r>
      </w:hyperlink>
      <w:r>
        <w:rPr>
          <w:rFonts w:cs="Times New Roman" w:ascii="Times New Roman" w:hAnsi="Times New Roman"/>
          <w:sz w:val="24"/>
          <w:szCs w:val="24"/>
          <w:shd w:fill="auto" w:val="clear"/>
        </w:rPr>
        <w:t>, приведенной в приложении N 2 к Методике №707;</w:t>
      </w:r>
    </w:p>
    <w:p>
      <w:pPr>
        <w:pStyle w:val="ConsPlusNormal1"/>
        <w:tabs>
          <w:tab w:val="clear" w:pos="709"/>
          <w:tab w:val="left" w:pos="1134" w:leader="none"/>
        </w:tabs>
        <w:ind w:firstLine="567"/>
        <w:jc w:val="both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ЗП</m:t>
        </m:r>
        <m:r>
          <m:rPr>
            <m:lit/>
            <m:nor/>
          </m:rPr>
          <w:rPr>
            <w:rFonts w:ascii="Cambria Math" w:hAnsi="Cambria Math"/>
          </w:rPr>
          <m:t xml:space="preserve">ср</m:t>
        </m:r>
      </m:oMath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- среднедневная заработная плата, тыс. руб. Принимается по данным Росстата о среднемесячной номинальной начисленной заработной плате работающих в экономике, по видам экономической деятельности в Российской Федерации для деятельности в области архитектуры (</w:t>
      </w:r>
      <w:hyperlink r:id="rId22">
        <w:r>
          <w:rPr>
            <w:rStyle w:val="Hyperlink"/>
            <w:rFonts w:cs="Times New Roman" w:ascii="Times New Roman" w:hAnsi="Times New Roman"/>
            <w:sz w:val="24"/>
            <w:szCs w:val="24"/>
            <w:shd w:fill="auto" w:val="clear"/>
          </w:rPr>
          <w:t>код 71.11</w:t>
        </w:r>
      </w:hyperlink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согласно ОК 029-2014 (КДЕС ред. 2) "Общероссийский классификатор видов экономической деятельности" (далее - Общероссийский классификатор) за год, предшествующий году определения сметной стоимости объекта проектирования (среднее значение за период январь - декабрь), исходя из усредненного на основании производственного календаря количества рабочих дней в месяце для года, предшествующего году определения сметной стоимости проектных работ и с учетом Классификатора объектов административно-территориального деления (ОКАТО) Проектной организации. Для работ по проектированию объектов, являющихся особо опасными, технически сложными, уникальными объектами согласно </w:t>
      </w:r>
      <w:hyperlink r:id="rId23">
        <w:r>
          <w:rPr>
            <w:rStyle w:val="Hyperlink"/>
            <w:rFonts w:cs="Times New Roman" w:ascii="Times New Roman" w:hAnsi="Times New Roman"/>
            <w:sz w:val="24"/>
            <w:szCs w:val="24"/>
            <w:shd w:fill="auto" w:val="clear"/>
          </w:rPr>
          <w:t>статье 48.1</w:t>
        </w:r>
      </w:hyperlink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Градостроительного кодекса Российской Федерации, а также для работ по подготовке проектной документации, содержащей материалы в форме информационной модели, среднемесячная заработная плата принимается для деятельности в области инженерно-технического проектирования (</w:t>
      </w:r>
      <w:hyperlink r:id="rId24">
        <w:r>
          <w:rPr>
            <w:rStyle w:val="Hyperlink"/>
            <w:rFonts w:cs="Times New Roman" w:ascii="Times New Roman" w:hAnsi="Times New Roman"/>
            <w:sz w:val="24"/>
            <w:szCs w:val="24"/>
            <w:shd w:fill="auto" w:val="clear"/>
          </w:rPr>
          <w:t>код 71.12</w:t>
        </w:r>
      </w:hyperlink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согласно ОК 029-2014 (КДЕС ред. 2) Общероссийского классификатора)</w:t>
      </w:r>
      <w:r>
        <w:rPr>
          <w:rStyle w:val="FootnoteReference"/>
          <w:rFonts w:cs="Times New Roman" w:ascii="Times New Roman" w:hAnsi="Times New Roman"/>
          <w:sz w:val="24"/>
          <w:szCs w:val="24"/>
          <w:shd w:fill="auto" w:val="clear"/>
        </w:rPr>
        <w:footnoteReference w:id="2"/>
      </w:r>
      <w:r>
        <w:rPr>
          <w:rFonts w:cs="Times New Roman" w:ascii="Times New Roman" w:hAnsi="Times New Roman"/>
          <w:sz w:val="24"/>
          <w:szCs w:val="24"/>
          <w:shd w:fill="auto" w:val="clear"/>
        </w:rPr>
        <w:t>;</w:t>
      </w:r>
    </w:p>
    <w:p>
      <w:pPr>
        <w:pStyle w:val="ConsPlusNormal1"/>
        <w:tabs>
          <w:tab w:val="clear" w:pos="709"/>
          <w:tab w:val="left" w:pos="1134" w:leader="none"/>
        </w:tabs>
        <w:ind w:firstLine="567"/>
        <w:jc w:val="both"/>
        <w:rPr>
          <w:highlight w:val="none"/>
          <w:shd w:fill="auto" w:val="clear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К</m:t>
        </m:r>
        <m:r>
          <w:rPr>
            <w:rFonts w:ascii="Cambria Math" w:hAnsi="Cambria Math"/>
          </w:rPr>
          <m:t xml:space="preserve">з</m:t>
        </m:r>
      </m:oMath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- коэффициент, учитывающий долю оплаты труда производственного персонала в себестоимости проектных работ: К3 принимается в размере 40,06%;</w:t>
      </w:r>
    </w:p>
    <w:p>
      <w:pPr>
        <w:pStyle w:val="ConsPlusNormal1"/>
        <w:numPr>
          <w:ilvl w:val="1"/>
          <w:numId w:val="7"/>
        </w:numPr>
        <w:tabs>
          <w:tab w:val="clear" w:pos="709"/>
          <w:tab w:val="left" w:pos="1134" w:leader="none"/>
        </w:tabs>
        <w:ind w:firstLine="567" w:lef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коэффициент, квалификации-участия (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К</m:t>
            </m:r>
          </m:e>
          <m:sub>
            <m:r>
              <w:rPr>
                <w:rFonts w:ascii="Cambria Math" w:hAnsi="Cambria Math"/>
              </w:rPr>
              <m:t xml:space="preserve">кв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уч</m:t>
            </m:r>
          </m:sub>
        </m:sSub>
      </m:oMath>
      <w:r>
        <w:rPr>
          <w:rFonts w:cs="Times New Roman" w:ascii="Times New Roman" w:hAnsi="Times New Roman"/>
          <w:sz w:val="24"/>
          <w:szCs w:val="24"/>
          <w:shd w:fill="auto" w:val="clear"/>
        </w:rPr>
        <w:t>), определяется по формуле:</w:t>
      </w:r>
    </w:p>
    <w:p>
      <w:pPr>
        <w:pStyle w:val="ConsPlusNormal1"/>
        <w:tabs>
          <w:tab w:val="clear" w:pos="709"/>
          <w:tab w:val="left" w:pos="1134" w:leader="none"/>
        </w:tabs>
        <w:ind w:hanging="0"/>
        <w:jc w:val="both"/>
        <w:rPr>
          <w:rFonts w:ascii="Times New Roman" w:hAnsi="Times New Roman" w:cs="Times New Roman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</w:r>
    </w:p>
    <w:p>
      <w:pPr>
        <w:pStyle w:val="ConsPlusNormal1"/>
        <w:tabs>
          <w:tab w:val="clear" w:pos="709"/>
          <w:tab w:val="left" w:pos="1134" w:leader="none"/>
        </w:tabs>
        <w:ind w:hanging="0"/>
        <w:jc w:val="center"/>
        <w:rPr>
          <w:highlight w:val="none"/>
          <w:shd w:fill="auto" w:val="clear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К</m:t>
              </m:r>
            </m:e>
            <m:sub>
              <m:r>
                <w:rPr>
                  <w:rFonts w:ascii="Cambria Math" w:hAnsi="Cambria Math"/>
                </w:rPr>
                <m:t xml:space="preserve">кв</m:t>
              </m:r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уч</m:t>
              </m:r>
            </m:sub>
          </m:sSub>
          <m:r>
            <w:rPr>
              <w:rFonts w:ascii="Cambria Math" w:hAnsi="Cambria Math"/>
            </w:rPr>
            <m:t xml:space="preserve">=</m:t>
          </m:r>
          <m:f>
            <m:num>
              <m:nary>
                <m:naryPr>
                  <m:chr m:val="∑"/>
                </m:naryPr>
                <m:sub>
                  <m:r>
                    <w:rPr>
                      <w:rFonts w:ascii="Cambria Math" w:hAnsi="Cambria Math"/>
                    </w:rPr>
                    <m:t xml:space="preserve">i</m:t>
                  </m:r>
                  <m:r>
                    <w:rPr>
                      <w:rFonts w:ascii="Cambria Math" w:hAnsi="Cambria Math"/>
                    </w:rPr>
                    <m:t xml:space="preserve">=</m:t>
                  </m:r>
                  <m:r>
                    <w:rPr>
                      <w:rFonts w:ascii="Cambria Math" w:hAnsi="Cambria Math"/>
                    </w:rPr>
                    <m:t xml:space="preserve">1</m:t>
                  </m:r>
                </m:sub>
                <m:sup>
                  <m:r>
                    <w:rPr>
                      <w:rFonts w:ascii="Cambria Math" w:hAnsi="Cambria Math"/>
                    </w:rPr>
                    <m:t xml:space="preserve">n</m:t>
                  </m:r>
                </m:sup>
                <m:e>
                  <m:f>
                    <m:num>
                      <m:sSub>
                        <m:e>
                          <m:r>
                            <w:rPr>
                              <w:rFonts w:ascii="Cambria Math" w:hAnsi="Cambria Math"/>
                            </w:rPr>
                            <m:t xml:space="preserve"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 xml:space="preserve">ф</m:t>
                          </m:r>
                          <m:r>
                            <w:rPr>
                              <w:rFonts w:ascii="Cambria Math" w:hAnsi="Cambria Math"/>
                            </w:rPr>
                            <m:t xml:space="preserve">i</m:t>
                          </m:r>
                        </m:sub>
                      </m:sSub>
                    </m:num>
                    <m:den>
                      <m:sSub>
                        <m:e>
                          <m:r>
                            <w:rPr>
                              <w:rFonts w:ascii="Cambria Math" w:hAnsi="Cambria Math"/>
                            </w:rPr>
                            <m:t xml:space="preserve">Т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 xml:space="preserve">общ</m:t>
                          </m:r>
                        </m:sub>
                      </m:sSub>
                    </m:den>
                  </m:f>
                </m:e>
              </m:nary>
              <m:r>
                <w:rPr>
                  <w:rFonts w:ascii="Cambria Math" w:hAnsi="Cambria Math"/>
                </w:rPr>
                <m:t xml:space="preserve">×</m:t>
              </m:r>
              <m:sSub>
                <m:e>
                  <m:r>
                    <w:rPr>
                      <w:rFonts w:ascii="Cambria Math" w:hAnsi="Cambria Math"/>
                    </w:rPr>
                    <m:t xml:space="preserve">Ч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i</m:t>
                  </m:r>
                </m:sub>
              </m:sSub>
              <m:r>
                <w:rPr>
                  <w:rFonts w:ascii="Cambria Math" w:hAnsi="Cambria Math"/>
                </w:rPr>
                <m:t xml:space="preserve">×</m:t>
              </m:r>
              <m:sSub>
                <m:e>
                  <m:r>
                    <w:rPr>
                      <w:rFonts w:ascii="Cambria Math" w:hAnsi="Cambria Math"/>
                    </w:rPr>
                    <m:t xml:space="preserve">И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i</m:t>
                  </m:r>
                </m:sub>
              </m:sSub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Ч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общ</m:t>
                  </m:r>
                </m:sub>
              </m:sSub>
            </m:den>
          </m:f>
        </m:oMath>
      </m:oMathPara>
    </w:p>
    <w:p>
      <w:pPr>
        <w:pStyle w:val="ConsPlusNormal1"/>
        <w:tabs>
          <w:tab w:val="clear" w:pos="709"/>
          <w:tab w:val="left" w:pos="1134" w:leader="none"/>
        </w:tabs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где:</w:t>
      </w:r>
    </w:p>
    <w:p>
      <w:pPr>
        <w:pStyle w:val="ConsPlusNormal1"/>
        <w:tabs>
          <w:tab w:val="clear" w:pos="709"/>
          <w:tab w:val="left" w:pos="1134" w:leader="none"/>
        </w:tabs>
        <w:ind w:firstLine="567"/>
        <w:jc w:val="both"/>
        <w:rPr/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И</m:t>
            </m:r>
          </m:e>
          <m:sub>
            <m:r>
              <w:rPr>
                <w:rFonts w:ascii="Cambria Math" w:hAnsi="Cambria Math"/>
              </w:rPr>
              <m:t xml:space="preserve">i</m:t>
            </m:r>
          </m:sub>
        </m:sSub>
      </m:oMath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- индекс квалификации непосредственных исполнителей согласно </w:t>
      </w:r>
      <w:hyperlink w:anchor="P1654">
        <w:r>
          <w:rPr>
            <w:rStyle w:val="Hyperlink"/>
            <w:rFonts w:cs="Times New Roman" w:ascii="Times New Roman" w:hAnsi="Times New Roman"/>
            <w:sz w:val="24"/>
            <w:szCs w:val="24"/>
            <w:shd w:fill="auto" w:val="clear"/>
          </w:rPr>
          <w:t>таблицам 1.3</w:t>
        </w:r>
      </w:hyperlink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- </w:t>
      </w:r>
      <w:hyperlink w:anchor="P1701">
        <w:r>
          <w:rPr>
            <w:rStyle w:val="Hyperlink"/>
            <w:rFonts w:cs="Times New Roman" w:ascii="Times New Roman" w:hAnsi="Times New Roman"/>
            <w:sz w:val="24"/>
            <w:szCs w:val="24"/>
            <w:shd w:fill="auto" w:val="clear"/>
          </w:rPr>
          <w:t>1.4</w:t>
        </w:r>
      </w:hyperlink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, приведенным в приложении N 2 к Методике №707. Для отдельных отраслей индексы, приведенные в </w:t>
      </w:r>
      <w:hyperlink w:anchor="P1654">
        <w:r>
          <w:rPr>
            <w:rStyle w:val="Hyperlink"/>
            <w:rFonts w:cs="Times New Roman" w:ascii="Times New Roman" w:hAnsi="Times New Roman"/>
            <w:sz w:val="24"/>
            <w:szCs w:val="24"/>
            <w:shd w:fill="auto" w:val="clear"/>
          </w:rPr>
          <w:t>таблицах 1.3</w:t>
        </w:r>
      </w:hyperlink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- </w:t>
      </w:r>
      <w:hyperlink w:anchor="P1701">
        <w:r>
          <w:rPr>
            <w:rStyle w:val="Hyperlink"/>
            <w:rFonts w:cs="Times New Roman" w:ascii="Times New Roman" w:hAnsi="Times New Roman"/>
            <w:sz w:val="24"/>
            <w:szCs w:val="24"/>
            <w:shd w:fill="auto" w:val="clear"/>
          </w:rPr>
          <w:t>1.4</w:t>
        </w:r>
      </w:hyperlink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приложения N 2 к Методике №707, подлежат уточнению при предоставлении соответствующих обоснований (бухгалтерских справок и аналогичных документов), документально подтвержденных уполномоченными лицами проектной организации;</w:t>
      </w:r>
    </w:p>
    <w:p>
      <w:pPr>
        <w:pStyle w:val="ConsPlusNormal1"/>
        <w:tabs>
          <w:tab w:val="clear" w:pos="709"/>
          <w:tab w:val="left" w:pos="1134" w:leader="none"/>
        </w:tabs>
        <w:ind w:firstLine="567"/>
        <w:jc w:val="both"/>
        <w:rPr>
          <w:highlight w:val="none"/>
          <w:shd w:fill="auto" w:val="clear"/>
        </w:rPr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Ч</m:t>
            </m:r>
          </m:e>
          <m:sub>
            <m:r>
              <w:rPr>
                <w:rFonts w:ascii="Cambria Math" w:hAnsi="Cambria Math"/>
              </w:rPr>
              <m:t xml:space="preserve">i</m:t>
            </m:r>
          </m:sub>
        </m:sSub>
      </m:oMath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- численность исполнителей одинаковой квалификации, чел.;</w:t>
      </w:r>
    </w:p>
    <w:p>
      <w:pPr>
        <w:pStyle w:val="ConsPlusNormal1"/>
        <w:tabs>
          <w:tab w:val="clear" w:pos="709"/>
          <w:tab w:val="left" w:pos="1134" w:leader="none"/>
        </w:tabs>
        <w:ind w:firstLine="567"/>
        <w:jc w:val="both"/>
        <w:rPr>
          <w:highlight w:val="none"/>
          <w:shd w:fill="auto" w:val="clear"/>
        </w:rPr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T</m:t>
            </m:r>
          </m:e>
          <m:sub>
            <m:r>
              <w:rPr>
                <w:rFonts w:ascii="Cambria Math" w:hAnsi="Cambria Math"/>
              </w:rPr>
              <m:t xml:space="preserve">ф</m:t>
            </m:r>
            <m:r>
              <w:rPr>
                <w:rFonts w:ascii="Cambria Math" w:hAnsi="Cambria Math"/>
              </w:rPr>
              <m:t xml:space="preserve">i</m:t>
            </m:r>
          </m:sub>
        </m:sSub>
      </m:oMath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- фактическое время работы исполнителей одинаковой квалификации, дни.</w:t>
      </w:r>
    </w:p>
    <w:p>
      <w:pPr>
        <w:pStyle w:val="ConsPlusNormal1"/>
        <w:tabs>
          <w:tab w:val="clear" w:pos="709"/>
          <w:tab w:val="left" w:pos="1134" w:leader="none"/>
        </w:tabs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Численность и должностные категории (квалификация) исполнителей, фактическое время работы исполнителей одинаковой квалификации определяются на основании положений документов по стандартизации согласно </w:t>
      </w:r>
      <w:hyperlink r:id="rId25">
        <w:r>
          <w:rPr>
            <w:rStyle w:val="Hyperlink"/>
            <w:rFonts w:cs="Times New Roman" w:ascii="Times New Roman" w:hAnsi="Times New Roman"/>
            <w:sz w:val="24"/>
            <w:szCs w:val="24"/>
            <w:shd w:fill="auto" w:val="clear"/>
          </w:rPr>
          <w:t>статье 14</w:t>
        </w:r>
      </w:hyperlink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Федерального закона от 29 июня 2015 г. N 162-ФЗ "О стандартизации в Российской Федерации" (Собрание законодательства Российской Федерации, 2015, N 27, ст. 3953; 2021, N 1, ст. 62), стандартов процесса подготовки проектной документации согласно </w:t>
      </w:r>
      <w:hyperlink r:id="rId26">
        <w:r>
          <w:rPr>
            <w:rStyle w:val="Hyperlink"/>
            <w:rFonts w:cs="Times New Roman" w:ascii="Times New Roman" w:hAnsi="Times New Roman"/>
            <w:sz w:val="24"/>
            <w:szCs w:val="24"/>
            <w:shd w:fill="auto" w:val="clear"/>
          </w:rPr>
          <w:t>пункту 10 части 8 статьи 55.20</w:t>
        </w:r>
      </w:hyperlink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Градостроительного кодекса Российской Федерации (Собрание законодательства Российской Федерации, 2005, N 1, ст. 16; 2018, N 32, ст. 5133), норм проектирования, данных о трудоемкости объектов-аналогов, результатов опроса, проведенного среди не менее трех проектных организаций, специализирующихся на выполнение проектных работ, на которые подготавливается смета, таблиц технологического процесса выполнения проектных работ по объекту, продолжительности выполняемых работ, указанных в календарном плане к договору на выполнение проектных работ, данных о времени и количестве исполнителей определенной квалификации, принимающих участие в выполнении проектных работ, которые должны быть подписаны руководителем проектной организации, предоставляющей такие данные, и заверены ее печатью;</w:t>
      </w:r>
    </w:p>
    <w:p>
      <w:pPr>
        <w:pStyle w:val="ConsPlusNormal1"/>
        <w:tabs>
          <w:tab w:val="clear" w:pos="709"/>
          <w:tab w:val="left" w:pos="1134" w:leader="none"/>
        </w:tabs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Для пересчета стоимости работ в текущий уровень цен применяются соответствующие индексы изменения сметной стоимости, выпущенные письмом Минстроя России, актуальным на момент составления сметной документации, с учетом периода выполнения работ.</w:t>
      </w:r>
    </w:p>
    <w:p>
      <w:pPr>
        <w:pStyle w:val="ConsPlusNormal1"/>
        <w:tabs>
          <w:tab w:val="clear" w:pos="709"/>
          <w:tab w:val="left" w:pos="1134" w:leader="none"/>
        </w:tabs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i/>
          <w:sz w:val="24"/>
          <w:szCs w:val="24"/>
          <w:shd w:fill="auto" w:val="clear"/>
        </w:rPr>
        <w:t xml:space="preserve">Например, в 1 квартале 2025 года, стоимость проектных работ рассчитывается по калькуляции затрат в уровне цен по состоянию на 31.12.2024 и включается в смету на проектные работы с последующим применением соответствующих индексов изменения сметной стоимости на 1 квартал 2025 года к уровню цен по состоянию на 01.01.2025, сообщаемых письмом Минстроя России от 01.02.2025г. №5170-ИФ/09. </w:t>
      </w:r>
    </w:p>
    <w:p>
      <w:pPr>
        <w:pStyle w:val="ListParagraph"/>
        <w:numPr>
          <w:ilvl w:val="1"/>
          <w:numId w:val="12"/>
        </w:numPr>
        <w:tabs>
          <w:tab w:val="clear" w:pos="709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Общий срок проектирования объекта в месяцах не должен превышать нормативные сроки установленные положениями Приказа Минстроя РФ от 15.05.2020г. № 264/пр «Об установлении срока, необходимого для выполнения инженерных изысканий, осуществления архитектурно-строительного проектирования и строительства зданий, сооружений, в целях расчета срока договора аренды земельного участка, находящегося в государственной или муниципальной собственности» которые устанавливают зависимость срока проектирования объекта в месяцах от его общей площади. </w:t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Для объектов, сроки проектирования которых невозможно определить в соответствии с указанным Приказом, допустимо применение иных документов, не противоречащих действующему законодательству.</w:t>
      </w:r>
    </w:p>
    <w:p>
      <w:pPr>
        <w:pStyle w:val="ListParagraph"/>
        <w:numPr>
          <w:ilvl w:val="1"/>
          <w:numId w:val="12"/>
        </w:numPr>
        <w:tabs>
          <w:tab w:val="clear" w:pos="709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стоимость проектных работ, определяемых в соответствии с калькуляцией затрат, не учитывает командировочные расходы, непосредственно связанные с проектированием объекта, определяемые дополнительно.</w:t>
      </w:r>
    </w:p>
    <w:p>
      <w:pPr>
        <w:pStyle w:val="ListParagraph"/>
        <w:numPr>
          <w:ilvl w:val="0"/>
          <w:numId w:val="7"/>
        </w:numPr>
        <w:tabs>
          <w:tab w:val="clear" w:pos="709"/>
          <w:tab w:val="left" w:pos="993" w:leader="none"/>
        </w:tabs>
        <w:spacing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Для обоснования командировочных расходов предоставляется отдельно выполненный расчет (форма 4п) с расшифровкой затрат на проезд, проживание, суточные расходы. Размер расходов на проезд и стоимость проживания в гостинице определяется на момент составления расчета.</w:t>
      </w:r>
    </w:p>
    <w:p>
      <w:pPr>
        <w:pStyle w:val="Normal"/>
        <w:tabs>
          <w:tab w:val="clear" w:pos="709"/>
          <w:tab w:val="left" w:pos="1080" w:leader="none"/>
          <w:tab w:val="left" w:pos="1134" w:leader="none"/>
        </w:tabs>
        <w:spacing w:lineRule="auto" w:line="240" w:before="0" w:after="0"/>
        <w:ind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Размеры возмещения расходов, связанных со служебными командировками, определяются коллективным договором и/или локальным нормативным актом организации–исполнителя, но не выше нормативов возмещения расходов, связанных со служебными командировками, установленных локальным нормативным актом организации–заказчика.</w:t>
      </w:r>
    </w:p>
    <w:p>
      <w:pPr>
        <w:pStyle w:val="ConsPlusNormal1"/>
        <w:tabs>
          <w:tab w:val="clear" w:pos="709"/>
          <w:tab w:val="left" w:pos="284" w:leader="none"/>
          <w:tab w:val="left" w:pos="1134" w:leader="none"/>
        </w:tabs>
        <w:ind w:firstLine="567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Лимиты командировочных расходов при производстве ПИР не более: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851" w:leader="none"/>
          <w:tab w:val="left" w:pos="1080" w:leader="none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суточные - 700 руб./сутки;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851" w:leader="none"/>
          <w:tab w:val="left" w:pos="1080" w:leader="none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проживание – 5000 руб./сутки;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851" w:leader="none"/>
          <w:tab w:val="left" w:pos="1080" w:leader="none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проезд: поезд (купе) или самолет (класс–эконом с багажом до 20 (двадцати) кг, ручная кладь до 10 (десяти) кг).</w:t>
      </w:r>
    </w:p>
    <w:p>
      <w:pPr>
        <w:pStyle w:val="ListParagraph"/>
        <w:tabs>
          <w:tab w:val="clear" w:pos="709"/>
          <w:tab w:val="left" w:pos="1080" w:leader="none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При учете командировочных расходов стоимость проезда (авиа-, ж/д, …) и проживания определяются по наиболее экономичному варианту, определенному на основании сбора информации о текущих ценах (далее - конъюнктурный анализ) в соответствии с Приложением № 3 к Требованиям к оформлению и составлению сметной документации на работы по строительству.  </w:t>
      </w:r>
    </w:p>
    <w:p>
      <w:pPr>
        <w:sectPr>
          <w:footerReference w:type="default" r:id="rId27"/>
          <w:footerReference w:type="first" r:id="rId28"/>
          <w:footnotePr>
            <w:numFmt w:val="decimal"/>
            <w:numRestart w:val="eachSect"/>
          </w:footnotePr>
          <w:type w:val="nextPage"/>
          <w:pgSz w:w="11906" w:h="16838"/>
          <w:pgMar w:left="1418" w:right="851" w:gutter="0" w:header="0" w:top="1134" w:footer="709" w:bottom="1134"/>
          <w:pgNumType w:fmt="decimal"/>
          <w:formProt w:val="false"/>
          <w:textDirection w:val="lrTb"/>
          <w:docGrid w:type="default" w:linePitch="360" w:charSpace="0"/>
        </w:sectPr>
        <w:pStyle w:val="ListParagraph"/>
        <w:tabs>
          <w:tab w:val="clear" w:pos="709"/>
          <w:tab w:val="left" w:pos="1080" w:leader="none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При наличии командированных расходов необходимо составлять общий реестр стоимости проездных билетов с разбивкой по сметам, к которым они относятся.</w:t>
      </w:r>
    </w:p>
    <w:p>
      <w:pPr>
        <w:pStyle w:val="Normal"/>
        <w:spacing w:lineRule="auto" w:line="240" w:before="0" w:after="0"/>
        <w:ind w:hanging="0" w:left="5811" w:right="-2"/>
        <w:contextualSpacing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sz w:val="20"/>
          <w:shd w:fill="auto" w:val="clear"/>
        </w:rPr>
        <w:t>Приложение № 2</w:t>
      </w:r>
    </w:p>
    <w:p>
      <w:pPr>
        <w:pStyle w:val="Normal"/>
        <w:spacing w:lineRule="auto" w:line="240" w:before="0" w:after="0"/>
        <w:ind w:hanging="0" w:left="5811" w:right="-2"/>
        <w:contextualSpacing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sz w:val="20"/>
          <w:shd w:fill="auto" w:val="clear"/>
        </w:rPr>
        <w:t>к Требованиям к оформлению и составлению сметной документации на выполнение ПИР</w:t>
      </w:r>
    </w:p>
    <w:p>
      <w:pPr>
        <w:pStyle w:val="Normal"/>
        <w:shd w:val="clear" w:color="auto" w:fill="FFFFFF"/>
        <w:spacing w:lineRule="auto" w:line="240" w:before="0" w:after="0"/>
        <w:ind w:firstLine="284" w:left="720"/>
        <w:contextualSpacing/>
        <w:jc w:val="center"/>
        <w:rPr>
          <w:rFonts w:ascii="Times New Roman" w:hAnsi="Times New Roman"/>
          <w:b/>
          <w:bCs/>
          <w:iCs/>
          <w:spacing w:val="-4"/>
          <w:highlight w:val="none"/>
          <w:shd w:fill="auto" w:val="clear"/>
        </w:rPr>
      </w:pPr>
      <w:r>
        <w:rPr>
          <w:rFonts w:ascii="Times New Roman" w:hAnsi="Times New Roman"/>
          <w:b/>
          <w:bCs/>
          <w:iCs/>
          <w:spacing w:val="-4"/>
          <w:shd w:fill="auto" w:val="clear"/>
        </w:rPr>
      </w:r>
    </w:p>
    <w:tbl>
      <w:tblPr>
        <w:tblW w:w="93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356"/>
      </w:tblGrid>
      <w:tr>
        <w:trPr/>
        <w:tc>
          <w:tcPr>
            <w:tcW w:w="935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Образец сметы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на основные и дополнительные проектные работы,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а также сопутствующие работы (форма 2п)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СМЕТА №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на проектные работы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__________________________________________________________________________________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hd w:fill="auto" w:val="clear"/>
              </w:rPr>
              <w:t>(наименование объекта)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Заказчик ________________________________________________________________________________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hd w:fill="auto" w:val="clear"/>
              </w:rPr>
              <w:t>(наименование организации)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Проектная организация 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hd w:fill="auto" w:val="clear"/>
              </w:rPr>
              <w:t>(наименование организации)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Составлена в уровне цен на ___________ 20__ г.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  <w:tbl>
            <w:tblPr>
              <w:tblW w:w="9521" w:type="dxa"/>
              <w:jc w:val="left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noHBand="0" w:noVBand="1" w:firstColumn="1" w:lastRow="0" w:lastColumn="0" w:firstRow="1"/>
            </w:tblPr>
            <w:tblGrid>
              <w:gridCol w:w="454"/>
              <w:gridCol w:w="1811"/>
              <w:gridCol w:w="3419"/>
              <w:gridCol w:w="1988"/>
              <w:gridCol w:w="1849"/>
            </w:tblGrid>
            <w:tr>
              <w:trPr/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  <w:t>N пп</w:t>
                  </w:r>
                </w:p>
              </w:tc>
              <w:tc>
                <w:tcPr>
                  <w:tcW w:w="1811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  <w:t>Наименование объекта проектирования или вида проектных работ</w:t>
                  </w:r>
                </w:p>
              </w:tc>
              <w:tc>
                <w:tcPr>
                  <w:tcW w:w="341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  <w:t>Наименование, номера глав, таблиц, параграфов и пунктов МНЗ (СБЦ) на проектные работы</w:t>
                  </w:r>
                </w:p>
              </w:tc>
              <w:tc>
                <w:tcPr>
                  <w:tcW w:w="198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  <w:t>Расчет стоимости</w:t>
                  </w:r>
                </w:p>
              </w:tc>
              <w:tc>
                <w:tcPr>
                  <w:tcW w:w="184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 w:left="187"/>
                    <w:contextualSpacing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  <w:t>Сметная стоимость, руб.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  <w:t>1</w:t>
                  </w:r>
                </w:p>
              </w:tc>
              <w:tc>
                <w:tcPr>
                  <w:tcW w:w="1811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jc w:val="center"/>
                    <w:rPr>
                      <w:highlight w:val="none"/>
                      <w:shd w:fill="auto" w:val="clear"/>
                    </w:rPr>
                  </w:pPr>
                  <w:bookmarkStart w:id="41" w:name="P3725"/>
                  <w:bookmarkEnd w:id="41"/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  <w:t>2</w:t>
                  </w:r>
                </w:p>
              </w:tc>
              <w:tc>
                <w:tcPr>
                  <w:tcW w:w="341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jc w:val="center"/>
                    <w:rPr>
                      <w:highlight w:val="none"/>
                      <w:shd w:fill="auto" w:val="clear"/>
                    </w:rPr>
                  </w:pPr>
                  <w:bookmarkStart w:id="42" w:name="P3726"/>
                  <w:bookmarkEnd w:id="42"/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  <w:t>3</w:t>
                  </w:r>
                </w:p>
              </w:tc>
              <w:tc>
                <w:tcPr>
                  <w:tcW w:w="19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jc w:val="center"/>
                    <w:rPr>
                      <w:highlight w:val="none"/>
                      <w:shd w:fill="auto" w:val="clear"/>
                    </w:rPr>
                  </w:pPr>
                  <w:bookmarkStart w:id="43" w:name="P3727"/>
                  <w:bookmarkEnd w:id="43"/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  <w:t>4</w:t>
                  </w:r>
                </w:p>
              </w:tc>
              <w:tc>
                <w:tcPr>
                  <w:tcW w:w="184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 w:left="187"/>
                    <w:contextualSpacing/>
                    <w:jc w:val="center"/>
                    <w:rPr>
                      <w:highlight w:val="none"/>
                      <w:shd w:fill="auto" w:val="clear"/>
                    </w:rPr>
                  </w:pPr>
                  <w:bookmarkStart w:id="44" w:name="P3728"/>
                  <w:bookmarkEnd w:id="44"/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  <w:t>5</w:t>
                  </w:r>
                </w:p>
              </w:tc>
            </w:tr>
            <w:tr>
              <w:trPr/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</w:r>
                </w:p>
              </w:tc>
              <w:tc>
                <w:tcPr>
                  <w:tcW w:w="1811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</w:r>
                </w:p>
              </w:tc>
              <w:tc>
                <w:tcPr>
                  <w:tcW w:w="341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</w:r>
                </w:p>
              </w:tc>
              <w:tc>
                <w:tcPr>
                  <w:tcW w:w="19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</w:r>
                </w:p>
              </w:tc>
              <w:tc>
                <w:tcPr>
                  <w:tcW w:w="184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 w:left="187"/>
                    <w:contextualSpacing/>
                    <w:rPr>
                      <w:rFonts w:ascii="Times New Roman" w:hAnsi="Times New Roman"/>
                      <w:sz w:val="20"/>
                      <w:szCs w:val="20"/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</w:r>
                </w:p>
              </w:tc>
            </w:tr>
            <w:tr>
              <w:trPr/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</w:r>
                </w:p>
              </w:tc>
              <w:tc>
                <w:tcPr>
                  <w:tcW w:w="1811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</w:r>
                </w:p>
              </w:tc>
              <w:tc>
                <w:tcPr>
                  <w:tcW w:w="341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</w:r>
                </w:p>
              </w:tc>
              <w:tc>
                <w:tcPr>
                  <w:tcW w:w="19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</w:r>
                </w:p>
              </w:tc>
              <w:tc>
                <w:tcPr>
                  <w:tcW w:w="184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 w:left="187"/>
                    <w:contextualSpacing/>
                    <w:rPr>
                      <w:rFonts w:ascii="Times New Roman" w:hAnsi="Times New Roman"/>
                      <w:sz w:val="20"/>
                      <w:szCs w:val="20"/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</w:r>
                </w:p>
              </w:tc>
            </w:tr>
            <w:tr>
              <w:trPr/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</w:r>
                </w:p>
              </w:tc>
              <w:tc>
                <w:tcPr>
                  <w:tcW w:w="1811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</w:r>
                </w:p>
              </w:tc>
              <w:tc>
                <w:tcPr>
                  <w:tcW w:w="341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</w:r>
                </w:p>
              </w:tc>
              <w:tc>
                <w:tcPr>
                  <w:tcW w:w="19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</w:r>
                </w:p>
              </w:tc>
              <w:tc>
                <w:tcPr>
                  <w:tcW w:w="184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 w:left="187"/>
                    <w:contextualSpacing/>
                    <w:rPr>
                      <w:rFonts w:ascii="Times New Roman" w:hAnsi="Times New Roman"/>
                      <w:sz w:val="20"/>
                      <w:szCs w:val="20"/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</w:r>
                </w:p>
              </w:tc>
              <w:tc>
                <w:tcPr>
                  <w:tcW w:w="5230" w:type="dxa"/>
                  <w:gridSpan w:val="2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  <w:t>Итого без учета НДС</w:t>
                  </w:r>
                </w:p>
              </w:tc>
              <w:tc>
                <w:tcPr>
                  <w:tcW w:w="19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contextualSpacing/>
                    <w:rPr>
                      <w:rFonts w:ascii="Times New Roman" w:hAnsi="Times New Roman"/>
                      <w:sz w:val="20"/>
                      <w:szCs w:val="20"/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</w:r>
                </w:p>
              </w:tc>
              <w:tc>
                <w:tcPr>
                  <w:tcW w:w="184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hanging="0" w:left="187"/>
                    <w:contextualSpacing/>
                    <w:rPr>
                      <w:rFonts w:ascii="Times New Roman" w:hAnsi="Times New Roman"/>
                      <w:sz w:val="20"/>
                      <w:szCs w:val="20"/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shd w:fill="auto" w:val="clear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eastAsiaTheme="minorHAnsi"/>
                <w:highlight w:val="none"/>
                <w:shd w:fill="auto" w:val="clear"/>
                <w:lang w:eastAsia="en-US"/>
              </w:rPr>
            </w:pPr>
            <w:r>
              <w:rPr>
                <w:rFonts w:eastAsia="Calibri" w:eastAsiaTheme="minorHAnsi" w:ascii="Times New Roman" w:hAnsi="Times New Roman"/>
                <w:shd w:fill="auto" w:val="clear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Руководитель проектной организации 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hd w:fill="auto" w:val="clear"/>
              </w:rPr>
              <w:t>[подпись (инициалы, фамилия)]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Главный инженер проекта _______________________________________________________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hd w:fill="auto" w:val="clear"/>
              </w:rPr>
              <w:t>[подпись (инициалы, фамилия)]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i/>
                <w:i/>
                <w:iCs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Начальник ___________________ отдела 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 xml:space="preserve">                             </w:t>
            </w:r>
            <w:r>
              <w:rPr>
                <w:rFonts w:ascii="Times New Roman" w:hAnsi="Times New Roman"/>
                <w:i/>
                <w:iCs/>
                <w:shd w:fill="auto" w:val="clear"/>
              </w:rPr>
              <w:t>(наименование)                            [подпись (инициалы, фамилия)]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i/>
                <w:i/>
                <w:iCs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/>
                <w:iCs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Заказчик 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bookmarkStart w:id="45" w:name="_Hlk149126469"/>
            <w:r>
              <w:rPr>
                <w:rFonts w:ascii="Times New Roman" w:hAnsi="Times New Roman"/>
                <w:i/>
                <w:iCs/>
                <w:shd w:fill="auto" w:val="clear"/>
              </w:rPr>
              <w:t>[должность, подпись (инициалы, фамилия)]</w:t>
            </w:r>
            <w:bookmarkEnd w:id="45"/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</w:tbl>
    <w:p>
      <w:pPr>
        <w:sectPr>
          <w:footerReference w:type="default" r:id="rId29"/>
          <w:footerReference w:type="first" r:id="rId30"/>
          <w:footnotePr>
            <w:numFmt w:val="decimal"/>
            <w:numRestart w:val="eachSect"/>
          </w:footnotePr>
          <w:type w:val="nextPage"/>
          <w:pgSz w:w="11906" w:h="16838"/>
          <w:pgMar w:left="1418" w:right="851" w:gutter="0" w:header="0" w:top="1134" w:footer="709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240" w:before="0" w:after="0"/>
        <w:ind w:hanging="0" w:left="5811"/>
        <w:contextualSpacing/>
        <w:rPr>
          <w:highlight w:val="none"/>
          <w:shd w:fill="auto" w:val="clear"/>
        </w:rPr>
      </w:pPr>
      <w:bookmarkStart w:id="46" w:name="P3839"/>
      <w:bookmarkStart w:id="47" w:name="P3838"/>
      <w:bookmarkStart w:id="48" w:name="P3837"/>
      <w:bookmarkStart w:id="49" w:name="P3836"/>
      <w:bookmarkStart w:id="50" w:name="P3835"/>
      <w:bookmarkStart w:id="51" w:name="P3834"/>
      <w:bookmarkStart w:id="52" w:name="P3833"/>
      <w:bookmarkStart w:id="53" w:name="P3832"/>
      <w:bookmarkStart w:id="54" w:name="P3831"/>
      <w:bookmarkStart w:id="55" w:name="P3816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r>
        <w:rPr>
          <w:rFonts w:ascii="Times New Roman" w:hAnsi="Times New Roman"/>
          <w:sz w:val="20"/>
          <w:shd w:fill="auto" w:val="clear"/>
        </w:rPr>
        <w:t>Приложение № 3</w:t>
      </w:r>
    </w:p>
    <w:p>
      <w:pPr>
        <w:pStyle w:val="Normal"/>
        <w:spacing w:lineRule="auto" w:line="240" w:before="0" w:after="0"/>
        <w:ind w:hanging="0" w:left="5811"/>
        <w:rPr>
          <w:highlight w:val="none"/>
          <w:shd w:fill="auto" w:val="clear"/>
        </w:rPr>
      </w:pPr>
      <w:r>
        <w:rPr>
          <w:rFonts w:ascii="Times New Roman" w:hAnsi="Times New Roman"/>
          <w:sz w:val="20"/>
          <w:shd w:fill="auto" w:val="clear"/>
        </w:rPr>
        <w:t>к Требованиям к оформлению и составлению сметной документации на выполнение ПИР</w:t>
      </w:r>
    </w:p>
    <w:tbl>
      <w:tblPr>
        <w:tblW w:w="14853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229"/>
        <w:gridCol w:w="238"/>
        <w:gridCol w:w="2186"/>
        <w:gridCol w:w="1095"/>
        <w:gridCol w:w="306"/>
        <w:gridCol w:w="215"/>
        <w:gridCol w:w="1583"/>
      </w:tblGrid>
      <w:tr>
        <w:trPr>
          <w:trHeight w:val="20" w:hRule="atLeast"/>
        </w:trPr>
        <w:tc>
          <w:tcPr>
            <w:tcW w:w="922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 xml:space="preserve">                                                         </w:t>
            </w:r>
            <w:r>
              <w:rPr>
                <w:rFonts w:ascii="Times New Roman" w:hAnsi="Times New Roman"/>
                <w:shd w:fill="auto" w:val="clear"/>
              </w:rPr>
              <w:t xml:space="preserve">к Договору    от___ ______202___  №_________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 xml:space="preserve">СОГЛАСОВАНО:                                                                                   УТВЕРЖДЕНО:                                                                                                                                                                </w:t>
            </w:r>
          </w:p>
        </w:tc>
        <w:tc>
          <w:tcPr>
            <w:tcW w:w="23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 xml:space="preserve">         </w:t>
            </w:r>
          </w:p>
        </w:tc>
        <w:tc>
          <w:tcPr>
            <w:tcW w:w="218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 xml:space="preserve">                       </w:t>
            </w:r>
          </w:p>
        </w:tc>
        <w:tc>
          <w:tcPr>
            <w:tcW w:w="1401" w:type="dxa"/>
            <w:gridSpan w:val="2"/>
            <w:tcBorders/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627" w:leader="none"/>
              </w:tabs>
              <w:spacing w:lineRule="auto" w:line="240" w:before="0" w:after="0"/>
              <w:ind w:hanging="1332" w:left="-526"/>
              <w:jc w:val="right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215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583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70" w:hRule="atLeast"/>
        </w:trPr>
        <w:tc>
          <w:tcPr>
            <w:tcW w:w="922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23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328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521" w:type="dxa"/>
            <w:gridSpan w:val="2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583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11653" w:type="dxa"/>
            <w:gridSpan w:val="3"/>
            <w:tcBorders/>
          </w:tcPr>
          <w:tbl>
            <w:tblPr>
              <w:tblW w:w="9575" w:type="dxa"/>
              <w:jc w:val="left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noHBand="0" w:noVBand="0" w:firstColumn="0" w:lastRow="0" w:lastColumn="0" w:firstRow="0"/>
            </w:tblPr>
            <w:tblGrid>
              <w:gridCol w:w="968"/>
              <w:gridCol w:w="2704"/>
              <w:gridCol w:w="1780"/>
              <w:gridCol w:w="2047"/>
              <w:gridCol w:w="2076"/>
            </w:tblGrid>
            <w:tr>
              <w:trPr/>
              <w:tc>
                <w:tcPr>
                  <w:tcW w:w="9575" w:type="dxa"/>
                  <w:gridSpan w:val="5"/>
                  <w:tcBorders/>
                </w:tcPr>
                <w:p>
                  <w:pPr>
                    <w:pStyle w:val="ConsPlusNormal1"/>
                    <w:widowControl w:val="false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СВОДНАЯ СМЕТА №</w:t>
                  </w:r>
                </w:p>
                <w:p>
                  <w:pPr>
                    <w:pStyle w:val="ConsPlusNormal1"/>
                    <w:widowControl w:val="false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на проектные работы и инженерные изыскания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both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hd w:fill="auto" w:val="clear"/>
                    </w:rPr>
                    <w:t>_________________________________________________________________________________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shd w:fill="auto" w:val="clear"/>
                    </w:rPr>
                    <w:t>(наименование объекта)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both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hd w:fill="auto" w:val="clear"/>
                    </w:rPr>
                    <w:t>Заказчик ___________________________________________________________________________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shd w:fill="auto" w:val="clear"/>
                    </w:rPr>
                    <w:t>(наименование организации)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hd w:fill="auto" w:val="clear"/>
                    </w:rPr>
                    <w:t>Проектная организация ______________________________________________________________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shd w:fill="auto" w:val="clear"/>
                    </w:rPr>
                    <w:t>(наименование организации)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both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hd w:fill="auto" w:val="clear"/>
                    </w:rPr>
                    <w:t>Составлена в уровне цен на ___________ 20__ г.</w:t>
                  </w:r>
                </w:p>
                <w:p>
                  <w:pPr>
                    <w:pStyle w:val="ConsPlusNormal1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</w:r>
                </w:p>
              </w:tc>
            </w:tr>
            <w:tr>
              <w:trPr>
                <w:trHeight w:val="365" w:hRule="atLeast"/>
              </w:trPr>
              <w:tc>
                <w:tcPr>
                  <w:tcW w:w="96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N№ п/п</w:t>
                  </w:r>
                </w:p>
              </w:tc>
              <w:tc>
                <w:tcPr>
                  <w:tcW w:w="270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Наименование смет на проектные работы и инженерные изыскания, затрат</w:t>
                  </w: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Обоснование</w:t>
                  </w:r>
                </w:p>
              </w:tc>
              <w:tc>
                <w:tcPr>
                  <w:tcW w:w="412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1"/>
                    <w:widowControl w:val="false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Сметная стоимость, руб.</w:t>
                  </w:r>
                </w:p>
              </w:tc>
            </w:tr>
            <w:tr>
              <w:trPr>
                <w:trHeight w:val="74" w:hRule="atLeast"/>
              </w:trPr>
              <w:tc>
                <w:tcPr>
                  <w:tcW w:w="968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before="0" w:after="0"/>
                    <w:jc w:val="center"/>
                    <w:rPr>
                      <w:rFonts w:ascii="Times New Roman" w:hAnsi="Times New Roman"/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hd w:fill="auto" w:val="clear"/>
                    </w:rPr>
                  </w:r>
                </w:p>
              </w:tc>
              <w:tc>
                <w:tcPr>
                  <w:tcW w:w="2704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before="0" w:after="0"/>
                    <w:rPr>
                      <w:rFonts w:ascii="Times New Roman" w:hAnsi="Times New Roman"/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hd w:fill="auto" w:val="clear"/>
                    </w:rPr>
                  </w:r>
                </w:p>
              </w:tc>
              <w:tc>
                <w:tcPr>
                  <w:tcW w:w="1780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before="0" w:after="0"/>
                    <w:rPr>
                      <w:rFonts w:ascii="Times New Roman" w:hAnsi="Times New Roman"/>
                      <w:highlight w:val="none"/>
                      <w:shd w:fill="auto" w:val="clear"/>
                    </w:rPr>
                  </w:pPr>
                  <w:r>
                    <w:rPr>
                      <w:rFonts w:ascii="Times New Roman" w:hAnsi="Times New Roman"/>
                      <w:shd w:fill="auto" w:val="clear"/>
                    </w:rPr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инженерных изысканий</w:t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проектных работ</w:t>
                  </w:r>
                </w:p>
              </w:tc>
            </w:tr>
            <w:tr>
              <w:trPr>
                <w:trHeight w:val="19" w:hRule="atLeast"/>
              </w:trPr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1</w:t>
                  </w:r>
                </w:p>
              </w:tc>
              <w:tc>
                <w:tcPr>
                  <w:tcW w:w="2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2</w:t>
                  </w: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1"/>
                    <w:widowControl w:val="false"/>
                    <w:ind w:firstLine="2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3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4</w:t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5</w:t>
                  </w:r>
                </w:p>
              </w:tc>
            </w:tr>
            <w:tr>
              <w:trPr>
                <w:trHeight w:val="274" w:hRule="atLeast"/>
              </w:trPr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I</w:t>
                  </w:r>
                </w:p>
              </w:tc>
              <w:tc>
                <w:tcPr>
                  <w:tcW w:w="2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Инженерные изыскания</w:t>
                  </w: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1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1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1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</w:r>
                </w:p>
              </w:tc>
            </w:tr>
            <w:tr>
              <w:trPr>
                <w:trHeight w:val="493" w:hRule="atLeast"/>
              </w:trPr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2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Наименование сметы на инженерные изыскания</w:t>
                  </w: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1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&lt;X&gt;</w:t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1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</w:r>
                </w:p>
              </w:tc>
            </w:tr>
            <w:tr>
              <w:trPr>
                <w:trHeight w:val="281" w:hRule="atLeast"/>
              </w:trPr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II</w:t>
                  </w:r>
                </w:p>
              </w:tc>
              <w:tc>
                <w:tcPr>
                  <w:tcW w:w="2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Проектная документация</w:t>
                  </w: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1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1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1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</w:r>
                </w:p>
              </w:tc>
            </w:tr>
            <w:tr>
              <w:trPr/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2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Наименование сметы на проектные работы</w:t>
                  </w: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1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1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&lt;X&gt;</w:t>
                  </w:r>
                </w:p>
              </w:tc>
            </w:tr>
            <w:tr>
              <w:trPr>
                <w:trHeight w:val="323" w:hRule="atLeast"/>
              </w:trPr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III</w:t>
                  </w:r>
                </w:p>
              </w:tc>
              <w:tc>
                <w:tcPr>
                  <w:tcW w:w="2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Рабочая документация</w:t>
                  </w: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1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1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</w:r>
                </w:p>
              </w:tc>
            </w:tr>
            <w:tr>
              <w:trPr/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2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Наименование сметы на проектные работы</w:t>
                  </w: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1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1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&lt;X&gt;</w:t>
                  </w:r>
                </w:p>
              </w:tc>
            </w:tr>
            <w:tr>
              <w:trPr/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2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Итого по видам работ</w:t>
                  </w: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1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&lt;X&gt;</w:t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&lt;X&gt;</w:t>
                  </w:r>
                </w:p>
              </w:tc>
            </w:tr>
            <w:tr>
              <w:trPr/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2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ConsPlusNormal1"/>
                    <w:widowControl w:val="false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ВСЕГО</w:t>
                  </w: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1"/>
                    <w:widowControl w:val="false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</w:r>
                </w:p>
              </w:tc>
              <w:tc>
                <w:tcPr>
                  <w:tcW w:w="412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ConsPlusNormal1"/>
                    <w:widowControl w:val="false"/>
                    <w:ind w:hanging="0"/>
                    <w:jc w:val="center"/>
                    <w:rPr>
                      <w:highlight w:val="none"/>
                      <w:shd w:fill="auto" w:val="clear"/>
                    </w:rPr>
                  </w:pPr>
                  <w:r>
                    <w:rPr>
                      <w:rFonts w:cs="Times New Roman" w:ascii="Times New Roman" w:hAnsi="Times New Roman"/>
                      <w:sz w:val="22"/>
                      <w:szCs w:val="22"/>
                      <w:shd w:fill="auto" w:val="clear"/>
                    </w:rPr>
                    <w:t>&lt;X&gt;</w:t>
                  </w:r>
                </w:p>
              </w:tc>
            </w:tr>
          </w:tbl>
          <w:p>
            <w:pPr>
              <w:pStyle w:val="ConsPlusNormal1"/>
              <w:widowControl w:val="false"/>
              <w:ind w:firstLine="720" w:right="-5522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</w:r>
          </w:p>
        </w:tc>
        <w:tc>
          <w:tcPr>
            <w:tcW w:w="3199" w:type="dxa"/>
            <w:gridSpan w:val="4"/>
            <w:tcBorders/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Руководитель проектной организации _____________________________________________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i/>
          <w:iCs/>
          <w:shd w:fill="auto" w:val="clear"/>
        </w:rPr>
        <w:t>[подпись (инициалы, фамилия)]</w:t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Главный инженер проекта 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i/>
          <w:iCs/>
          <w:shd w:fill="auto" w:val="clear"/>
        </w:rPr>
        <w:t>[подпись (инициалы, фамилия)]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i/>
          <w:iCs/>
          <w:highlight w:val="none"/>
          <w:shd w:fill="auto" w:val="clear"/>
        </w:rPr>
      </w:pPr>
      <w:r>
        <w:rPr>
          <w:rFonts w:ascii="Times New Roman" w:hAnsi="Times New Roman"/>
          <w:i/>
          <w:iCs/>
          <w:shd w:fill="auto" w:val="clear"/>
        </w:rPr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Начальник ___________________ отдела __________________________________________</w:t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                             </w:t>
      </w:r>
      <w:r>
        <w:rPr>
          <w:rFonts w:ascii="Times New Roman" w:hAnsi="Times New Roman"/>
          <w:i/>
          <w:iCs/>
          <w:shd w:fill="auto" w:val="clear"/>
        </w:rPr>
        <w:t>(наименование)                            [подпись (инициалы, фамилия)]</w:t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Заказчик 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i/>
          <w:iCs/>
          <w:shd w:fill="auto" w:val="clear"/>
        </w:rPr>
        <w:t>[должность, подпись (инициалы, фамилия)]</w:t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  <w:iCs/>
          <w:highlight w:val="none"/>
          <w:shd w:fill="auto" w:val="clear"/>
        </w:rPr>
      </w:pPr>
      <w:r>
        <w:rPr>
          <w:rFonts w:ascii="Times New Roman" w:hAnsi="Times New Roman"/>
          <w:i/>
          <w:iCs/>
          <w:shd w:fill="auto" w:val="clear"/>
        </w:rPr>
      </w:r>
      <w:r>
        <w:br w:type="page"/>
      </w:r>
    </w:p>
    <w:p>
      <w:pPr>
        <w:pStyle w:val="Normal"/>
        <w:spacing w:lineRule="auto" w:line="240" w:before="0" w:after="0"/>
        <w:ind w:hanging="0" w:left="5811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Приложение №1</w:t>
      </w:r>
    </w:p>
    <w:p>
      <w:pPr>
        <w:pStyle w:val="Normal"/>
        <w:spacing w:lineRule="auto" w:line="240" w:before="0" w:after="0"/>
        <w:ind w:hanging="0" w:left="5811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к пояснительной записке</w:t>
      </w:r>
    </w:p>
    <w:p>
      <w:pPr>
        <w:pStyle w:val="Normal"/>
        <w:spacing w:lineRule="auto" w:line="240" w:before="0" w:after="0"/>
        <w:ind w:hanging="0" w:left="5811"/>
        <w:jc w:val="right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 xml:space="preserve"> </w:t>
      </w:r>
      <w:r>
        <w:rPr>
          <w:rFonts w:ascii="Times New Roman" w:hAnsi="Times New Roman"/>
          <w:shd w:fill="auto" w:val="clear"/>
        </w:rPr>
        <w:t>по заполнению формы 3П</w:t>
      </w:r>
    </w:p>
    <w:p>
      <w:pPr>
        <w:pStyle w:val="Normal"/>
        <w:spacing w:lineRule="auto" w:line="240" w:before="0" w:after="0"/>
        <w:ind w:hanging="0" w:left="6373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Образец сметы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на проектные работы в соответствии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с калькуляцией затрат (форма 3п)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СМЕТА №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на проектные работы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spacing w:lineRule="auto" w:line="240" w:before="0" w:after="0"/>
        <w:ind w:firstLine="1134" w:right="1246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i/>
          <w:iCs/>
          <w:shd w:fill="auto" w:val="clear"/>
        </w:rPr>
        <w:t>(наименование объекта)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spacing w:lineRule="auto" w:line="240" w:before="0" w:after="0"/>
        <w:ind w:hanging="0" w:right="142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Заказчик 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i/>
          <w:iCs/>
          <w:shd w:fill="auto" w:val="clear"/>
        </w:rPr>
        <w:t>(наименование организации)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spacing w:lineRule="auto" w:line="240" w:before="0" w:after="0"/>
        <w:ind w:hanging="0" w:right="1246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Проектная организация ___________________________________________________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i/>
          <w:iCs/>
          <w:shd w:fill="auto" w:val="clear"/>
        </w:rPr>
        <w:t>(наименование организации)</w:t>
      </w:r>
    </w:p>
    <w:p>
      <w:pPr>
        <w:pStyle w:val="Normal"/>
        <w:spacing w:lineRule="auto" w:line="240" w:before="0" w:after="0"/>
        <w:ind w:hanging="0" w:right="1246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Составлена в уровне цен на ___________ 20__ г.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  <w:highlight w:val="none"/>
          <w:shd w:fill="auto" w:val="clear"/>
        </w:rPr>
      </w:pPr>
      <w:r>
        <w:rPr>
          <w:rFonts w:cs="Times New Roman" w:ascii="Times New Roman" w:hAnsi="Times New Roman"/>
          <w:sz w:val="22"/>
          <w:szCs w:val="22"/>
          <w:shd w:fill="auto" w:val="clear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2"/>
          <w:highlight w:val="none"/>
          <w:shd w:fill="auto" w:val="clear"/>
        </w:rPr>
      </w:pPr>
      <w:r>
        <w:rPr>
          <w:rFonts w:cs="Times New Roman" w:ascii="Times New Roman" w:hAnsi="Times New Roman"/>
          <w:sz w:val="22"/>
          <w:szCs w:val="22"/>
          <w:shd w:fill="auto" w:val="clear"/>
        </w:rPr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Расчет коэффициента, учитывающего степень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участия исполнителей-проектировщиков различной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квалификации в выполнении проектных работ (Ккв-уч)</w:t>
      </w:r>
    </w:p>
    <w:tbl>
      <w:tblPr>
        <w:tblW w:w="10055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557"/>
        <w:gridCol w:w="1407"/>
        <w:gridCol w:w="1570"/>
        <w:gridCol w:w="1985"/>
        <w:gridCol w:w="1559"/>
        <w:gridCol w:w="1418"/>
        <w:gridCol w:w="1558"/>
      </w:tblGrid>
      <w:tr>
        <w:trPr/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sPlusNormal1"/>
              <w:widowControl w:val="false"/>
              <w:ind w:hanging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N п/п</w:t>
            </w:r>
          </w:p>
        </w:tc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Наименование должностей исполнителей</w:t>
            </w:r>
          </w:p>
        </w:tc>
        <w:tc>
          <w:tcPr>
            <w:tcW w:w="1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sPlusNormal1"/>
              <w:widowControl w:val="false"/>
              <w:ind w:firstLine="67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Фактическое время участия исполнителя в работе, Тф (дни)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sPlusNormal1"/>
              <w:widowControl w:val="false"/>
              <w:ind w:firstLine="5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Плановая продолжительность выполнения проектных работ, предусмотренных калькуляцией, Тп (дни)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sPlusNormal1"/>
              <w:widowControl w:val="false"/>
              <w:ind w:hanging="56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Численность исполнителей одной квалификации Чi (чел)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sPlusNormal1"/>
              <w:widowControl w:val="false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Индекс уровня квалификации специалистов исполнителей работы И</w:t>
            </w:r>
            <w:r>
              <w:rPr>
                <w:rFonts w:cs="Times New Roman" w:ascii="Times New Roman" w:hAnsi="Times New Roman"/>
                <w:shd w:fill="auto" w:val="clear"/>
                <w:lang w:val="en-US"/>
              </w:rPr>
              <w:t>i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sPlusNormal1"/>
              <w:widowControl w:val="false"/>
              <w:ind w:firstLine="6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Коэффициент квалификации (участия) специалистов одной квалификации,</w:t>
            </w:r>
          </w:p>
          <w:p>
            <w:pPr>
              <w:pStyle w:val="ConsPlusNormal1"/>
              <w:widowControl w:val="false"/>
              <w:ind w:firstLine="6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∑</w:t>
            </w:r>
            <w:r>
              <w:rPr>
                <w:rFonts w:cs="Times New Roman" w:ascii="Times New Roman" w:hAnsi="Times New Roman"/>
                <w:shd w:fill="auto" w:val="clear"/>
              </w:rPr>
              <w:t>(гр.3/итог гр.4 х гр.5 х гр.6) / ∑гр.5</w:t>
            </w:r>
          </w:p>
        </w:tc>
      </w:tr>
      <w:tr>
        <w:trPr/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81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1</w:t>
            </w:r>
          </w:p>
        </w:tc>
        <w:tc>
          <w:tcPr>
            <w:tcW w:w="140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</w:t>
            </w:r>
          </w:p>
        </w:tc>
        <w:tc>
          <w:tcPr>
            <w:tcW w:w="157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3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4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5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6</w:t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7</w:t>
            </w:r>
          </w:p>
        </w:tc>
      </w:tr>
      <w:tr>
        <w:trPr/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40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57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51"/>
              <w:jc w:val="center"/>
              <w:rPr/>
            </w:pPr>
            <w:hyperlink w:anchor="P3816">
              <w:r>
                <w:rPr>
                  <w:rStyle w:val="Hyperlink"/>
                  <w:rFonts w:cs="Times New Roman" w:ascii="Times New Roman" w:hAnsi="Times New Roman"/>
                  <w:shd w:fill="auto" w:val="clear"/>
                </w:rPr>
                <w:t>*</w:t>
              </w:r>
            </w:hyperlink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40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57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51"/>
              <w:jc w:val="center"/>
              <w:rPr/>
            </w:pPr>
            <w:hyperlink w:anchor="P3816">
              <w:r>
                <w:rPr>
                  <w:rStyle w:val="Hyperlink"/>
                  <w:rFonts w:cs="Times New Roman" w:ascii="Times New Roman" w:hAnsi="Times New Roman"/>
                  <w:shd w:fill="auto" w:val="clear"/>
                </w:rPr>
                <w:t>*</w:t>
              </w:r>
            </w:hyperlink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40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57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51"/>
              <w:jc w:val="center"/>
              <w:rPr/>
            </w:pPr>
            <w:hyperlink w:anchor="P3816">
              <w:r>
                <w:rPr>
                  <w:rStyle w:val="Hyperlink"/>
                  <w:rFonts w:cs="Times New Roman" w:ascii="Times New Roman" w:hAnsi="Times New Roman"/>
                  <w:shd w:fill="auto" w:val="clear"/>
                </w:rPr>
                <w:t>*</w:t>
              </w:r>
            </w:hyperlink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40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jc w:val="right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Итого</w:t>
            </w:r>
          </w:p>
        </w:tc>
        <w:tc>
          <w:tcPr>
            <w:tcW w:w="157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/>
            </w:pPr>
            <w:hyperlink w:anchor="P3816">
              <w:r>
                <w:rPr>
                  <w:rStyle w:val="Hyperlink"/>
                  <w:rFonts w:cs="Times New Roman" w:ascii="Times New Roman" w:hAnsi="Times New Roman"/>
                  <w:shd w:fill="auto" w:val="clear"/>
                </w:rPr>
                <w:t>*</w:t>
              </w:r>
            </w:hyperlink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51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/>
            </w:pPr>
            <w:hyperlink w:anchor="P3816">
              <w:r>
                <w:rPr>
                  <w:rStyle w:val="Hyperlink"/>
                  <w:rFonts w:cs="Times New Roman" w:ascii="Times New Roman" w:hAnsi="Times New Roman"/>
                  <w:shd w:fill="auto" w:val="clear"/>
                </w:rPr>
                <w:t>*</w:t>
              </w:r>
            </w:hyperlink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</w:tr>
    </w:tbl>
    <w:p>
      <w:pPr>
        <w:sectPr>
          <w:footerReference w:type="default" r:id="rId31"/>
          <w:footerReference w:type="first" r:id="rId32"/>
          <w:footnotePr>
            <w:numFmt w:val="decimal"/>
            <w:numRestart w:val="eachSect"/>
          </w:footnotePr>
          <w:type w:val="nextPage"/>
          <w:pgSz w:w="11906" w:h="16838"/>
          <w:pgMar w:left="1418" w:right="851" w:gutter="0" w:header="0" w:top="1134" w:footer="709" w:bottom="1134"/>
          <w:pgNumType w:fmt="decimal"/>
          <w:formProt w:val="false"/>
          <w:textDirection w:val="lrTb"/>
          <w:docGrid w:type="default" w:linePitch="360" w:charSpace="0"/>
        </w:sectPr>
        <w:pStyle w:val="ConsPlusNonformat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2"/>
          <w:szCs w:val="22"/>
          <w:shd w:fill="auto" w:val="clear"/>
        </w:rPr>
        <w:t>Примечание: &lt;*&gt; Графы для расчета коэффициента в таблице не заполняются</w:t>
      </w:r>
      <w:r>
        <w:br w:type="page"/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Расчет стоимости проектных работ в соответствии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с калькуляцией затрат на проектирование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</w:r>
    </w:p>
    <w:tbl>
      <w:tblPr>
        <w:tblW w:w="15501" w:type="dxa"/>
        <w:jc w:val="left"/>
        <w:tblInd w:w="-7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1833"/>
        <w:gridCol w:w="1276"/>
        <w:gridCol w:w="1700"/>
        <w:gridCol w:w="1845"/>
        <w:gridCol w:w="1133"/>
        <w:gridCol w:w="1702"/>
        <w:gridCol w:w="1415"/>
        <w:gridCol w:w="1702"/>
        <w:gridCol w:w="1619"/>
        <w:gridCol w:w="1274"/>
      </w:tblGrid>
      <w:tr>
        <w:trPr/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Среднемесячная зарплата исполнителей, руб.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Кол-во рабочих дней в месяце, дни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Среднедневная зарплата исполнителей, руб.</w:t>
            </w:r>
          </w:p>
          <w:p>
            <w:pPr>
              <w:pStyle w:val="ConsPlusNormal1"/>
              <w:widowControl w:val="false"/>
              <w:ind w:firstLine="60"/>
              <w:jc w:val="center"/>
              <w:rPr/>
            </w:pPr>
            <w:r>
              <w:rPr>
                <w:rFonts w:cs="Times New Roman" w:ascii="Times New Roman" w:hAnsi="Times New Roman"/>
                <w:shd w:fill="auto" w:val="clear"/>
              </w:rPr>
              <w:t>(</w:t>
            </w:r>
            <w:hyperlink w:anchor="P3831">
              <w:r>
                <w:rPr>
                  <w:rStyle w:val="Hyperlink"/>
                  <w:rFonts w:cs="Times New Roman" w:ascii="Times New Roman" w:hAnsi="Times New Roman"/>
                  <w:shd w:fill="auto" w:val="clear"/>
                </w:rPr>
                <w:t>гр 1</w:t>
              </w:r>
            </w:hyperlink>
            <w:r>
              <w:rPr>
                <w:rFonts w:cs="Times New Roman" w:ascii="Times New Roman" w:hAnsi="Times New Roman"/>
                <w:shd w:fill="auto" w:val="clear"/>
              </w:rPr>
              <w:t xml:space="preserve"> / </w:t>
            </w:r>
            <w:hyperlink w:anchor="P3832">
              <w:r>
                <w:rPr>
                  <w:rStyle w:val="Hyperlink"/>
                  <w:rFonts w:cs="Times New Roman" w:ascii="Times New Roman" w:hAnsi="Times New Roman"/>
                  <w:shd w:fill="auto" w:val="clear"/>
                </w:rPr>
                <w:t>гр 2</w:t>
              </w:r>
            </w:hyperlink>
            <w:r>
              <w:rPr>
                <w:rFonts w:cs="Times New Roman" w:ascii="Times New Roman" w:hAnsi="Times New Roman"/>
                <w:shd w:fill="auto" w:val="clear"/>
              </w:rPr>
              <w:t>)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Удельный вес зарплаты в себестоимости работ - Кз, %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Рентабель-ность, %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/>
            </w:pPr>
            <w:r>
              <w:rPr>
                <w:rFonts w:cs="Times New Roman" w:ascii="Times New Roman" w:hAnsi="Times New Roman"/>
                <w:shd w:fill="auto" w:val="clear"/>
              </w:rPr>
              <w:t>Среднедневная единичная выработка, руб. (</w:t>
            </w:r>
            <w:hyperlink w:anchor="P3833">
              <w:r>
                <w:rPr>
                  <w:rStyle w:val="Hyperlink"/>
                  <w:rFonts w:cs="Times New Roman" w:ascii="Times New Roman" w:hAnsi="Times New Roman"/>
                  <w:shd w:fill="auto" w:val="clear"/>
                </w:rPr>
                <w:t>гр. 3</w:t>
              </w:r>
            </w:hyperlink>
            <w:r>
              <w:rPr>
                <w:rFonts w:cs="Times New Roman" w:ascii="Times New Roman" w:hAnsi="Times New Roman"/>
                <w:shd w:fill="auto" w:val="clear"/>
              </w:rPr>
              <w:t xml:space="preserve"> x (1 + </w:t>
            </w:r>
            <w:hyperlink w:anchor="P3835">
              <w:r>
                <w:rPr>
                  <w:rStyle w:val="Hyperlink"/>
                  <w:rFonts w:cs="Times New Roman" w:ascii="Times New Roman" w:hAnsi="Times New Roman"/>
                  <w:shd w:fill="auto" w:val="clear"/>
                </w:rPr>
                <w:t>гр. 5</w:t>
              </w:r>
            </w:hyperlink>
            <w:r>
              <w:rPr>
                <w:rFonts w:cs="Times New Roman" w:ascii="Times New Roman" w:hAnsi="Times New Roman"/>
                <w:shd w:fill="auto" w:val="clear"/>
              </w:rPr>
              <w:t xml:space="preserve">)) / </w:t>
            </w:r>
            <w:hyperlink w:anchor="P3834">
              <w:r>
                <w:rPr>
                  <w:rStyle w:val="Hyperlink"/>
                  <w:rFonts w:cs="Times New Roman" w:ascii="Times New Roman" w:hAnsi="Times New Roman"/>
                  <w:shd w:fill="auto" w:val="clear"/>
                </w:rPr>
                <w:t>гр. 4</w:t>
              </w:r>
            </w:hyperlink>
          </w:p>
        </w:tc>
        <w:tc>
          <w:tcPr>
            <w:tcW w:w="1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Продолжи-тельность разработки (дни)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Численность исполнителей (чел.)</w:t>
            </w:r>
          </w:p>
        </w:tc>
        <w:tc>
          <w:tcPr>
            <w:tcW w:w="16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 xml:space="preserve">Коэффициент квалификации (участия) </w:t>
            </w:r>
          </w:p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Ккв-уч</w:t>
            </w:r>
          </w:p>
        </w:tc>
        <w:tc>
          <w:tcPr>
            <w:tcW w:w="12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 xml:space="preserve">Стоимость работ, руб. </w:t>
            </w:r>
          </w:p>
          <w:p>
            <w:pPr>
              <w:pStyle w:val="ConsPlusNormal1"/>
              <w:widowControl w:val="false"/>
              <w:ind w:firstLine="60"/>
              <w:jc w:val="center"/>
              <w:rPr/>
            </w:pPr>
            <w:r>
              <w:rPr>
                <w:rFonts w:cs="Times New Roman" w:ascii="Times New Roman" w:hAnsi="Times New Roman"/>
                <w:shd w:fill="auto" w:val="clear"/>
              </w:rPr>
              <w:t>С = (</w:t>
            </w:r>
            <w:hyperlink w:anchor="P3836">
              <w:r>
                <w:rPr>
                  <w:rStyle w:val="Hyperlink"/>
                  <w:rFonts w:cs="Times New Roman" w:ascii="Times New Roman" w:hAnsi="Times New Roman"/>
                  <w:shd w:fill="auto" w:val="clear"/>
                </w:rPr>
                <w:t>гр. 6</w:t>
              </w:r>
            </w:hyperlink>
            <w:r>
              <w:rPr>
                <w:rFonts w:cs="Times New Roman" w:ascii="Times New Roman" w:hAnsi="Times New Roman"/>
                <w:shd w:fill="auto" w:val="clear"/>
              </w:rPr>
              <w:t xml:space="preserve"> x </w:t>
            </w:r>
            <w:hyperlink w:anchor="P3837">
              <w:r>
                <w:rPr>
                  <w:rStyle w:val="Hyperlink"/>
                  <w:rFonts w:cs="Times New Roman" w:ascii="Times New Roman" w:hAnsi="Times New Roman"/>
                  <w:shd w:fill="auto" w:val="clear"/>
                </w:rPr>
                <w:t>гр. 7</w:t>
              </w:r>
            </w:hyperlink>
            <w:r>
              <w:rPr>
                <w:rFonts w:cs="Times New Roman" w:ascii="Times New Roman" w:hAnsi="Times New Roman"/>
                <w:shd w:fill="auto" w:val="clear"/>
              </w:rPr>
              <w:t xml:space="preserve"> x </w:t>
            </w:r>
            <w:hyperlink w:anchor="P3838">
              <w:r>
                <w:rPr>
                  <w:rStyle w:val="Hyperlink"/>
                  <w:rFonts w:cs="Times New Roman" w:ascii="Times New Roman" w:hAnsi="Times New Roman"/>
                  <w:shd w:fill="auto" w:val="clear"/>
                </w:rPr>
                <w:t>гр. 8</w:t>
              </w:r>
            </w:hyperlink>
            <w:r>
              <w:rPr>
                <w:rFonts w:cs="Times New Roman" w:ascii="Times New Roman" w:hAnsi="Times New Roman"/>
                <w:shd w:fill="auto" w:val="clear"/>
              </w:rPr>
              <w:t xml:space="preserve"> x </w:t>
            </w:r>
            <w:hyperlink w:anchor="P3839">
              <w:r>
                <w:rPr>
                  <w:rStyle w:val="Hyperlink"/>
                  <w:rFonts w:cs="Times New Roman" w:ascii="Times New Roman" w:hAnsi="Times New Roman"/>
                  <w:shd w:fill="auto" w:val="clear"/>
                </w:rPr>
                <w:t>гр. 9</w:t>
              </w:r>
            </w:hyperlink>
            <w:r>
              <w:rPr>
                <w:rFonts w:cs="Times New Roman" w:ascii="Times New Roman" w:hAnsi="Times New Roman"/>
                <w:shd w:fill="auto" w:val="clear"/>
              </w:rPr>
              <w:t>)</w:t>
            </w:r>
          </w:p>
        </w:tc>
      </w:tr>
      <w:tr>
        <w:trPr/>
        <w:tc>
          <w:tcPr>
            <w:tcW w:w="18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</w:t>
            </w:r>
          </w:p>
        </w:tc>
        <w:tc>
          <w:tcPr>
            <w:tcW w:w="17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57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3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4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5</w:t>
            </w: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6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7</w:t>
            </w: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8</w:t>
            </w:r>
          </w:p>
        </w:tc>
        <w:tc>
          <w:tcPr>
            <w:tcW w:w="161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9</w:t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3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10</w:t>
            </w:r>
          </w:p>
        </w:tc>
      </w:tr>
      <w:tr>
        <w:trPr/>
        <w:tc>
          <w:tcPr>
            <w:tcW w:w="18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61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27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</w:tr>
    </w:tbl>
    <w:p>
      <w:pPr>
        <w:pStyle w:val="ConsPlusNormal1"/>
        <w:jc w:val="both"/>
        <w:rPr>
          <w:rFonts w:ascii="Times New Roman" w:hAnsi="Times New Roman" w:eastAsia="Calibri" w:cs="Times New Roman" w:eastAsiaTheme="minorHAnsi"/>
          <w:sz w:val="24"/>
          <w:szCs w:val="24"/>
          <w:highlight w:val="none"/>
          <w:shd w:fill="auto" w:val="clear"/>
        </w:rPr>
      </w:pPr>
      <w:r>
        <w:rPr>
          <w:rFonts w:eastAsia="Calibri" w:cs="Times New Roman" w:eastAsiaTheme="minorHAnsi" w:ascii="Times New Roman" w:hAnsi="Times New Roman"/>
          <w:sz w:val="24"/>
          <w:szCs w:val="24"/>
          <w:shd w:fill="auto" w:val="clear"/>
        </w:rPr>
      </w:r>
    </w:p>
    <w:p>
      <w:pPr>
        <w:pStyle w:val="Normal"/>
        <w:spacing w:lineRule="auto" w:line="240" w:before="0" w:after="0"/>
        <w:ind w:hanging="0" w:right="294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Руководитель</w:t>
      </w:r>
    </w:p>
    <w:p>
      <w:pPr>
        <w:pStyle w:val="Normal"/>
        <w:spacing w:lineRule="auto" w:line="240" w:before="0" w:after="0"/>
        <w:ind w:hanging="0" w:right="294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проектной организации _______________________________________________________________________________</w:t>
      </w:r>
    </w:p>
    <w:p>
      <w:pPr>
        <w:pStyle w:val="Normal"/>
        <w:spacing w:lineRule="auto" w:line="240" w:before="0" w:after="0"/>
        <w:ind w:hanging="0" w:right="2947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i/>
          <w:iCs/>
          <w:shd w:fill="auto" w:val="clear"/>
        </w:rPr>
        <w:t>[подпись (инициалы, фамилия)]</w:t>
      </w:r>
    </w:p>
    <w:p>
      <w:pPr>
        <w:pStyle w:val="Normal"/>
        <w:spacing w:lineRule="auto" w:line="240" w:before="0" w:after="0"/>
        <w:ind w:hanging="0" w:right="2947"/>
        <w:jc w:val="both"/>
        <w:rPr>
          <w:rFonts w:ascii="Times New Roman" w:hAnsi="Times New Roman"/>
          <w:i/>
          <w:i/>
          <w:iCs/>
          <w:highlight w:val="none"/>
          <w:shd w:fill="auto" w:val="clear"/>
        </w:rPr>
      </w:pPr>
      <w:r>
        <w:rPr>
          <w:rFonts w:ascii="Times New Roman" w:hAnsi="Times New Roman"/>
          <w:i/>
          <w:iCs/>
          <w:shd w:fill="auto" w:val="clear"/>
        </w:rPr>
      </w:r>
    </w:p>
    <w:p>
      <w:pPr>
        <w:pStyle w:val="Normal"/>
        <w:spacing w:lineRule="auto" w:line="240" w:before="0" w:after="0"/>
        <w:ind w:hanging="0" w:right="294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Главный инженер</w:t>
      </w:r>
    </w:p>
    <w:p>
      <w:pPr>
        <w:pStyle w:val="Normal"/>
        <w:spacing w:lineRule="auto" w:line="240" w:before="0" w:after="0"/>
        <w:ind w:hanging="0" w:right="294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проекта _______________________________________________________________________________________________</w:t>
      </w:r>
    </w:p>
    <w:p>
      <w:pPr>
        <w:pStyle w:val="Normal"/>
        <w:spacing w:lineRule="auto" w:line="240" w:before="0" w:after="0"/>
        <w:ind w:hanging="0" w:right="2947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i/>
          <w:iCs/>
          <w:shd w:fill="auto" w:val="clear"/>
        </w:rPr>
        <w:t>[подпись (инициалы, фамилия)]</w:t>
      </w:r>
    </w:p>
    <w:p>
      <w:pPr>
        <w:pStyle w:val="Normal"/>
        <w:spacing w:lineRule="auto" w:line="240" w:before="0" w:after="0"/>
        <w:ind w:hanging="0" w:right="2947"/>
        <w:jc w:val="both"/>
        <w:rPr>
          <w:rFonts w:ascii="Times New Roman" w:hAnsi="Times New Roman"/>
          <w:i/>
          <w:i/>
          <w:iCs/>
          <w:highlight w:val="none"/>
          <w:shd w:fill="auto" w:val="clear"/>
        </w:rPr>
      </w:pPr>
      <w:r>
        <w:rPr>
          <w:rFonts w:ascii="Times New Roman" w:hAnsi="Times New Roman"/>
          <w:i/>
          <w:iCs/>
          <w:shd w:fill="auto" w:val="clear"/>
        </w:rPr>
      </w:r>
    </w:p>
    <w:p>
      <w:pPr>
        <w:pStyle w:val="Normal"/>
        <w:spacing w:lineRule="auto" w:line="240" w:before="0" w:after="0"/>
        <w:ind w:hanging="0" w:right="2947"/>
        <w:jc w:val="both"/>
        <w:rPr>
          <w:rFonts w:ascii="Times New Roman" w:hAnsi="Times New Roman"/>
          <w:i/>
          <w:i/>
          <w:iCs/>
          <w:highlight w:val="none"/>
          <w:shd w:fill="auto" w:val="clear"/>
        </w:rPr>
      </w:pPr>
      <w:r>
        <w:rPr>
          <w:rFonts w:ascii="Times New Roman" w:hAnsi="Times New Roman"/>
          <w:i/>
          <w:iCs/>
          <w:shd w:fill="auto" w:val="clear"/>
        </w:rPr>
      </w:r>
      <w:bookmarkStart w:id="56" w:name="_MON_1758635370_Копия_1_Копия_1_Копия_1_"/>
      <w:bookmarkStart w:id="57" w:name="_MON_1758635370_Копия_1_Копия_1_Копия_1_"/>
      <w:bookmarkStart w:id="58" w:name="_MON_1758635370_Копия_1_Копия_1_Копия_1_"/>
      <w:bookmarkStart w:id="59" w:name="_MON_1758635370_Копия_1_Копия_1_Копия_1_"/>
      <w:bookmarkStart w:id="60" w:name="_MON_1758635370_Копия_1_Копия_1"/>
      <w:bookmarkStart w:id="61" w:name="_MON_1758635370"/>
      <w:bookmarkStart w:id="62" w:name="_MON_1758635370_Копия_1"/>
      <w:bookmarkStart w:id="63" w:name="_MON_1758635370_Копия_1_Копия_1_Копия_1"/>
      <w:bookmarkStart w:id="64" w:name="_MON_1758635370_Копия_1_Копия_1_Копия_1_"/>
      <w:bookmarkStart w:id="65" w:name="_MON_1758635370_Копия_1_Копия_1_Копия_1_"/>
      <w:bookmarkStart w:id="66" w:name="_MON_1758635370_Копия_1_Копия_1_Копия_1_"/>
      <w:bookmarkStart w:id="67" w:name="_MON_1758635370_Копия_1_Копия_1_Копия_1_"/>
      <w:bookmarkStart w:id="68" w:name="_MON_1758635370_Копия_1_Копия_1_Копия_1_"/>
      <w:bookmarkStart w:id="69" w:name="_MON_1758635370_Копия_1_Копия_1_Копия_1_"/>
      <w:bookmarkStart w:id="70" w:name="_MON_1758635370_Копия_1_Копия_1_Копия_1_"/>
      <w:bookmarkStart w:id="71" w:name="_MON_1758635370_Копия_1_Копия_1"/>
      <w:bookmarkStart w:id="72" w:name="_MON_1758635370"/>
      <w:bookmarkStart w:id="73" w:name="_MON_1758635370_Копия_1"/>
      <w:bookmarkStart w:id="74" w:name="_MON_1758635370_Копия_1_Копия_1_Копия_1"/>
      <w:bookmarkStart w:id="75" w:name="_MON_1758635370_Копия_1_Копия_1_Копия_1_"/>
      <w:bookmarkStart w:id="76" w:name="_MON_1758635370_Копия_1_Копия_1_Копия_1_"/>
      <w:bookmarkStart w:id="77" w:name="_MON_1758635370_Копия_1_Копия_1_Копия_1_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>
      <w:pPr>
        <w:sectPr>
          <w:footerReference w:type="default" r:id="rId35"/>
          <w:footerReference w:type="first" r:id="rId36"/>
          <w:footnotePr>
            <w:numFmt w:val="decimal"/>
            <w:numRestart w:val="eachSect"/>
          </w:footnotePr>
          <w:type w:val="nextPage"/>
          <w:pgSz w:orient="landscape" w:w="16838" w:h="11906"/>
          <w:pgMar w:left="1418" w:right="851" w:gutter="0" w:header="0" w:top="1134" w:footer="709" w:bottom="1134"/>
          <w:pgNumType w:fmt="decimal"/>
          <w:formProt w:val="false"/>
          <w:textDirection w:val="lrTb"/>
          <w:docGrid w:type="default" w:linePitch="360" w:charSpace="0"/>
        </w:sectPr>
        <w:pStyle w:val="ConsPlusNormal1"/>
        <w:ind w:hanging="0"/>
        <w:jc w:val="both"/>
        <w:rPr>
          <w:highlight w:val="none"/>
          <w:shd w:fill="auto" w:val="clear"/>
        </w:rPr>
      </w:pPr>
      <w:bookmarkStart w:id="78" w:name="_MON_1758635370_Копия_1_Копия_1_Копия_1_"/>
      <w:bookmarkEnd w:id="78"/>
      <w:r>
        <w:rPr/>
        <w:object>
          <v:shapetype id="_x0000_tole_rId33" coordsize="21600,21600" o:spt="ole_rId33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33" type="_x0000_tole_rId33" style="width:79.45pt;height:50.65pt;mso-wrap-distance-right:0pt" filled="f" o:ole="">
            <v:imagedata r:id="rId34" o:title=""/>
          </v:shape>
          <o:OLEObject Type="Embed" ProgID="Excel.Sheet.12" ShapeID="ole_rId33" DrawAspect="Icon" ObjectID="_1041097900" r:id="rId33"/>
        </w:objec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bookmarkStart w:id="79" w:name="P3865"/>
      <w:bookmarkEnd w:id="79"/>
      <w:r>
        <w:rPr>
          <w:rFonts w:ascii="Times New Roman" w:hAnsi="Times New Roman"/>
          <w:shd w:fill="auto" w:val="clear"/>
        </w:rPr>
        <w:t>Образец сметного расчета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на командировочные расходы по работам,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связанным с проектированием объекта (форма 4п)</w:t>
      </w:r>
    </w:p>
    <w:p>
      <w:pPr>
        <w:pStyle w:val="ConsPlusNormal1"/>
        <w:jc w:val="both"/>
        <w:rPr>
          <w:rFonts w:ascii="Times New Roman" w:hAnsi="Times New Roman" w:cs="Times New Roman"/>
          <w:sz w:val="22"/>
          <w:szCs w:val="22"/>
          <w:highlight w:val="none"/>
          <w:shd w:fill="auto" w:val="clear"/>
        </w:rPr>
      </w:pPr>
      <w:r>
        <w:rPr>
          <w:rFonts w:cs="Times New Roman" w:ascii="Times New Roman" w:hAnsi="Times New Roman"/>
          <w:sz w:val="22"/>
          <w:szCs w:val="22"/>
          <w:shd w:fill="auto" w:val="clear"/>
        </w:rPr>
      </w:r>
    </w:p>
    <w:tbl>
      <w:tblPr>
        <w:tblW w:w="15038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491"/>
        <w:gridCol w:w="1626"/>
        <w:gridCol w:w="1698"/>
        <w:gridCol w:w="1973"/>
        <w:gridCol w:w="2664"/>
        <w:gridCol w:w="1271"/>
        <w:gridCol w:w="1917"/>
        <w:gridCol w:w="2006"/>
        <w:gridCol w:w="1390"/>
      </w:tblGrid>
      <w:tr>
        <w:trPr>
          <w:trHeight w:val="644" w:hRule="atLeast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N п/п</w:t>
            </w:r>
          </w:p>
        </w:tc>
        <w:tc>
          <w:tcPr>
            <w:tcW w:w="16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Пункт назначения</w:t>
            </w:r>
          </w:p>
        </w:tc>
        <w:tc>
          <w:tcPr>
            <w:tcW w:w="16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Количество специалистов</w:t>
            </w:r>
          </w:p>
        </w:tc>
        <w:tc>
          <w:tcPr>
            <w:tcW w:w="1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Проезд к месту командировки (туда и обратно)</w:t>
            </w:r>
          </w:p>
        </w:tc>
        <w:tc>
          <w:tcPr>
            <w:tcW w:w="26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 xml:space="preserve">Проживание в номере гостиницы класса "3 звезды", </w:t>
            </w:r>
          </w:p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1 чел/сутки.</w:t>
            </w:r>
          </w:p>
        </w:tc>
        <w:tc>
          <w:tcPr>
            <w:tcW w:w="1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Суточные</w:t>
            </w:r>
          </w:p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1 сутки/руб.</w:t>
            </w:r>
          </w:p>
        </w:tc>
        <w:tc>
          <w:tcPr>
            <w:tcW w:w="19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Продолжительность командировки, сутки</w:t>
            </w:r>
          </w:p>
        </w:tc>
        <w:tc>
          <w:tcPr>
            <w:tcW w:w="20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Продолжительность проживания в гостинице, сутки</w:t>
            </w:r>
          </w:p>
        </w:tc>
        <w:tc>
          <w:tcPr>
            <w:tcW w:w="13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Итого затрат, рубли</w:t>
            </w:r>
          </w:p>
        </w:tc>
      </w:tr>
      <w:tr>
        <w:trPr/>
        <w:tc>
          <w:tcPr>
            <w:tcW w:w="4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1</w:t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</w:t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3</w:t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4</w:t>
            </w:r>
          </w:p>
        </w:tc>
        <w:tc>
          <w:tcPr>
            <w:tcW w:w="266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5</w:t>
            </w:r>
          </w:p>
        </w:tc>
        <w:tc>
          <w:tcPr>
            <w:tcW w:w="12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6</w:t>
            </w:r>
          </w:p>
        </w:tc>
        <w:tc>
          <w:tcPr>
            <w:tcW w:w="19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7</w:t>
            </w:r>
          </w:p>
        </w:tc>
        <w:tc>
          <w:tcPr>
            <w:tcW w:w="200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8</w:t>
            </w:r>
          </w:p>
        </w:tc>
        <w:tc>
          <w:tcPr>
            <w:tcW w:w="139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9</w:t>
            </w:r>
          </w:p>
        </w:tc>
      </w:tr>
      <w:tr>
        <w:trPr/>
        <w:tc>
          <w:tcPr>
            <w:tcW w:w="4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266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2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9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200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39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4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266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2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9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200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39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4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62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69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266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2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9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200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39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38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Итого по сметному расчету</w:t>
            </w:r>
          </w:p>
        </w:tc>
        <w:tc>
          <w:tcPr>
            <w:tcW w:w="19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266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2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9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200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139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rPr>
                <w:rFonts w:ascii="Times New Roman" w:hAnsi="Times New Roman" w:cs="Times New Roman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</w:tr>
    </w:tbl>
    <w:p>
      <w:pPr>
        <w:pStyle w:val="ConsPlusNormal1"/>
        <w:jc w:val="both"/>
        <w:rPr>
          <w:rFonts w:ascii="Times New Roman" w:hAnsi="Times New Roman" w:eastAsia="Calibri" w:cs="Times New Roman" w:eastAsiaTheme="minorHAnsi"/>
          <w:sz w:val="22"/>
          <w:szCs w:val="22"/>
          <w:highlight w:val="none"/>
          <w:shd w:fill="auto" w:val="clear"/>
        </w:rPr>
      </w:pPr>
      <w:r>
        <w:rPr>
          <w:rFonts w:eastAsia="Calibri" w:cs="Times New Roman" w:eastAsiaTheme="minorHAnsi" w:ascii="Times New Roman" w:hAnsi="Times New Roman"/>
          <w:sz w:val="22"/>
          <w:szCs w:val="22"/>
          <w:shd w:fill="auto" w:val="clear"/>
        </w:rPr>
      </w:r>
    </w:p>
    <w:p>
      <w:pPr>
        <w:pStyle w:val="Normal"/>
        <w:spacing w:lineRule="auto" w:line="240" w:before="0" w:after="0"/>
        <w:ind w:hanging="0" w:right="294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Руководитель</w:t>
      </w:r>
    </w:p>
    <w:p>
      <w:pPr>
        <w:pStyle w:val="Normal"/>
        <w:spacing w:lineRule="auto" w:line="240" w:before="0" w:after="0"/>
        <w:ind w:hanging="0" w:right="294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проектной организации ________________________________________________________________________________</w:t>
      </w:r>
    </w:p>
    <w:p>
      <w:pPr>
        <w:pStyle w:val="Normal"/>
        <w:spacing w:lineRule="auto" w:line="240" w:before="0" w:after="0"/>
        <w:ind w:hanging="0" w:right="2947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i/>
          <w:iCs/>
          <w:shd w:fill="auto" w:val="clear"/>
        </w:rPr>
        <w:t>[подпись (инициалы, фамилия)]</w:t>
      </w:r>
    </w:p>
    <w:p>
      <w:pPr>
        <w:pStyle w:val="Normal"/>
        <w:spacing w:lineRule="auto" w:line="240" w:before="0" w:after="0"/>
        <w:ind w:hanging="0" w:right="2947"/>
        <w:jc w:val="both"/>
        <w:rPr>
          <w:rFonts w:ascii="Times New Roman" w:hAnsi="Times New Roman"/>
          <w:i/>
          <w:i/>
          <w:iCs/>
          <w:highlight w:val="none"/>
          <w:shd w:fill="auto" w:val="clear"/>
        </w:rPr>
      </w:pPr>
      <w:r>
        <w:rPr>
          <w:rFonts w:ascii="Times New Roman" w:hAnsi="Times New Roman"/>
          <w:i/>
          <w:iCs/>
          <w:shd w:fill="auto" w:val="clear"/>
        </w:rPr>
      </w:r>
    </w:p>
    <w:p>
      <w:pPr>
        <w:pStyle w:val="Normal"/>
        <w:spacing w:lineRule="auto" w:line="240" w:before="0" w:after="0"/>
        <w:ind w:hanging="0" w:right="294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Главный инженер</w:t>
      </w:r>
    </w:p>
    <w:p>
      <w:pPr>
        <w:pStyle w:val="Normal"/>
        <w:spacing w:lineRule="auto" w:line="240" w:before="0" w:after="0"/>
        <w:ind w:hanging="0" w:right="294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проекта _____________________________________________________________________________________________</w:t>
      </w:r>
    </w:p>
    <w:p>
      <w:pPr>
        <w:pStyle w:val="Normal"/>
        <w:spacing w:lineRule="auto" w:line="240" w:before="0" w:after="0"/>
        <w:ind w:hanging="0" w:right="2947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i/>
          <w:iCs/>
          <w:shd w:fill="auto" w:val="clear"/>
        </w:rPr>
        <w:t>[подпись (инициалы, фамилия)]</w:t>
      </w:r>
    </w:p>
    <w:p>
      <w:pPr>
        <w:pStyle w:val="Normal"/>
        <w:spacing w:lineRule="auto" w:line="240" w:before="0" w:after="0"/>
        <w:ind w:hanging="0" w:right="2947"/>
        <w:jc w:val="center"/>
        <w:rPr>
          <w:rFonts w:ascii="Times New Roman" w:hAnsi="Times New Roman"/>
          <w:i/>
          <w:i/>
          <w:iCs/>
          <w:highlight w:val="none"/>
          <w:shd w:fill="auto" w:val="clear"/>
        </w:rPr>
      </w:pPr>
      <w:r>
        <w:rPr>
          <w:rFonts w:ascii="Times New Roman" w:hAnsi="Times New Roman"/>
          <w:i/>
          <w:iCs/>
          <w:shd w:fill="auto" w:val="clear"/>
        </w:rPr>
      </w:r>
    </w:p>
    <w:p>
      <w:pPr>
        <w:pStyle w:val="Normal"/>
        <w:spacing w:lineRule="auto" w:line="240" w:before="0" w:after="0"/>
        <w:ind w:hanging="0" w:right="2947"/>
        <w:jc w:val="center"/>
        <w:rPr>
          <w:rFonts w:ascii="Times New Roman" w:hAnsi="Times New Roman"/>
          <w:i/>
          <w:i/>
          <w:iCs/>
          <w:highlight w:val="none"/>
          <w:shd w:fill="auto" w:val="clear"/>
        </w:rPr>
      </w:pPr>
      <w:r>
        <w:rPr>
          <w:rFonts w:ascii="Times New Roman" w:hAnsi="Times New Roman"/>
          <w:i/>
          <w:iCs/>
          <w:shd w:fill="auto" w:val="clear"/>
        </w:rPr>
      </w:r>
    </w:p>
    <w:p>
      <w:pPr>
        <w:pStyle w:val="Normal"/>
        <w:spacing w:lineRule="auto" w:line="240" w:before="0" w:after="0"/>
        <w:ind w:hanging="0" w:right="2947"/>
        <w:jc w:val="center"/>
        <w:rPr>
          <w:rFonts w:ascii="Times New Roman" w:hAnsi="Times New Roman"/>
          <w:i/>
          <w:i/>
          <w:iCs/>
          <w:highlight w:val="none"/>
          <w:shd w:fill="auto" w:val="clear"/>
        </w:rPr>
      </w:pPr>
      <w:r>
        <w:rPr>
          <w:rFonts w:ascii="Times New Roman" w:hAnsi="Times New Roman"/>
          <w:i/>
          <w:iCs/>
          <w:shd w:fill="auto" w:val="clear"/>
        </w:rPr>
      </w:r>
    </w:p>
    <w:p>
      <w:pPr>
        <w:sectPr>
          <w:footerReference w:type="default" r:id="rId39"/>
          <w:footerReference w:type="first" r:id="rId40"/>
          <w:footnotePr>
            <w:numFmt w:val="decimal"/>
            <w:numRestart w:val="eachSect"/>
          </w:footnotePr>
          <w:type w:val="nextPage"/>
          <w:pgSz w:orient="landscape" w:w="16838" w:h="11906"/>
          <w:pgMar w:left="1418" w:right="851" w:gutter="0" w:header="0" w:top="1134" w:footer="709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ind w:hanging="0" w:right="2947"/>
        <w:jc w:val="both"/>
        <w:rPr>
          <w:highlight w:val="none"/>
          <w:shd w:fill="auto" w:val="clear"/>
        </w:rPr>
      </w:pPr>
      <w:bookmarkStart w:id="80" w:name="_Hlk146878269"/>
      <w:r>
        <w:rPr/>
        <w:object>
          <v:shapetype id="_x0000_tole_rId37" coordsize="21600,21600" o:spt="ole_rId37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37" type="_x0000_tole_rId37" style="width:79.45pt;height:50.65pt;mso-wrap-distance-right:0pt" filled="f" o:ole="">
            <v:imagedata r:id="rId38" o:title=""/>
          </v:shape>
          <o:OLEObject Type="Embed" ProgID="Excel.Sheet.12" ShapeID="ole_rId37" DrawAspect="Icon" ObjectID="_2116519677" r:id="rId37"/>
        </w:object>
      </w:r>
      <w:bookmarkEnd w:id="80"/>
    </w:p>
    <w:p>
      <w:pPr>
        <w:pStyle w:val="Normal"/>
        <w:spacing w:lineRule="auto" w:line="240" w:before="0" w:after="0"/>
        <w:ind w:hanging="0" w:left="5812"/>
        <w:jc w:val="both"/>
        <w:rPr>
          <w:rFonts w:ascii="Times New Roman" w:hAnsi="Times New Roman"/>
          <w:sz w:val="20"/>
          <w:highlight w:val="none"/>
          <w:shd w:fill="auto" w:val="clear"/>
        </w:rPr>
      </w:pPr>
      <w:r>
        <w:rPr>
          <w:rFonts w:ascii="Times New Roman" w:hAnsi="Times New Roman"/>
          <w:sz w:val="20"/>
          <w:shd w:fill="auto" w:val="clear"/>
        </w:rPr>
      </w:r>
    </w:p>
    <w:p>
      <w:pPr>
        <w:pStyle w:val="ListParagraph"/>
        <w:spacing w:lineRule="auto" w:line="240" w:before="0" w:after="0"/>
        <w:ind w:hanging="0" w:left="1429"/>
        <w:contextualSpacing/>
        <w:jc w:val="right"/>
        <w:rPr/>
      </w:pPr>
      <w:r>
        <w:rPr>
          <w:rStyle w:val="Style15"/>
          <w:rFonts w:ascii="Times New Roman" w:hAnsi="Times New Roman"/>
          <w:iCs/>
          <w:shd w:fill="auto" w:val="clear"/>
        </w:rPr>
        <w:t>Приложение № 4</w:t>
      </w:r>
    </w:p>
    <w:p>
      <w:pPr>
        <w:pStyle w:val="ListParagraph"/>
        <w:widowControl w:val="false"/>
        <w:pBdr>
          <w:bottom w:val="single" w:sz="4" w:space="1" w:color="000000"/>
        </w:pBdr>
        <w:tabs>
          <w:tab w:val="clear" w:pos="709"/>
          <w:tab w:val="left" w:pos="426" w:leader="none"/>
        </w:tabs>
        <w:spacing w:lineRule="auto" w:line="240" w:before="0" w:after="0"/>
        <w:ind w:hanging="0" w:left="0"/>
        <w:contextualSpacing/>
        <w:jc w:val="right"/>
        <w:rPr/>
      </w:pPr>
      <w:r>
        <w:rPr>
          <w:rStyle w:val="Style15"/>
          <w:rFonts w:ascii="Times New Roman" w:hAnsi="Times New Roman"/>
          <w:iCs/>
          <w:shd w:fill="auto" w:val="clear"/>
        </w:rPr>
        <w:t>к Требования к оформлению и составлению</w:t>
      </w:r>
    </w:p>
    <w:p>
      <w:pPr>
        <w:pStyle w:val="ListParagraph"/>
        <w:widowControl w:val="false"/>
        <w:pBdr>
          <w:bottom w:val="single" w:sz="4" w:space="1" w:color="000000"/>
        </w:pBdr>
        <w:tabs>
          <w:tab w:val="clear" w:pos="709"/>
          <w:tab w:val="left" w:pos="426" w:leader="none"/>
        </w:tabs>
        <w:spacing w:lineRule="auto" w:line="240" w:before="0" w:after="0"/>
        <w:ind w:hanging="0" w:left="0"/>
        <w:contextualSpacing/>
        <w:jc w:val="right"/>
        <w:rPr/>
      </w:pPr>
      <w:r>
        <w:rPr>
          <w:rStyle w:val="Style15"/>
          <w:rFonts w:ascii="Times New Roman" w:hAnsi="Times New Roman"/>
          <w:iCs/>
          <w:shd w:fill="auto" w:val="clear"/>
        </w:rPr>
        <w:t xml:space="preserve"> </w:t>
      </w:r>
      <w:r>
        <w:rPr>
          <w:rStyle w:val="Style15"/>
          <w:rFonts w:ascii="Times New Roman" w:hAnsi="Times New Roman"/>
          <w:iCs/>
          <w:shd w:fill="auto" w:val="clear"/>
        </w:rPr>
        <w:t xml:space="preserve">сметной документации на строительство и </w:t>
      </w:r>
    </w:p>
    <w:p>
      <w:pPr>
        <w:pStyle w:val="ListParagraph"/>
        <w:widowControl w:val="false"/>
        <w:pBdr>
          <w:bottom w:val="single" w:sz="4" w:space="1" w:color="000000"/>
        </w:pBdr>
        <w:tabs>
          <w:tab w:val="clear" w:pos="709"/>
          <w:tab w:val="left" w:pos="426" w:leader="none"/>
        </w:tabs>
        <w:spacing w:lineRule="auto" w:line="240" w:before="0" w:after="0"/>
        <w:ind w:hanging="0" w:left="0"/>
        <w:contextualSpacing/>
        <w:jc w:val="right"/>
        <w:rPr/>
      </w:pPr>
      <w:r>
        <w:rPr>
          <w:rStyle w:val="Style15"/>
          <w:rFonts w:ascii="Times New Roman" w:hAnsi="Times New Roman"/>
          <w:iCs/>
          <w:shd w:fill="auto" w:val="clear"/>
        </w:rPr>
        <w:t xml:space="preserve">реконструкцию объектов капитального строительства 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hanging="0" w:left="142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ConsPlusNormal1"/>
        <w:widowControl/>
        <w:tabs>
          <w:tab w:val="clear" w:pos="709"/>
          <w:tab w:val="left" w:pos="900" w:leader="none"/>
          <w:tab w:val="left" w:pos="1134" w:leader="none"/>
        </w:tabs>
        <w:ind w:hanging="0"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Основные условия ценообразования к договору</w:t>
      </w:r>
    </w:p>
    <w:p>
      <w:pPr>
        <w:pStyle w:val="ConsPlusNormal1"/>
        <w:widowControl/>
        <w:tabs>
          <w:tab w:val="clear" w:pos="709"/>
          <w:tab w:val="left" w:pos="1134" w:leader="none"/>
        </w:tabs>
        <w:ind w:hanging="0"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tabs>
          <w:tab w:val="clear" w:pos="709"/>
          <w:tab w:val="left" w:pos="13892" w:leader="none"/>
        </w:tabs>
        <w:spacing w:lineRule="auto" w:line="240" w:before="0" w:after="0"/>
        <w:ind w:hanging="0" w:left="720" w:right="253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tabs>
          <w:tab w:val="clear" w:pos="709"/>
          <w:tab w:val="left" w:pos="13892" w:leader="none"/>
        </w:tabs>
        <w:spacing w:lineRule="auto" w:line="240" w:before="0" w:after="0"/>
        <w:ind w:hanging="0" w:left="720" w:right="253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object>
          <v:shapetype id="_x0000_tole_rId41" coordsize="21600,21600" o:spt="ole_rId41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41" type="_x0000_tole_rId41" style="position:absolute;margin-left:229.95pt;margin-top:0pt;width:24pt;height:24pt;mso-wrap-distance-right:0pt;mso-position-horizontal-relative:text;mso-position-vertical-relative:text" filled="f" o:ole="">
            <v:imagedata r:id="rId42" o:title=""/>
            <w10:wrap type="square"/>
          </v:shape>
          <o:OLEObject Type="Embed" ProgID="Excel.Sheet.12" ShapeID="ole_rId41" DrawAspect="Icon" ObjectID="_2080800783" r:id="rId41"/>
        </w:object>
      </w:r>
    </w:p>
    <w:sectPr>
      <w:footerReference w:type="default" r:id="rId43"/>
      <w:footerReference w:type="first" r:id="rId44"/>
      <w:footnotePr>
        <w:numFmt w:val="decimal"/>
        <w:numRestart w:val="eachSect"/>
      </w:footnotePr>
      <w:type w:val="nextPage"/>
      <w:pgSz w:w="11906" w:h="16838"/>
      <w:pgMar w:left="1304" w:right="924" w:gutter="0" w:header="0" w:top="851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roman"/>
    <w:pitch w:val="variable"/>
  </w:font>
  <w:font w:name="Arial">
    <w:altName w:val=" sans-serif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11927603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62345856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11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84238997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12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04450650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20612952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19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9034017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20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521171058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22</w:t>
    </w:r>
    <w:r>
      <w:rPr/>
      <w:fldChar w:fldCharType="end"/>
    </w:r>
  </w:p>
  <w:p>
    <w:pPr>
      <w:pStyle w:val="Footer"/>
      <w:rPr/>
    </w:pPr>
    <w:r>
      <w:rPr/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23</w:t>
    </w:r>
    <w:r>
      <w:rPr/>
      <w:fldChar w:fldCharType="end"/>
    </w:r>
  </w:p>
  <w:p>
    <w:pPr>
      <w:pStyle w:val="Footer"/>
      <w:rPr/>
    </w:pPr>
    <w:r>
      <w:rPr/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24</w:t>
    </w:r>
    <w:r>
      <w:rPr/>
      <w:fldChar w:fldCharType="end"/>
    </w:r>
  </w:p>
  <w:p>
    <w:pPr>
      <w:pStyle w:val="Footer"/>
      <w:rPr/>
    </w:pPr>
    <w:r>
      <w:rPr/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25</w:t>
    </w:r>
    <w:r>
      <w:rPr/>
      <w:fldChar w:fldCharType="end"/>
    </w:r>
  </w:p>
  <w:p>
    <w:pPr>
      <w:pStyle w:val="Footer"/>
      <w:rPr/>
    </w:pPr>
    <w:r>
      <w:rPr/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38036921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07240067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8646962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18"/>
          <w:szCs w:val="18"/>
        </w:rPr>
      </w:pPr>
      <w:r>
        <w:rPr>
          <w:rStyle w:val="Style3"/>
        </w:rPr>
        <w:footnoteRef/>
      </w:r>
      <w:r>
        <w:rPr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На официальном сайте единой межведомственной информационно-статистической системы (ЕМИСС) https://www.fedstat.ru указанная информация представлена по показателю «Среднемесячная номинальная начисленная заработная плата работающих в экономике с 2017 г.», в графе «Классификатор видов экономической деятельности» следует выбрать «Деятельность в области архитектуры и инженерно-технического проектирования; технических испытаний, исследований и анализа».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Для работ по проектированию объектов, являющихся особо опасными, технически сложными, уникальными объектами следует выбрать «Деятельность в области архитектуры, инженерных изысканий и предоставление технических консультаций в этих областях».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279"/>
      </w:pPr>
      <w:rPr/>
    </w:lvl>
    <w:lvl w:ilvl="1">
      <w:start w:val="1"/>
      <w:numFmt w:val="decimal"/>
      <w:lvlText w:val="%1.%2."/>
      <w:lvlJc w:val="left"/>
      <w:pPr>
        <w:tabs>
          <w:tab w:val="num" w:pos="1844"/>
        </w:tabs>
        <w:ind w:left="1844" w:hanging="567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dstrike w:val="false"/>
        <w:strike w:val="false"/>
      </w:rPr>
    </w:lvl>
    <w:lvl w:ilvl="3">
      <w:start w:val="1"/>
      <w:numFmt w:val="decimal"/>
      <w:lvlText w:val="%1.%2.%3.%4."/>
      <w:lvlJc w:val="left"/>
      <w:pPr>
        <w:tabs>
          <w:tab w:val="num" w:pos="1277"/>
        </w:tabs>
        <w:ind w:left="1277" w:hanging="567"/>
      </w:pPr>
      <w:rPr/>
    </w:lvl>
    <w:lvl w:ilvl="4">
      <w:start w:val="1"/>
      <w:numFmt w:val="lowerLetter"/>
      <w:lvlText w:val="%5)"/>
      <w:lvlJc w:val="left"/>
      <w:pPr>
        <w:tabs>
          <w:tab w:val="num" w:pos="1718"/>
        </w:tabs>
        <w:ind w:left="1718" w:hanging="1008"/>
      </w:pPr>
      <w:rPr/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/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i w:val="false"/>
        <w:rFonts w:ascii="Garamond" w:hAnsi="Garamond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0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07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4"/>
        <w:i w:val="false"/>
        <w:b w:val="false"/>
        <w:szCs w:val="24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2" w:hanging="450"/>
      </w:pPr>
      <w:rPr>
        <w:sz w:val="22"/>
        <w:b w:val="false"/>
        <w:szCs w:val="22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2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42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2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2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2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sz w:val="28"/>
      </w:rPr>
    </w:lvl>
  </w:abstractNum>
  <w:abstractNum w:abstractNumId="7">
    <w:lvl w:ilvl="0">
      <w:start w:val="1"/>
      <w:numFmt w:val="decimal"/>
      <w:lvlText w:val="%1."/>
      <w:lvlJc w:val="center"/>
      <w:pPr>
        <w:tabs>
          <w:tab w:val="num" w:pos="1272"/>
        </w:tabs>
        <w:ind w:left="1272" w:hanging="279"/>
      </w:pPr>
      <w:rPr>
        <w:sz w:val="24"/>
        <w:i w:val="false"/>
        <w:u w:val="none"/>
        <w:b w:val="false"/>
        <w:szCs w:val="24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844"/>
        </w:tabs>
        <w:ind w:left="1844" w:hanging="567"/>
      </w:pPr>
      <w:rPr>
        <w:sz w:val="24"/>
        <w:u w:val="none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dstrike w:val="false"/>
        <w:strike w:val="false"/>
      </w:rPr>
    </w:lvl>
    <w:lvl w:ilvl="3">
      <w:start w:val="1"/>
      <w:numFmt w:val="decimal"/>
      <w:lvlText w:val="%1.%2.%3.%4."/>
      <w:lvlJc w:val="left"/>
      <w:pPr>
        <w:tabs>
          <w:tab w:val="num" w:pos="1277"/>
        </w:tabs>
        <w:ind w:left="1277" w:hanging="567"/>
      </w:pPr>
      <w:rPr/>
    </w:lvl>
    <w:lvl w:ilvl="4">
      <w:start w:val="1"/>
      <w:numFmt w:val="lowerLetter"/>
      <w:lvlText w:val="%5)"/>
      <w:lvlJc w:val="left"/>
      <w:pPr>
        <w:tabs>
          <w:tab w:val="num" w:pos="1718"/>
        </w:tabs>
        <w:ind w:left="1718" w:hanging="1008"/>
      </w:pPr>
      <w:rPr/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/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 w:val="false"/>
        <w:rFonts w:ascii="Times New Roman" w:hAnsi="Times New Roman" w:eastAsia="Calibri" w:cs="Times New Roman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24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4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8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316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34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52" w:hanging="144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13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397"/>
        </w:tabs>
        <w:ind w:left="0" w:hanging="0"/>
      </w:pPr>
      <w:rPr>
        <w:i w:val="false"/>
        <w:b w:val="fals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284" w:hanging="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 w:cs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2"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4"/>
      <w:numFmt w:val="decimal"/>
      <w:lvlText w:val="%1.%2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d2f0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1"/>
    <w:uiPriority w:val="9"/>
    <w:qFormat/>
    <w:rsid w:val="00bb18d9"/>
    <w:pPr>
      <w:keepNext w:val="true"/>
      <w:keepLines/>
      <w:spacing w:lineRule="auto" w:line="240"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4745f"/>
    <w:pPr>
      <w:keepNext w:val="true"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qFormat/>
    <w:rsid w:val="00bb18d9"/>
    <w:pPr>
      <w:keepNext w:val="true"/>
      <w:keepLines/>
      <w:spacing w:lineRule="auto" w:line="240"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Heading4">
    <w:name w:val="Heading 4"/>
    <w:basedOn w:val="Normal"/>
    <w:next w:val="Normal"/>
    <w:link w:val="4"/>
    <w:uiPriority w:val="9"/>
    <w:qFormat/>
    <w:rsid w:val="00bb18d9"/>
    <w:pPr>
      <w:keepNext w:val="true"/>
      <w:keepLines/>
      <w:spacing w:lineRule="auto" w:line="240"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Heading5">
    <w:name w:val="Heading 5"/>
    <w:basedOn w:val="Normal"/>
    <w:next w:val="Normal"/>
    <w:link w:val="5"/>
    <w:uiPriority w:val="9"/>
    <w:qFormat/>
    <w:rsid w:val="00bb18d9"/>
    <w:pPr>
      <w:keepNext w:val="true"/>
      <w:keepLines/>
      <w:spacing w:lineRule="auto" w:line="240"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styleId="Heading6">
    <w:name w:val="Heading 6"/>
    <w:basedOn w:val="Normal"/>
    <w:next w:val="Normal"/>
    <w:link w:val="6"/>
    <w:uiPriority w:val="9"/>
    <w:qFormat/>
    <w:rsid w:val="00bb18d9"/>
    <w:pPr>
      <w:keepNext w:val="true"/>
      <w:keepLines/>
      <w:spacing w:lineRule="auto" w:line="240"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link w:val="7"/>
    <w:uiPriority w:val="9"/>
    <w:qFormat/>
    <w:rsid w:val="00bb18d9"/>
    <w:pPr>
      <w:keepNext w:val="true"/>
      <w:keepLines/>
      <w:spacing w:lineRule="auto" w:line="240"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8"/>
    <w:uiPriority w:val="9"/>
    <w:qFormat/>
    <w:rsid w:val="00bb18d9"/>
    <w:pPr>
      <w:keepNext w:val="true"/>
      <w:keepLines/>
      <w:spacing w:lineRule="auto" w:line="240"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qFormat/>
    <w:rsid w:val="00bb18d9"/>
    <w:pPr>
      <w:keepNext w:val="true"/>
      <w:keepLines/>
      <w:spacing w:lineRule="auto" w:line="240"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qFormat/>
    <w:rsid w:val="00cb04da"/>
    <w:rPr>
      <w:sz w:val="16"/>
      <w:szCs w:val="16"/>
    </w:rPr>
  </w:style>
  <w:style w:type="character" w:styleId="Style" w:customStyle="1">
    <w:name w:val="Текст примечания Знак"/>
    <w:link w:val="Annotationtext"/>
    <w:qFormat/>
    <w:rsid w:val="00cb04d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" w:customStyle="1">
    <w:name w:val="Текст выноски Знак"/>
    <w:link w:val="BalloonText"/>
    <w:uiPriority w:val="99"/>
    <w:semiHidden/>
    <w:qFormat/>
    <w:rsid w:val="00cb04da"/>
    <w:rPr>
      <w:rFonts w:ascii="Tahoma" w:hAnsi="Tahoma" w:cs="Tahoma"/>
      <w:sz w:val="16"/>
      <w:szCs w:val="16"/>
    </w:rPr>
  </w:style>
  <w:style w:type="character" w:styleId="2" w:customStyle="1">
    <w:name w:val="Заголовок 2 Знак"/>
    <w:uiPriority w:val="9"/>
    <w:qFormat/>
    <w:rsid w:val="00d4745f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Hyperlink">
    <w:name w:val="Hyperlink"/>
    <w:uiPriority w:val="99"/>
    <w:rsid w:val="00d4745f"/>
    <w:rPr>
      <w:color w:val="0000FF"/>
      <w:u w:val="single"/>
    </w:rPr>
  </w:style>
  <w:style w:type="character" w:styleId="Apple-style-span" w:customStyle="1">
    <w:name w:val="apple-style-span"/>
    <w:basedOn w:val="DefaultParagraphFont"/>
    <w:qFormat/>
    <w:rsid w:val="00b4339d"/>
    <w:rPr/>
  </w:style>
  <w:style w:type="character" w:styleId="Apple-converted-space" w:customStyle="1">
    <w:name w:val="apple-converted-space"/>
    <w:basedOn w:val="DefaultParagraphFont"/>
    <w:qFormat/>
    <w:rsid w:val="00b4339d"/>
    <w:rPr/>
  </w:style>
  <w:style w:type="character" w:styleId="Style2" w:customStyle="1">
    <w:name w:val="Текст сноски Знак"/>
    <w:uiPriority w:val="99"/>
    <w:qFormat/>
    <w:rsid w:val="0080406e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3">
    <w:name w:val="Символ сноски"/>
    <w:uiPriority w:val="99"/>
    <w:unhideWhenUsed/>
    <w:qFormat/>
    <w:rsid w:val="0080406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" w:customStyle="1">
    <w:name w:val="Подпункт Знак1"/>
    <w:link w:val="Style25"/>
    <w:qFormat/>
    <w:locked/>
    <w:rsid w:val="00192f26"/>
    <w:rPr>
      <w:rFonts w:ascii="Times New Roman" w:hAnsi="Times New Roman"/>
      <w:b/>
      <w:sz w:val="28"/>
    </w:rPr>
  </w:style>
  <w:style w:type="character" w:styleId="Style4" w:customStyle="1">
    <w:name w:val="Верхний колонтитул Знак"/>
    <w:basedOn w:val="DefaultParagraphFont"/>
    <w:uiPriority w:val="99"/>
    <w:qFormat/>
    <w:rsid w:val="00ff6229"/>
    <w:rPr/>
  </w:style>
  <w:style w:type="character" w:styleId="Style5" w:customStyle="1">
    <w:name w:val="Нижний колонтитул Знак"/>
    <w:basedOn w:val="DefaultParagraphFont"/>
    <w:uiPriority w:val="99"/>
    <w:qFormat/>
    <w:rsid w:val="00ff6229"/>
    <w:rPr/>
  </w:style>
  <w:style w:type="character" w:styleId="Linenumber">
    <w:name w:val="line number"/>
    <w:basedOn w:val="DefaultParagraphFont"/>
    <w:uiPriority w:val="99"/>
    <w:semiHidden/>
    <w:unhideWhenUsed/>
    <w:qFormat/>
    <w:rsid w:val="00ff6229"/>
    <w:rPr/>
  </w:style>
  <w:style w:type="character" w:styleId="Style6" w:customStyle="1">
    <w:name w:val="Схема документа Знак"/>
    <w:link w:val="DocumentMap"/>
    <w:uiPriority w:val="99"/>
    <w:semiHidden/>
    <w:qFormat/>
    <w:rsid w:val="0040689f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uiPriority w:val="9"/>
    <w:qFormat/>
    <w:rsid w:val="00bb18d9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3" w:customStyle="1">
    <w:name w:val="Заголовок 3 Знак"/>
    <w:uiPriority w:val="9"/>
    <w:qFormat/>
    <w:rsid w:val="00bb18d9"/>
    <w:rPr>
      <w:rFonts w:ascii="Cambria" w:hAnsi="Cambria" w:eastAsia="Times New Roman" w:cs="Times New Roman"/>
      <w:b/>
      <w:bCs/>
      <w:color w:val="4F81BD"/>
      <w:sz w:val="20"/>
      <w:szCs w:val="20"/>
    </w:rPr>
  </w:style>
  <w:style w:type="character" w:styleId="4" w:customStyle="1">
    <w:name w:val="Заголовок 4 Знак"/>
    <w:uiPriority w:val="9"/>
    <w:qFormat/>
    <w:rsid w:val="00bb18d9"/>
    <w:rPr>
      <w:rFonts w:ascii="Cambria" w:hAnsi="Cambria" w:eastAsia="Times New Roman" w:cs="Times New Roman"/>
      <w:b/>
      <w:bCs/>
      <w:i/>
      <w:iCs/>
      <w:color w:val="4F81BD"/>
      <w:sz w:val="20"/>
      <w:szCs w:val="20"/>
    </w:rPr>
  </w:style>
  <w:style w:type="character" w:styleId="5" w:customStyle="1">
    <w:name w:val="Заголовок 5 Знак"/>
    <w:uiPriority w:val="9"/>
    <w:qFormat/>
    <w:rsid w:val="00bb18d9"/>
    <w:rPr>
      <w:rFonts w:ascii="Cambria" w:hAnsi="Cambria" w:eastAsia="Times New Roman" w:cs="Times New Roman"/>
      <w:color w:val="243F60"/>
      <w:sz w:val="20"/>
      <w:szCs w:val="20"/>
    </w:rPr>
  </w:style>
  <w:style w:type="character" w:styleId="6" w:customStyle="1">
    <w:name w:val="Заголовок 6 Знак"/>
    <w:uiPriority w:val="9"/>
    <w:qFormat/>
    <w:rsid w:val="00bb18d9"/>
    <w:rPr>
      <w:rFonts w:ascii="Cambria" w:hAnsi="Cambria" w:eastAsia="Times New Roman" w:cs="Times New Roman"/>
      <w:i/>
      <w:iCs/>
      <w:color w:val="243F60"/>
      <w:sz w:val="20"/>
      <w:szCs w:val="20"/>
    </w:rPr>
  </w:style>
  <w:style w:type="character" w:styleId="7" w:customStyle="1">
    <w:name w:val="Заголовок 7 Знак"/>
    <w:uiPriority w:val="9"/>
    <w:qFormat/>
    <w:rsid w:val="00bb18d9"/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8" w:customStyle="1">
    <w:name w:val="Заголовок 8 Знак"/>
    <w:uiPriority w:val="9"/>
    <w:qFormat/>
    <w:rsid w:val="00bb18d9"/>
    <w:rPr>
      <w:rFonts w:ascii="Cambria" w:hAnsi="Cambria" w:eastAsia="Times New Roman" w:cs="Times New Roman"/>
      <w:color w:val="4F81BD"/>
      <w:sz w:val="20"/>
      <w:szCs w:val="20"/>
    </w:rPr>
  </w:style>
  <w:style w:type="character" w:styleId="9" w:customStyle="1">
    <w:name w:val="Заголовок 9 Знак"/>
    <w:uiPriority w:val="9"/>
    <w:qFormat/>
    <w:rsid w:val="00bb18d9"/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Style7" w:customStyle="1">
    <w:name w:val="Название Знак"/>
    <w:link w:val="15"/>
    <w:uiPriority w:val="10"/>
    <w:qFormat/>
    <w:rsid w:val="00bb18d9"/>
    <w:rPr>
      <w:rFonts w:ascii="Cambria" w:hAnsi="Cambria" w:eastAsia="Times New Roman" w:cs="Times New Roman"/>
      <w:color w:val="17365D"/>
      <w:spacing w:val="5"/>
      <w:kern w:val="2"/>
      <w:sz w:val="52"/>
      <w:szCs w:val="52"/>
    </w:rPr>
  </w:style>
  <w:style w:type="character" w:styleId="Style8" w:customStyle="1">
    <w:name w:val="Подзаголовок Знак"/>
    <w:uiPriority w:val="11"/>
    <w:qFormat/>
    <w:rsid w:val="00bb18d9"/>
    <w:rPr>
      <w:rFonts w:ascii="Cambria" w:hAnsi="Cambria" w:eastAsia="Times New Roman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bb18d9"/>
    <w:rPr>
      <w:b/>
      <w:bCs/>
    </w:rPr>
  </w:style>
  <w:style w:type="character" w:styleId="Emphasis">
    <w:name w:val="Emphasis"/>
    <w:uiPriority w:val="20"/>
    <w:qFormat/>
    <w:rsid w:val="00bb18d9"/>
    <w:rPr>
      <w:i/>
      <w:iCs/>
    </w:rPr>
  </w:style>
  <w:style w:type="character" w:styleId="21" w:customStyle="1">
    <w:name w:val="Цитата 2 Знак"/>
    <w:link w:val="Quote"/>
    <w:uiPriority w:val="29"/>
    <w:qFormat/>
    <w:rsid w:val="00bb18d9"/>
    <w:rPr>
      <w:rFonts w:ascii="Calibri" w:hAnsi="Calibri" w:eastAsia="Calibri" w:cs="Times New Roman"/>
      <w:i/>
      <w:iCs/>
      <w:color w:val="000000"/>
      <w:sz w:val="20"/>
      <w:szCs w:val="20"/>
    </w:rPr>
  </w:style>
  <w:style w:type="character" w:styleId="Style9" w:customStyle="1">
    <w:name w:val="Выделенная цитата Знак"/>
    <w:link w:val="IntenseQuote"/>
    <w:uiPriority w:val="30"/>
    <w:qFormat/>
    <w:rsid w:val="00bb18d9"/>
    <w:rPr>
      <w:rFonts w:ascii="Calibri" w:hAnsi="Calibri" w:eastAsia="Calibri" w:cs="Times New Roman"/>
      <w:b/>
      <w:bCs/>
      <w:i/>
      <w:iCs/>
      <w:color w:val="4F81BD"/>
      <w:sz w:val="20"/>
      <w:szCs w:val="20"/>
    </w:rPr>
  </w:style>
  <w:style w:type="character" w:styleId="SubtleEmphasis">
    <w:name w:val="Subtle Emphasis"/>
    <w:uiPriority w:val="19"/>
    <w:qFormat/>
    <w:rsid w:val="00bb18d9"/>
    <w:rPr>
      <w:i/>
      <w:iCs/>
      <w:color w:val="808080"/>
    </w:rPr>
  </w:style>
  <w:style w:type="character" w:styleId="IntenseEmphasis">
    <w:name w:val="Intense Emphasis"/>
    <w:uiPriority w:val="21"/>
    <w:qFormat/>
    <w:rsid w:val="00bb18d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bb18d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bb18d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bb18d9"/>
    <w:rPr>
      <w:b/>
      <w:bCs/>
      <w:smallCaps/>
      <w:spacing w:val="5"/>
    </w:rPr>
  </w:style>
  <w:style w:type="character" w:styleId="Style10" w:customStyle="1">
    <w:name w:val="Электронная подпись Знак"/>
    <w:link w:val="E-mailSignature"/>
    <w:uiPriority w:val="99"/>
    <w:semiHidden/>
    <w:qFormat/>
    <w:rsid w:val="00bb18d9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1" w:customStyle="1">
    <w:name w:val="Тема примечания Знак"/>
    <w:link w:val="Annotationsubject"/>
    <w:semiHidden/>
    <w:qFormat/>
    <w:rsid w:val="00bb18d9"/>
    <w:rPr>
      <w:rFonts w:ascii="Times New Roman" w:hAnsi="Times New Roman" w:eastAsia="Calibri" w:cs="Times New Roman"/>
      <w:b/>
      <w:bCs/>
      <w:sz w:val="20"/>
      <w:szCs w:val="20"/>
      <w:lang w:eastAsia="ru-RU"/>
    </w:rPr>
  </w:style>
  <w:style w:type="character" w:styleId="Style12" w:customStyle="1">
    <w:name w:val="Основной текст с отступом Знак"/>
    <w:qFormat/>
    <w:rsid w:val="008757e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FollowedHyperlink">
    <w:name w:val="FollowedHyperlink"/>
    <w:uiPriority w:val="99"/>
    <w:semiHidden/>
    <w:unhideWhenUsed/>
    <w:rsid w:val="00b211e3"/>
    <w:rPr>
      <w:color w:val="954F72"/>
      <w:u w:val="single"/>
    </w:rPr>
  </w:style>
  <w:style w:type="character" w:styleId="Style13" w:customStyle="1">
    <w:name w:val="Абзац списка Знак"/>
    <w:link w:val="ListParagraph"/>
    <w:uiPriority w:val="34"/>
    <w:qFormat/>
    <w:rsid w:val="00253374"/>
    <w:rPr>
      <w:sz w:val="22"/>
      <w:szCs w:val="22"/>
    </w:rPr>
  </w:style>
  <w:style w:type="character" w:styleId="61" w:customStyle="1">
    <w:name w:val="Основной текст (6)_"/>
    <w:basedOn w:val="DefaultParagraphFont"/>
    <w:link w:val="62"/>
    <w:qFormat/>
    <w:rsid w:val="00310980"/>
    <w:rPr>
      <w:rFonts w:ascii="Times New Roman" w:hAnsi="Times New Roman"/>
      <w:shd w:fill="FFFFFF" w:val="clear"/>
    </w:rPr>
  </w:style>
  <w:style w:type="character" w:styleId="Style14" w:customStyle="1">
    <w:name w:val="Колонтитул_"/>
    <w:basedOn w:val="DefaultParagraphFont"/>
    <w:link w:val="Style29"/>
    <w:qFormat/>
    <w:rsid w:val="006d08bc"/>
    <w:rPr>
      <w:rFonts w:ascii="Times New Roman" w:hAnsi="Times New Roman"/>
      <w:shd w:fill="FFFFFF" w:val="clear"/>
    </w:rPr>
  </w:style>
  <w:style w:type="character" w:styleId="Style15" w:customStyle="1">
    <w:name w:val="комментарий"/>
    <w:qFormat/>
    <w:rsid w:val="008d2ec1"/>
    <w:rPr>
      <w:b/>
      <w:i/>
      <w:shd w:fill="FFFF99" w:val="clear"/>
    </w:rPr>
  </w:style>
  <w:style w:type="character" w:styleId="ConsPlusNormal" w:customStyle="1">
    <w:name w:val="ConsPlusNormal Знак"/>
    <w:link w:val="ConsPlusNormal1"/>
    <w:qFormat/>
    <w:rsid w:val="00170c47"/>
    <w:rPr>
      <w:rFonts w:ascii="Arial" w:hAnsi="Arial" w:cs="Arial"/>
    </w:rPr>
  </w:style>
  <w:style w:type="character" w:styleId="12" w:customStyle="1">
    <w:name w:val="Абзац списка Знак1"/>
    <w:basedOn w:val="DefaultParagraphFont"/>
    <w:uiPriority w:val="34"/>
    <w:qFormat/>
    <w:rsid w:val="00a270f3"/>
    <w:rPr>
      <w:rFonts w:ascii="Calibri" w:hAnsi="Calibri"/>
      <w:sz w:val="22"/>
    </w:rPr>
  </w:style>
  <w:style w:type="character" w:styleId="Style16" w:customStyle="1">
    <w:name w:val="Текст концевой сноски Знак"/>
    <w:basedOn w:val="DefaultParagraphFont"/>
    <w:uiPriority w:val="99"/>
    <w:semiHidden/>
    <w:qFormat/>
    <w:rsid w:val="00dc37db"/>
    <w:rPr/>
  </w:style>
  <w:style w:type="character" w:styleId="Style17">
    <w:name w:val="Символ концевой сноски"/>
    <w:uiPriority w:val="99"/>
    <w:semiHidden/>
    <w:unhideWhenUsed/>
    <w:qFormat/>
    <w:rsid w:val="00dc37db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qFormat/>
    <w:rsid w:val="00470434"/>
    <w:rPr>
      <w:color w:val="808080"/>
    </w:rPr>
  </w:style>
  <w:style w:type="character" w:styleId="Style18" w:customStyle="1">
    <w:name w:val="РГ_номер текста табл Знак"/>
    <w:basedOn w:val="12"/>
    <w:link w:val="Style34"/>
    <w:qFormat/>
    <w:rsid w:val="00470434"/>
    <w:rPr>
      <w:rFonts w:ascii="Calibri" w:hAnsi="Calibri" w:eastAsia="Calibri" w:cs="Calibri" w:asciiTheme="minorHAnsi" w:cstheme="minorHAnsi" w:hAnsiTheme="minorHAnsi"/>
      <w:sz w:val="24"/>
      <w:szCs w:val="22"/>
      <w:lang w:eastAsia="en-US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link w:val="Style13"/>
    <w:uiPriority w:val="34"/>
    <w:qFormat/>
    <w:rsid w:val="00141d91"/>
    <w:pPr>
      <w:spacing w:before="0" w:after="200"/>
      <w:ind w:hanging="0" w:left="720"/>
      <w:contextualSpacing/>
    </w:pPr>
    <w:rPr/>
  </w:style>
  <w:style w:type="paragraph" w:styleId="Annotationtext">
    <w:name w:val="annotation text"/>
    <w:basedOn w:val="Normal"/>
    <w:link w:val="Style"/>
    <w:qFormat/>
    <w:rsid w:val="00cb04da"/>
    <w:pPr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Style1"/>
    <w:semiHidden/>
    <w:unhideWhenUsed/>
    <w:qFormat/>
    <w:rsid w:val="00cb04d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1" w:customStyle="1">
    <w:name w:val="Обычный+ без отступа"/>
    <w:basedOn w:val="Normal"/>
    <w:qFormat/>
    <w:rsid w:val="000a41f8"/>
    <w:pPr>
      <w:spacing w:lineRule="auto" w:line="360" w:before="120" w:after="0"/>
      <w:jc w:val="both"/>
    </w:pPr>
    <w:rPr>
      <w:rFonts w:ascii="Times New Roman" w:hAnsi="Times New Roman" w:eastAsia="MS Mincho"/>
      <w:sz w:val="28"/>
      <w:szCs w:val="28"/>
    </w:rPr>
  </w:style>
  <w:style w:type="paragraph" w:styleId="Style22" w:customStyle="1">
    <w:name w:val="Таблица шапка"/>
    <w:basedOn w:val="Normal"/>
    <w:qFormat/>
    <w:rsid w:val="008b7e3f"/>
    <w:pPr>
      <w:keepNext w:val="true"/>
      <w:spacing w:lineRule="auto" w:line="240" w:before="40" w:after="40"/>
      <w:ind w:hanging="0" w:left="57" w:right="57"/>
    </w:pPr>
    <w:rPr>
      <w:rFonts w:ascii="Times New Roman" w:hAnsi="Times New Roman"/>
      <w:sz w:val="18"/>
      <w:szCs w:val="18"/>
    </w:rPr>
  </w:style>
  <w:style w:type="paragraph" w:styleId="Style23" w:customStyle="1">
    <w:name w:val="Текст таблицы"/>
    <w:basedOn w:val="Normal"/>
    <w:qFormat/>
    <w:rsid w:val="008b7e3f"/>
    <w:pPr>
      <w:spacing w:lineRule="auto" w:line="240" w:before="40" w:after="40"/>
      <w:ind w:hanging="0" w:left="57" w:right="57"/>
    </w:pPr>
    <w:rPr>
      <w:rFonts w:ascii="Times New Roman" w:hAnsi="Times New Roman"/>
      <w:sz w:val="24"/>
      <w:szCs w:val="24"/>
    </w:rPr>
  </w:style>
  <w:style w:type="paragraph" w:styleId="Style24" w:customStyle="1">
    <w:name w:val="Пункт Знак"/>
    <w:basedOn w:val="Normal"/>
    <w:qFormat/>
    <w:rsid w:val="00112ebd"/>
    <w:pPr>
      <w:numPr>
        <w:ilvl w:val="1"/>
        <w:numId w:val="1"/>
      </w:numPr>
      <w:tabs>
        <w:tab w:val="clear" w:pos="709"/>
        <w:tab w:val="left" w:pos="851" w:leader="none"/>
        <w:tab w:val="left" w:pos="1134" w:leader="none"/>
      </w:tabs>
      <w:spacing w:lineRule="auto" w:line="360" w:before="0" w:after="0"/>
      <w:jc w:val="both"/>
    </w:pPr>
    <w:rPr>
      <w:rFonts w:ascii="Times New Roman" w:hAnsi="Times New Roman"/>
      <w:b/>
      <w:sz w:val="28"/>
      <w:szCs w:val="20"/>
    </w:rPr>
  </w:style>
  <w:style w:type="paragraph" w:styleId="Style25" w:customStyle="1">
    <w:name w:val="Подпункт"/>
    <w:basedOn w:val="Style24"/>
    <w:link w:val="1"/>
    <w:qFormat/>
    <w:rsid w:val="00b5006b"/>
    <w:pPr>
      <w:numPr>
        <w:ilvl w:val="2"/>
      </w:numPr>
      <w:tabs>
        <w:tab w:val="clear" w:pos="1134"/>
        <w:tab w:val="left" w:pos="851" w:leader="none"/>
      </w:tabs>
    </w:pPr>
    <w:rPr/>
  </w:style>
  <w:style w:type="paragraph" w:styleId="Style26" w:customStyle="1">
    <w:name w:val="Подподпункт"/>
    <w:basedOn w:val="Style25"/>
    <w:qFormat/>
    <w:rsid w:val="00b5006b"/>
    <w:pPr>
      <w:numPr>
        <w:ilvl w:val="3"/>
      </w:numPr>
      <w:tabs>
        <w:tab w:val="left" w:pos="851" w:leader="none"/>
        <w:tab w:val="left" w:pos="1134" w:leader="none"/>
        <w:tab w:val="left" w:pos="1418" w:leader="none"/>
      </w:tabs>
    </w:pPr>
    <w:rPr/>
  </w:style>
  <w:style w:type="paragraph" w:styleId="Style27" w:customStyle="1">
    <w:name w:val="Подподподпункт"/>
    <w:basedOn w:val="Normal"/>
    <w:qFormat/>
    <w:rsid w:val="00112ebd"/>
    <w:pPr>
      <w:numPr>
        <w:ilvl w:val="4"/>
        <w:numId w:val="1"/>
      </w:numPr>
      <w:tabs>
        <w:tab w:val="clear" w:pos="709"/>
        <w:tab w:val="left" w:pos="1134" w:leader="none"/>
        <w:tab w:val="left" w:pos="1701" w:leader="none"/>
      </w:tabs>
      <w:spacing w:lineRule="auto" w:line="360" w:before="0" w:after="0"/>
      <w:jc w:val="both"/>
    </w:pPr>
    <w:rPr>
      <w:rFonts w:ascii="Times New Roman" w:hAnsi="Times New Roman"/>
      <w:sz w:val="28"/>
      <w:szCs w:val="20"/>
    </w:rPr>
  </w:style>
  <w:style w:type="paragraph" w:styleId="13" w:customStyle="1">
    <w:name w:val="Пункт1"/>
    <w:basedOn w:val="Normal"/>
    <w:qFormat/>
    <w:rsid w:val="00b5006b"/>
    <w:pPr>
      <w:numPr>
        <w:ilvl w:val="0"/>
        <w:numId w:val="1"/>
      </w:numPr>
      <w:spacing w:lineRule="auto" w:line="360" w:before="240" w:after="0"/>
      <w:jc w:val="center"/>
    </w:pPr>
    <w:rPr>
      <w:rFonts w:ascii="Arial" w:hAnsi="Arial"/>
      <w:b/>
      <w:sz w:val="28"/>
      <w:szCs w:val="28"/>
    </w:rPr>
  </w:style>
  <w:style w:type="paragraph" w:styleId="31" w:customStyle="1">
    <w:name w:val="Пункт_3"/>
    <w:basedOn w:val="Normal"/>
    <w:uiPriority w:val="99"/>
    <w:qFormat/>
    <w:rsid w:val="00112ebd"/>
    <w:pPr>
      <w:tabs>
        <w:tab w:val="clear" w:pos="709"/>
        <w:tab w:val="left" w:pos="1134" w:leader="none"/>
      </w:tabs>
      <w:spacing w:lineRule="auto" w:line="360" w:before="0" w:after="0"/>
      <w:ind w:hanging="1133" w:left="1134"/>
      <w:jc w:val="both"/>
    </w:pPr>
    <w:rPr>
      <w:rFonts w:ascii="Times New Roman" w:hAnsi="Times New Roman"/>
      <w:sz w:val="28"/>
      <w:szCs w:val="20"/>
    </w:rPr>
  </w:style>
  <w:style w:type="paragraph" w:styleId="TOC1">
    <w:name w:val="TOC 1"/>
    <w:basedOn w:val="Normal"/>
    <w:next w:val="Normal"/>
    <w:autoRedefine/>
    <w:uiPriority w:val="39"/>
    <w:rsid w:val="00b17e73"/>
    <w:pPr>
      <w:tabs>
        <w:tab w:val="clear" w:pos="709"/>
        <w:tab w:val="right" w:pos="9344" w:leader="dot"/>
      </w:tabs>
      <w:spacing w:lineRule="auto" w:line="240" w:before="0" w:after="0"/>
      <w:jc w:val="center"/>
    </w:pPr>
    <w:rPr>
      <w:rFonts w:ascii="Times New Roman" w:hAnsi="Times New Roman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87d05"/>
    <w:pPr>
      <w:tabs>
        <w:tab w:val="clear" w:pos="709"/>
        <w:tab w:val="left" w:pos="426" w:leader="none"/>
        <w:tab w:val="left" w:pos="1680" w:leader="none"/>
        <w:tab w:val="right" w:pos="9344" w:leader="dot"/>
        <w:tab w:val="right" w:pos="9639" w:leader="dot"/>
      </w:tabs>
      <w:spacing w:before="0" w:after="0"/>
      <w:ind w:hanging="0" w:left="220"/>
    </w:pPr>
    <w:rPr/>
  </w:style>
  <w:style w:type="paragraph" w:styleId="FootnoteText">
    <w:name w:val="Footnote Text"/>
    <w:basedOn w:val="Normal"/>
    <w:link w:val="Style2"/>
    <w:uiPriority w:val="99"/>
    <w:unhideWhenUsed/>
    <w:rsid w:val="0080406e"/>
    <w:pPr>
      <w:spacing w:lineRule="auto" w:line="240" w:before="0" w:after="0"/>
    </w:pPr>
    <w:rPr>
      <w:rFonts w:ascii="Times New Roman" w:hAnsi="Times New Roman" w:eastAsia="Calibri"/>
      <w:sz w:val="20"/>
      <w:szCs w:val="20"/>
    </w:rPr>
  </w:style>
  <w:style w:type="paragraph" w:styleId="ConsPlusNormal1" w:customStyle="1">
    <w:name w:val="ConsPlusNormal"/>
    <w:link w:val="ConsPlusNormal"/>
    <w:qFormat/>
    <w:rsid w:val="00192f26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8" w:customStyle="1">
    <w:name w:val="Таблица"/>
    <w:basedOn w:val="Normal"/>
    <w:qFormat/>
    <w:rsid w:val="00192f26"/>
    <w:pPr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14" w:customStyle="1">
    <w:name w:val="Абзац списка1"/>
    <w:basedOn w:val="Normal"/>
    <w:qFormat/>
    <w:rsid w:val="00192f26"/>
    <w:pPr>
      <w:spacing w:before="0" w:after="200"/>
      <w:ind w:hanging="0" w:left="720"/>
      <w:contextualSpacing/>
    </w:pPr>
    <w:rPr/>
  </w:style>
  <w:style w:type="paragraph" w:styleId="Style29" w:customStyle="1">
    <w:name w:val="Колонтитул"/>
    <w:basedOn w:val="Normal"/>
    <w:link w:val="Style14"/>
    <w:qFormat/>
    <w:rsid w:val="006d08bc"/>
    <w:pPr>
      <w:widowControl w:val="false"/>
      <w:shd w:val="clear" w:color="auto" w:fill="FFFFFF"/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Style4"/>
    <w:uiPriority w:val="99"/>
    <w:unhideWhenUsed/>
    <w:rsid w:val="00ff622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5"/>
    <w:uiPriority w:val="99"/>
    <w:unhideWhenUsed/>
    <w:rsid w:val="00ff622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DocumentMap">
    <w:name w:val="Document Map"/>
    <w:basedOn w:val="Normal"/>
    <w:link w:val="Style6"/>
    <w:uiPriority w:val="99"/>
    <w:semiHidden/>
    <w:unhideWhenUsed/>
    <w:qFormat/>
    <w:rsid w:val="0040689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30" w:customStyle="1">
    <w:name w:val="Знак Знак Знак Знак Знак Знак Знак Знак Знак"/>
    <w:basedOn w:val="Normal"/>
    <w:qFormat/>
    <w:rsid w:val="00bb18d9"/>
    <w:pPr>
      <w:spacing w:lineRule="exact" w:line="240" w:before="0" w:after="160"/>
      <w:jc w:val="both"/>
    </w:pPr>
    <w:rPr>
      <w:rFonts w:ascii="Verdana" w:hAnsi="Verdana" w:cs="Verdana"/>
      <w:lang w:val="en-US"/>
    </w:rPr>
  </w:style>
  <w:style w:type="paragraph" w:styleId="NoSpacing">
    <w:name w:val="No Spacing"/>
    <w:basedOn w:val="Normal"/>
    <w:uiPriority w:val="1"/>
    <w:qFormat/>
    <w:rsid w:val="00bb18d9"/>
    <w:pPr>
      <w:spacing w:lineRule="auto" w:line="360" w:before="0" w:after="0"/>
    </w:pPr>
    <w:rPr>
      <w:rFonts w:ascii="Times New Roman" w:hAnsi="Times New Roman"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bb18d9"/>
    <w:pPr>
      <w:spacing w:lineRule="auto" w:line="240" w:before="0" w:after="0"/>
    </w:pPr>
    <w:rPr>
      <w:rFonts w:ascii="Times New Roman" w:hAnsi="Times New Roman" w:eastAsia="Calibri"/>
      <w:b/>
      <w:bCs/>
      <w:color w:val="4F81BD"/>
      <w:sz w:val="18"/>
      <w:szCs w:val="18"/>
    </w:rPr>
  </w:style>
  <w:style w:type="paragraph" w:styleId="15" w:customStyle="1">
    <w:name w:val="Название1"/>
    <w:basedOn w:val="Normal"/>
    <w:next w:val="Normal"/>
    <w:link w:val="Style7"/>
    <w:uiPriority w:val="10"/>
    <w:qFormat/>
    <w:rsid w:val="00bb18d9"/>
    <w:pPr>
      <w:pBdr>
        <w:bottom w:val="single" w:sz="8" w:space="4" w:color="4F81BD"/>
      </w:pBdr>
      <w:spacing w:lineRule="auto" w:line="240" w:before="0" w:after="300"/>
      <w:contextualSpacing/>
    </w:pPr>
    <w:rPr>
      <w:rFonts w:ascii="Cambria" w:hAnsi="Cambria"/>
      <w:color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tyle8"/>
    <w:uiPriority w:val="11"/>
    <w:qFormat/>
    <w:rsid w:val="00bb18d9"/>
    <w:pPr>
      <w:numPr>
        <w:ilvl w:val="1"/>
      </w:numPr>
      <w:spacing w:lineRule="auto" w:line="240" w:before="0" w:after="0"/>
      <w:ind w:firstLine="709" w:left="1066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bb18d9"/>
    <w:pPr>
      <w:spacing w:lineRule="auto" w:line="240" w:before="0" w:after="0"/>
    </w:pPr>
    <w:rPr>
      <w:rFonts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link w:val="Style9"/>
    <w:uiPriority w:val="30"/>
    <w:qFormat/>
    <w:rsid w:val="00bb18d9"/>
    <w:pPr>
      <w:pBdr>
        <w:bottom w:val="single" w:sz="4" w:space="4" w:color="4F81BD"/>
      </w:pBdr>
      <w:spacing w:lineRule="auto" w:line="240" w:before="200" w:after="280"/>
      <w:ind w:hanging="0" w:left="936" w:right="936"/>
    </w:pPr>
    <w:rPr>
      <w:rFonts w:eastAsia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bb18d9"/>
    <w:pPr>
      <w:outlineLvl w:val="9"/>
    </w:pPr>
    <w:rPr/>
  </w:style>
  <w:style w:type="paragraph" w:styleId="E-mailSignature">
    <w:name w:val="E-mail Signature"/>
    <w:basedOn w:val="Normal"/>
    <w:link w:val="Style10"/>
    <w:uiPriority w:val="99"/>
    <w:semiHidden/>
    <w:unhideWhenUsed/>
    <w:qFormat/>
    <w:rsid w:val="00bb18d9"/>
    <w:pPr>
      <w:spacing w:lineRule="auto" w:line="240" w:before="0" w:after="0"/>
    </w:pPr>
    <w:rPr>
      <w:rFonts w:ascii="Times New Roman" w:hAnsi="Times New Roman" w:eastAsia="Calibri"/>
      <w:sz w:val="24"/>
      <w:szCs w:val="24"/>
    </w:rPr>
  </w:style>
  <w:style w:type="paragraph" w:styleId="Style31" w:customStyle="1">
    <w:name w:val="Знак"/>
    <w:basedOn w:val="Normal"/>
    <w:qFormat/>
    <w:rsid w:val="00bb18d9"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Annotationsubject">
    <w:name w:val="annotation subject"/>
    <w:basedOn w:val="Annotationtext"/>
    <w:next w:val="Annotationtext"/>
    <w:link w:val="Style11"/>
    <w:semiHidden/>
    <w:qFormat/>
    <w:rsid w:val="00bb18d9"/>
    <w:pPr/>
    <w:rPr>
      <w:rFonts w:eastAsia="Calibri"/>
      <w:b/>
      <w:bCs/>
    </w:rPr>
  </w:style>
  <w:style w:type="paragraph" w:styleId="32" w:customStyle="1">
    <w:name w:val="Нумерованный список ур3"/>
    <w:basedOn w:val="Normal"/>
    <w:qFormat/>
    <w:rsid w:val="00bb18d9"/>
    <w:pPr>
      <w:numPr>
        <w:ilvl w:val="2"/>
        <w:numId w:val="2"/>
      </w:numPr>
      <w:spacing w:lineRule="auto" w:line="240" w:before="0" w:after="0"/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b5006b"/>
    <w:pPr>
      <w:numPr>
        <w:ilvl w:val="0"/>
        <w:numId w:val="2"/>
      </w:numPr>
      <w:spacing w:lineRule="auto" w:line="240" w:before="120" w:after="0"/>
      <w:jc w:val="both"/>
    </w:pPr>
    <w:rPr>
      <w:rFonts w:ascii="Garamond" w:hAnsi="Garamond"/>
      <w:sz w:val="24"/>
      <w:szCs w:val="20"/>
    </w:rPr>
  </w:style>
  <w:style w:type="paragraph" w:styleId="22" w:customStyle="1">
    <w:name w:val="Нумерованный список ур2"/>
    <w:basedOn w:val="Normal"/>
    <w:qFormat/>
    <w:rsid w:val="00bb18d9"/>
    <w:pPr>
      <w:numPr>
        <w:ilvl w:val="1"/>
        <w:numId w:val="2"/>
      </w:numPr>
      <w:spacing w:lineRule="auto" w:line="240" w:before="120" w:after="0"/>
      <w:jc w:val="both"/>
    </w:pPr>
    <w:rPr>
      <w:rFonts w:ascii="Garamond" w:hAnsi="Garamond"/>
      <w:sz w:val="24"/>
      <w:szCs w:val="20"/>
    </w:rPr>
  </w:style>
  <w:style w:type="paragraph" w:styleId="NormalWeb">
    <w:name w:val="Normal (Web)"/>
    <w:basedOn w:val="Normal"/>
    <w:uiPriority w:val="99"/>
    <w:qFormat/>
    <w:rsid w:val="00bb18d9"/>
    <w:pPr>
      <w:spacing w:lineRule="auto" w:line="240" w:before="30" w:after="30"/>
    </w:pPr>
    <w:rPr>
      <w:rFonts w:ascii="Arial" w:hAnsi="Arial" w:eastAsia="Arial Unicode MS" w:cs="Arial"/>
      <w:color w:val="332E2D"/>
      <w:spacing w:val="2"/>
      <w:sz w:val="24"/>
      <w:szCs w:val="24"/>
    </w:rPr>
  </w:style>
  <w:style w:type="paragraph" w:styleId="Revision">
    <w:name w:val="Revision"/>
    <w:uiPriority w:val="99"/>
    <w:semiHidden/>
    <w:qFormat/>
    <w:rsid w:val="00bb18d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33" w:customStyle="1">
    <w:name w:val="Знак Знак3 Знак Знак"/>
    <w:basedOn w:val="Normal"/>
    <w:qFormat/>
    <w:rsid w:val="00bb18d9"/>
    <w:pPr>
      <w:spacing w:lineRule="exact" w:line="240" w:before="0" w:after="160"/>
      <w:jc w:val="both"/>
    </w:pPr>
    <w:rPr>
      <w:rFonts w:ascii="Verdana" w:hAnsi="Verdana" w:cs="Verdana"/>
      <w:lang w:val="en-US"/>
    </w:rPr>
  </w:style>
  <w:style w:type="paragraph" w:styleId="Style32" w:customStyle="1">
    <w:name w:val="Пункт"/>
    <w:basedOn w:val="Normal"/>
    <w:qFormat/>
    <w:rsid w:val="00bb18d9"/>
    <w:pPr>
      <w:widowControl w:val="false"/>
      <w:tabs>
        <w:tab w:val="clear" w:pos="709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 w:val="28"/>
      <w:szCs w:val="20"/>
    </w:rPr>
  </w:style>
  <w:style w:type="paragraph" w:styleId="23" w:customStyle="1">
    <w:name w:val="Абзац списка2"/>
    <w:basedOn w:val="Normal"/>
    <w:qFormat/>
    <w:rsid w:val="00bb18d9"/>
    <w:pPr>
      <w:spacing w:before="0" w:after="200"/>
      <w:ind w:hanging="0" w:left="720"/>
      <w:contextualSpacing/>
    </w:pPr>
    <w:rPr/>
  </w:style>
  <w:style w:type="paragraph" w:styleId="BodyTextIndent">
    <w:name w:val="Body Text Indent"/>
    <w:basedOn w:val="Normal"/>
    <w:link w:val="Style12"/>
    <w:rsid w:val="008757e8"/>
    <w:pPr>
      <w:spacing w:lineRule="auto" w:line="240" w:before="0" w:after="120"/>
      <w:ind w:hanging="0" w:left="283"/>
    </w:pPr>
    <w:rPr>
      <w:rFonts w:ascii="Times New Roman" w:hAnsi="Times New Roman"/>
      <w:sz w:val="28"/>
      <w:szCs w:val="28"/>
    </w:rPr>
  </w:style>
  <w:style w:type="paragraph" w:styleId="Style33" w:customStyle="1">
    <w:name w:val="Знак Знак"/>
    <w:basedOn w:val="Normal"/>
    <w:qFormat/>
    <w:rsid w:val="00d30377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bb55ba"/>
    <w:pPr>
      <w:spacing w:before="0" w:after="100"/>
      <w:ind w:hanging="0" w:left="440"/>
    </w:pPr>
    <w:rPr/>
  </w:style>
  <w:style w:type="paragraph" w:styleId="62" w:customStyle="1">
    <w:name w:val="Основной текст (6)"/>
    <w:basedOn w:val="Normal"/>
    <w:link w:val="61"/>
    <w:qFormat/>
    <w:rsid w:val="00310980"/>
    <w:pPr>
      <w:widowControl w:val="false"/>
      <w:shd w:val="clear" w:color="auto" w:fill="FFFFFF"/>
      <w:spacing w:lineRule="auto" w:line="240" w:before="0" w:after="0"/>
      <w:ind w:firstLine="720"/>
      <w:jc w:val="both"/>
    </w:pPr>
    <w:rPr>
      <w:rFonts w:ascii="Times New Roman" w:hAnsi="Times New Roman"/>
      <w:sz w:val="20"/>
      <w:szCs w:val="20"/>
    </w:rPr>
  </w:style>
  <w:style w:type="paragraph" w:styleId="TableListParagraph" w:customStyle="1">
    <w:name w:val="Table List Paragraph"/>
    <w:basedOn w:val="Normal"/>
    <w:qFormat/>
    <w:rsid w:val="00a270f3"/>
    <w:pPr>
      <w:numPr>
        <w:ilvl w:val="0"/>
        <w:numId w:val="10"/>
      </w:numPr>
      <w:tabs>
        <w:tab w:val="clear" w:pos="709"/>
        <w:tab w:val="left" w:pos="360" w:leader="none"/>
      </w:tabs>
      <w:spacing w:lineRule="auto" w:line="240" w:before="0" w:after="0"/>
      <w:jc w:val="both"/>
    </w:pPr>
    <w:rPr>
      <w:rFonts w:ascii="Times New Roman" w:hAnsi="Times New Roman"/>
      <w:sz w:val="24"/>
      <w:szCs w:val="24"/>
    </w:rPr>
  </w:style>
  <w:style w:type="paragraph" w:styleId="ConsPlusNonformat" w:customStyle="1">
    <w:name w:val="ConsPlusNonformat"/>
    <w:basedOn w:val="Normal"/>
    <w:qFormat/>
    <w:rsid w:val="000753e1"/>
    <w:pPr>
      <w:spacing w:lineRule="auto" w:line="240" w:before="0" w:after="0"/>
    </w:pPr>
    <w:rPr>
      <w:rFonts w:ascii="Courier New" w:hAnsi="Courier New" w:eastAsia="Calibri" w:cs="Courier New" w:eastAsiaTheme="minorHAnsi"/>
      <w:sz w:val="20"/>
      <w:szCs w:val="20"/>
    </w:rPr>
  </w:style>
  <w:style w:type="paragraph" w:styleId="Dt-p" w:customStyle="1">
    <w:name w:val="dt-p"/>
    <w:basedOn w:val="Normal"/>
    <w:qFormat/>
    <w:rsid w:val="00a05152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EndnoteText">
    <w:name w:val="Endnote Text"/>
    <w:basedOn w:val="Normal"/>
    <w:link w:val="Style16"/>
    <w:uiPriority w:val="99"/>
    <w:semiHidden/>
    <w:unhideWhenUsed/>
    <w:rsid w:val="00dc37db"/>
    <w:pPr>
      <w:spacing w:lineRule="auto" w:line="240" w:before="0" w:after="0"/>
    </w:pPr>
    <w:rPr>
      <w:sz w:val="20"/>
      <w:szCs w:val="20"/>
    </w:rPr>
  </w:style>
  <w:style w:type="paragraph" w:styleId="Style34" w:customStyle="1">
    <w:name w:val="РГ_номер текста табл"/>
    <w:basedOn w:val="ListParagraph"/>
    <w:link w:val="Style18"/>
    <w:qFormat/>
    <w:rsid w:val="00470434"/>
    <w:pPr>
      <w:numPr>
        <w:ilvl w:val="0"/>
        <w:numId w:val="11"/>
      </w:numPr>
      <w:spacing w:lineRule="auto" w:line="240" w:before="0" w:after="0"/>
      <w:contextualSpacing/>
      <w:jc w:val="both"/>
    </w:pPr>
    <w:rPr>
      <w:rFonts w:ascii="Calibri" w:hAnsi="Calibri" w:eastAsia="Calibri" w:cs="Calibri" w:asciiTheme="minorHAnsi" w:cstheme="minorHAnsi" w:hAnsiTheme="minorHAnsi"/>
      <w:sz w:val="24"/>
      <w:lang w:eastAsia="en-US"/>
    </w:rPr>
  </w:style>
  <w:style w:type="paragraph" w:styleId="111" w:customStyle="1">
    <w:name w:val="1.1. таблица"/>
    <w:basedOn w:val="Style34"/>
    <w:qFormat/>
    <w:rsid w:val="00470434"/>
    <w:pPr>
      <w:numPr>
        <w:ilvl w:val="1"/>
      </w:numPr>
      <w:tabs>
        <w:tab w:val="clear" w:pos="709"/>
      </w:tabs>
      <w:ind w:hanging="360" w:left="1440"/>
    </w:pPr>
    <w:rPr/>
  </w:style>
  <w:style w:type="paragraph" w:styleId="Xmsolistparagraph" w:customStyle="1">
    <w:name w:val="x_msolistparagraph"/>
    <w:basedOn w:val="Normal"/>
    <w:qFormat/>
    <w:rsid w:val="001d51d9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Style35">
    <w:name w:val="Содержимое врезки"/>
    <w:basedOn w:val="Normal"/>
    <w:qFormat/>
    <w:pPr/>
    <w:rPr/>
  </w:style>
  <w:style w:type="paragraph" w:styleId="HEADERTEXT">
    <w:name w:val=".HEADERTEXT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Arial"/>
      <w:color w:val="2B4279"/>
      <w:kern w:val="0"/>
      <w:sz w:val="20"/>
      <w:szCs w:val="20"/>
      <w:lang w:val="ru-RU" w:eastAsia="ru-RU" w:bidi="ar-SA"/>
    </w:rPr>
  </w:style>
  <w:style w:type="paragraph" w:styleId="FORMATTEXT">
    <w:name w:val=".FORMATTEXT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Arial"/>
      <w:color w:val="auto"/>
      <w:kern w:val="0"/>
      <w:sz w:val="20"/>
      <w:szCs w:val="20"/>
      <w:lang w:val="ru-RU" w:eastAsia="ru-RU" w:bidi="ar-SA"/>
    </w:rPr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6"/>
    <w:uiPriority w:val="39"/>
    <w:rsid w:val="00b918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package" Target="embeddings/oleObject1.xlsx"/><Relationship Id="rId4" Type="http://schemas.openxmlformats.org/officeDocument/2006/relationships/image" Target="media/image1.wmf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package" Target="embeddings/oleObject2.xlsx"/><Relationship Id="rId8" Type="http://schemas.openxmlformats.org/officeDocument/2006/relationships/image" Target="media/image2.wmf"/><Relationship Id="rId9" Type="http://schemas.openxmlformats.org/officeDocument/2006/relationships/footer" Target="footer4.xml"/><Relationship Id="rId10" Type="http://schemas.openxmlformats.org/officeDocument/2006/relationships/footer" Target="footer5.xml"/><Relationship Id="rId11" Type="http://schemas.openxmlformats.org/officeDocument/2006/relationships/footer" Target="footer6.xml"/><Relationship Id="rId12" Type="http://schemas.openxmlformats.org/officeDocument/2006/relationships/footer" Target="footer7.xml"/><Relationship Id="rId13" Type="http://schemas.openxmlformats.org/officeDocument/2006/relationships/footer" Target="footer8.xml"/><Relationship Id="rId14" Type="http://schemas.openxmlformats.org/officeDocument/2006/relationships/footer" Target="footer9.xml"/><Relationship Id="rId15" Type="http://schemas.openxmlformats.org/officeDocument/2006/relationships/footer" Target="footer10.xml"/><Relationship Id="rId16" Type="http://schemas.openxmlformats.org/officeDocument/2006/relationships/footer" Target="footer11.xml"/><Relationship Id="rId17" Type="http://schemas.openxmlformats.org/officeDocument/2006/relationships/footer" Target="footer12.xml"/><Relationship Id="rId18" Type="http://schemas.openxmlformats.org/officeDocument/2006/relationships/footer" Target="footer13.xml"/><Relationship Id="rId19" Type="http://schemas.openxmlformats.org/officeDocument/2006/relationships/hyperlink" Target="./3&#1055;" TargetMode="External"/><Relationship Id="rId20" Type="http://schemas.openxmlformats.org/officeDocument/2006/relationships/footer" Target="footer14.xml"/><Relationship Id="rId21" Type="http://schemas.openxmlformats.org/officeDocument/2006/relationships/footer" Target="footer15.xml"/><Relationship Id="rId22" Type="http://schemas.openxmlformats.org/officeDocument/2006/relationships/hyperlink" Target="consultantplus://offline/ref=B32CDE0E905E401B1BFF323EF993DB2C6865F0A971913444C3F7F56C5AF257E783F32977DF4E2DA4F5ACBC60359FF614F9C1315096B586250A26N" TargetMode="External"/><Relationship Id="rId23" Type="http://schemas.openxmlformats.org/officeDocument/2006/relationships/hyperlink" Target="consultantplus://offline/ref=B32CDE0E905E401B1BFF323EF993DB2C6F6DF7AA75973444C3F7F56C5AF257E783F32977DC422FF8A5E3BD3C70CDE515FFC133518A0B25N" TargetMode="External"/><Relationship Id="rId24" Type="http://schemas.openxmlformats.org/officeDocument/2006/relationships/hyperlink" Target="consultantplus://offline/ref=B32CDE0E905E401B1BFF323EF993DB2C6865F0A971913444C3F7F56C5AF257E783F32977DF4D24ACF0ACBC60359FF614F9C1315096B586250A26N" TargetMode="External"/><Relationship Id="rId25" Type="http://schemas.openxmlformats.org/officeDocument/2006/relationships/hyperlink" Target="consultantplus://offline/ref=B32CDE0E905E401B1BFF323EF993DB2C6F62F6A7789C3444C3F7F56C5AF257E783F32977DF4B25AAFDACBC60359FF614F9C1315096B586250A26N" TargetMode="External"/><Relationship Id="rId26" Type="http://schemas.openxmlformats.org/officeDocument/2006/relationships/hyperlink" Target="consultantplus://offline/ref=B32CDE0E905E401B1BFF323EF993DB2C6F6DF7AA75973444C3F7F56C5AF257E783F32974D8482DA7A0F6AC647CCBFC0BFEDE2F5388B50824N" TargetMode="External"/><Relationship Id="rId27" Type="http://schemas.openxmlformats.org/officeDocument/2006/relationships/footer" Target="footer16.xml"/><Relationship Id="rId28" Type="http://schemas.openxmlformats.org/officeDocument/2006/relationships/footer" Target="footer17.xml"/><Relationship Id="rId29" Type="http://schemas.openxmlformats.org/officeDocument/2006/relationships/footer" Target="footer18.xml"/><Relationship Id="rId30" Type="http://schemas.openxmlformats.org/officeDocument/2006/relationships/footer" Target="footer19.xml"/><Relationship Id="rId31" Type="http://schemas.openxmlformats.org/officeDocument/2006/relationships/footer" Target="footer20.xml"/><Relationship Id="rId32" Type="http://schemas.openxmlformats.org/officeDocument/2006/relationships/footer" Target="footer21.xml"/><Relationship Id="rId33" Type="http://schemas.openxmlformats.org/officeDocument/2006/relationships/package" Target="embeddings/oleObject3.xlsx"/><Relationship Id="rId34" Type="http://schemas.openxmlformats.org/officeDocument/2006/relationships/image" Target="media/image3.wmf"/><Relationship Id="rId35" Type="http://schemas.openxmlformats.org/officeDocument/2006/relationships/footer" Target="footer22.xml"/><Relationship Id="rId36" Type="http://schemas.openxmlformats.org/officeDocument/2006/relationships/footer" Target="footer23.xml"/><Relationship Id="rId37" Type="http://schemas.openxmlformats.org/officeDocument/2006/relationships/package" Target="embeddings/oleObject4.xlsx"/><Relationship Id="rId38" Type="http://schemas.openxmlformats.org/officeDocument/2006/relationships/image" Target="media/image4.wmf"/><Relationship Id="rId39" Type="http://schemas.openxmlformats.org/officeDocument/2006/relationships/footer" Target="footer24.xml"/><Relationship Id="rId40" Type="http://schemas.openxmlformats.org/officeDocument/2006/relationships/footer" Target="footer25.xml"/><Relationship Id="rId41" Type="http://schemas.openxmlformats.org/officeDocument/2006/relationships/package" Target="embeddings/oleObject5.xlsx"/><Relationship Id="rId42" Type="http://schemas.openxmlformats.org/officeDocument/2006/relationships/image" Target="media/image5.bmp"/><Relationship Id="rId43" Type="http://schemas.openxmlformats.org/officeDocument/2006/relationships/footer" Target="footer26.xml"/><Relationship Id="rId44" Type="http://schemas.openxmlformats.org/officeDocument/2006/relationships/footer" Target="footer27.xml"/><Relationship Id="rId45" Type="http://schemas.openxmlformats.org/officeDocument/2006/relationships/footnotes" Target="footnotes.xml"/><Relationship Id="rId46" Type="http://schemas.openxmlformats.org/officeDocument/2006/relationships/numbering" Target="numbering.xml"/><Relationship Id="rId47" Type="http://schemas.openxmlformats.org/officeDocument/2006/relationships/fontTable" Target="fontTable.xml"/><Relationship Id="rId48" Type="http://schemas.openxmlformats.org/officeDocument/2006/relationships/settings" Target="settings.xml"/><Relationship Id="rId49" Type="http://schemas.openxmlformats.org/officeDocument/2006/relationships/theme" Target="theme/theme1.xml"/><Relationship Id="rId5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2405F-4D95-4B3D-A0E0-62E3909EF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Application>AlterOffice/2026.2.0.0$Linux_X86_64 LibreOffice_project/bc4ef1adf80b36c7a6365f8ed6cbf29021361edd</Application>
  <AppVersion>15.0000</AppVersion>
  <Pages>25</Pages>
  <Words>5640</Words>
  <Characters>39586</Characters>
  <CharactersWithSpaces>42301</CharactersWithSpaces>
  <Paragraphs>857</Paragraphs>
  <Company>####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2025-10-15T16:39:00Z</dcterms:created>
  <dc:creator>Торопов Денис Владимирович</dc:creator>
  <dc:description/>
  <dc:language>ru-RU</dc:language>
  <cp:lastModifiedBy>kartamysheva_gl</cp:lastModifiedBy>
  <cp:lastPrinted>2021-07-09T09:18:00Z</cp:lastPrinted>
  <dcterms:modified xsi:type="dcterms:W3CDTF">2026-08-26T15:47:58Z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