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85" w:leader="none"/>
        </w:tabs>
        <w:jc w:val="right"/>
        <w:rPr>
          <w:rFonts w:eastAsia="Calibri"/>
          <w:sz w:val="24"/>
          <w:szCs w:val="24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на оказание услуг </w:t>
      </w:r>
    </w:p>
    <w:p>
      <w:pPr>
        <w:pStyle w:val="Normal"/>
        <w:keepNext w:val="true"/>
        <w:keepLines/>
        <w:ind w:firstLine="708"/>
        <w:jc w:val="center"/>
        <w:rPr/>
      </w:pPr>
      <w:r>
        <w:rPr/>
        <w:t>ОКПД 2: 33.12.12.000 Услуги по проведению восстановительного ремонта гидравлической системы бульдозера марки ТМ10.11 ГСТ9 Камчатского филиала АО "ТК РусГидро".</w:t>
      </w:r>
    </w:p>
    <w:p>
      <w:pPr>
        <w:pStyle w:val="Normal"/>
        <w:keepNext w:val="true"/>
        <w:keepLines/>
        <w:ind w:firstLine="708"/>
        <w:jc w:val="center"/>
        <w:rPr>
          <w:sz w:val="26"/>
          <w:szCs w:val="26"/>
        </w:rPr>
      </w:pPr>
      <w:r>
        <w:rPr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3"/>
            </w:numPr>
            <w:rPr>
              <w:color w:val="auto"/>
            </w:rPr>
          </w:pPr>
          <w:r>
            <w:rPr>
              <w:color w:val="auto"/>
            </w:rPr>
            <w:t>Оглавление</w:t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9"/>
              <w:caps/>
              <w:vanish w:val="false"/>
              <w:rFonts w:eastAsia="Calibri"/>
              <w:color w:val="auto"/>
            </w:rPr>
            <w:instrText xml:space="preserve"> TOC \z \o "1-3" \u \h</w:instrText>
          </w:r>
          <w:r>
            <w:rPr>
              <w:webHidden/>
              <w:rStyle w:val="Style19"/>
              <w:caps/>
              <w:vanish w:val="false"/>
              <w:rFonts w:eastAsia="Calibri"/>
              <w:color w:val="auto"/>
            </w:rPr>
            <w:fldChar w:fldCharType="separate"/>
          </w:r>
          <w:hyperlink w:anchor="_Toc236994506">
            <w:r>
              <w:rPr>
                <w:webHidden/>
                <w:rStyle w:val="Style19"/>
                <w:rFonts w:eastAsia="Calibri"/>
                <w:caps/>
                <w:vanish w:val="false"/>
                <w:color w:val="auto"/>
              </w:rPr>
              <w:t>1.</w:t>
            </w:r>
            <w:r>
              <w:rPr>
                <w:rStyle w:val="Style19"/>
                <w:rFonts w:eastAsia="Calibri"/>
                <w:color w:val="auto"/>
              </w:rPr>
              <w:t xml:space="preserve"> 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_Toc236994506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vanish w:val="false"/>
                <w:color w:val="auto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236994507">
            <w:r>
              <w:rPr>
                <w:webHidden/>
                <w:rStyle w:val="Style19"/>
                <w:rFonts w:eastAsia="Calibri"/>
                <w:vanish w:val="false"/>
                <w:color w:val="auto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_Toc236994507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vanish w:val="false"/>
                <w:color w:val="auto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236994508">
            <w:r>
              <w:rPr>
                <w:webHidden/>
                <w:rStyle w:val="Style19"/>
                <w:rFonts w:eastAsia="Calibri"/>
                <w:vanish w:val="false"/>
                <w:color w:val="auto"/>
              </w:rPr>
              <w:t>2.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_Toc236994508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vanish w:val="false"/>
                <w:color w:val="auto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236994509">
            <w:r>
              <w:rPr>
                <w:webHidden/>
                <w:rStyle w:val="Style19"/>
                <w:rFonts w:eastAsia="Calibri"/>
                <w:vanish w:val="false"/>
                <w:color w:val="auto"/>
              </w:rPr>
              <w:t>2.1.1.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_Toc236994509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vanish w:val="false"/>
                <w:color w:val="auto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236994510">
            <w:r>
              <w:rPr>
                <w:webHidden/>
                <w:rStyle w:val="Style19"/>
                <w:rFonts w:eastAsia="Calibri"/>
                <w:vanish w:val="false"/>
                <w:color w:val="auto"/>
              </w:rPr>
              <w:t>Таблица 2. Требования к срокам оказания</w:t>
            </w:r>
            <w:bookmarkStart w:id="0" w:name="_GoBack"/>
            <w:bookmarkEnd w:id="0"/>
            <w:r>
              <w:rPr>
                <w:rStyle w:val="Style19"/>
                <w:rFonts w:eastAsia="Calibri"/>
                <w:color w:val="auto"/>
              </w:rPr>
              <w:t xml:space="preserve">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_Toc236994510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vanish w:val="false"/>
                <w:color w:val="auto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236994511">
            <w:r>
              <w:rPr>
                <w:webHidden/>
                <w:rStyle w:val="Style19"/>
                <w:rFonts w:eastAsia="Calibri"/>
                <w:vanish w:val="false"/>
                <w:color w:val="auto"/>
              </w:rPr>
              <w:t>2.1.2. 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_Toc236994511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vanish w:val="false"/>
                <w:color w:val="auto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236994512">
            <w:r>
              <w:rPr>
                <w:webHidden/>
                <w:rStyle w:val="Style19"/>
                <w:rFonts w:eastAsia="Calibri"/>
                <w:vanish w:val="false"/>
                <w:color w:val="auto"/>
              </w:rPr>
              <w:t>Таблица 3.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_Toc236994512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vanish w:val="false"/>
                <w:color w:val="auto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236994513">
            <w:r>
              <w:rPr>
                <w:webHidden/>
                <w:rStyle w:val="Style19"/>
                <w:rFonts w:eastAsia="Calibri"/>
                <w:vanish w:val="false"/>
                <w:color w:val="auto"/>
                <w:kern w:val="2"/>
                <w:lang w:val="x-none" w:eastAsia="x-none"/>
              </w:rPr>
              <w:t>Таблица </w:t>
            </w:r>
            <w:r>
              <w:rPr>
                <w:rStyle w:val="Style19"/>
                <w:rFonts w:eastAsia="Calibri"/>
                <w:color w:val="auto"/>
                <w:kern w:val="2"/>
                <w:lang w:eastAsia="x-none"/>
              </w:rPr>
              <w:t>4</w:t>
            </w:r>
            <w:r>
              <w:rPr>
                <w:rStyle w:val="Style19"/>
                <w:rFonts w:eastAsia="Calibri"/>
                <w:color w:val="auto"/>
                <w:kern w:val="2"/>
                <w:lang w:val="x-none" w:eastAsia="x-none"/>
              </w:rPr>
              <w:t xml:space="preserve">. Требования к </w:t>
            </w:r>
            <w:r>
              <w:rPr>
                <w:rStyle w:val="Style19"/>
                <w:rFonts w:eastAsia="Calibri"/>
                <w:color w:val="auto"/>
                <w:kern w:val="2"/>
                <w:lang w:eastAsia="x-none"/>
              </w:rPr>
              <w:t>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_Toc236994513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vanish w:val="false"/>
                <w:color w:val="auto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236994514">
            <w:r>
              <w:rPr>
                <w:webHidden/>
                <w:rStyle w:val="Style19"/>
                <w:rFonts w:eastAsia="Calibri"/>
                <w:vanish w:val="false"/>
                <w:color w:val="auto"/>
              </w:rPr>
              <w:t>3. 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_Toc236994514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vanish w:val="false"/>
                <w:color w:val="auto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rPr>
          <w:rFonts w:eastAsia="Calibri"/>
          <w:b/>
          <w:lang w:eastAsia="x-none"/>
        </w:rPr>
      </w:pPr>
      <w:r>
        <w:rPr>
          <w:rFonts w:eastAsia="Calibri"/>
          <w:b/>
          <w:lang w:eastAsia="x-none"/>
        </w:rPr>
      </w:r>
      <w:r>
        <w:br w:type="page"/>
      </w:r>
    </w:p>
    <w:p>
      <w:pPr>
        <w:pStyle w:val="Heading1"/>
        <w:numPr>
          <w:ilvl w:val="0"/>
          <w:numId w:val="8"/>
        </w:numPr>
        <w:rPr>
          <w:caps/>
        </w:rPr>
      </w:pPr>
      <w:bookmarkStart w:id="1" w:name="_Toc143518119"/>
      <w:bookmarkStart w:id="2" w:name="_Toc236994506"/>
      <w:r>
        <w:rPr/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rPr>
          <w:rStyle w:val="Style8"/>
          <w:b/>
          <w:i w:val="false"/>
          <w:i w:val="false"/>
          <w:shd w:fill="auto" w:val="clear"/>
        </w:rPr>
      </w:pPr>
      <w:bookmarkStart w:id="3" w:name="_Toc46743505"/>
      <w:bookmarkStart w:id="4" w:name="_Toc143518120"/>
      <w:r>
        <w:rPr/>
        <w:t>Обозначения и сокращения</w:t>
      </w:r>
      <w:bookmarkEnd w:id="3"/>
      <w:bookmarkEnd w:id="4"/>
    </w:p>
    <w:tbl>
      <w:tblPr>
        <w:tblW w:w="100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3"/>
        <w:gridCol w:w="8276"/>
      </w:tblGrid>
      <w:tr>
        <w:trPr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Самоходная машина</w:t>
            </w:r>
          </w:p>
        </w:tc>
      </w:tr>
      <w:tr>
        <w:trPr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</w:t>
            </w:r>
          </w:p>
        </w:tc>
      </w:tr>
      <w:tr>
        <w:trPr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компания</w:t>
            </w:r>
          </w:p>
        </w:tc>
      </w:tr>
      <w:tr>
        <w:trPr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НМЦ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максимальная цена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5" w:name="_Toc143518121"/>
      <w:r>
        <w:rPr/>
        <w:t>Наименование закупаемой продукции</w:t>
      </w:r>
      <w:bookmarkEnd w:id="5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ОКПД 2: 33.12.12.000 Услуги по проведению восстановительного ремонта гидравлической системы бульдозера марки ТМ10.11 ГСТ9 Камчатского филиала АО "ТК РусГидро".</w:t>
      </w:r>
      <w:bookmarkStart w:id="6" w:name="_Toc143518123"/>
    </w:p>
    <w:p>
      <w:pPr>
        <w:pStyle w:val="Heading4"/>
        <w:numPr>
          <w:ilvl w:val="1"/>
          <w:numId w:val="3"/>
        </w:numPr>
        <w:rPr/>
      </w:pPr>
      <w:bookmarkStart w:id="7" w:name="_Toc46743507"/>
      <w:r>
        <w:rPr/>
        <w:t xml:space="preserve">Цель </w:t>
      </w:r>
      <w:bookmarkEnd w:id="7"/>
      <w:r>
        <w:rPr/>
        <w:t>оказания услуг</w:t>
      </w:r>
      <w:bookmarkEnd w:id="6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текущего ремонта транспортного средства ТМ 10.11 ГСТ9 транспортного участка «КТЭЦ» Камчатского филиала АО "ТК РусГидро", расположенного на территории г. Петропавловска-Камчатского. 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>1.4. Существующее положение.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Задача: Услуги по проведению восстановительного ремонта гидравлической системы бульдозера марки ТМ10.11 ГСТ9 Камчатского филиала АО "ТК РусГидро".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8" w:name="_Toc143518124"/>
      <w:bookmarkStart w:id="9" w:name="_Toc236994507"/>
      <w:r>
        <w:rPr/>
        <w:t>Таблица 1. Перечень объектов заказчика</w:t>
      </w:r>
      <w:bookmarkEnd w:id="8"/>
      <w:bookmarkEnd w:id="9"/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73"/>
        <w:gridCol w:w="3106"/>
        <w:gridCol w:w="1982"/>
        <w:gridCol w:w="4539"/>
      </w:tblGrid>
      <w:tr>
        <w:trPr>
          <w:trHeight w:val="542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b/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</w:tr>
      <w:tr>
        <w:trPr>
          <w:trHeight w:val="106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2760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bookmarkStart w:id="10" w:name="_Toc143518125"/>
            <w:r>
              <w:rPr>
                <w:sz w:val="24"/>
                <w:szCs w:val="24"/>
              </w:rPr>
              <w:t>1.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2: 33.12.12.000 Услуги по проведению восстановительного ремонта гидравлической системы бульдозера марки ТМ10.11 ГСТ9 Камчатского филиала АО "ТК РусГидро".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Камчатский край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г.Петропавловск-Камчатский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ТМ 10.11 ГСТ9</w:t>
            </w:r>
          </w:p>
        </w:tc>
      </w:tr>
    </w:tbl>
    <w:p>
      <w:pPr>
        <w:pStyle w:val="Heading4"/>
        <w:numPr>
          <w:ilvl w:val="1"/>
          <w:numId w:val="3"/>
        </w:numPr>
        <w:ind w:left="0" w:hanging="0"/>
        <w:jc w:val="both"/>
        <w:rPr/>
      </w:pPr>
      <w:r>
        <w:rPr/>
        <w:t xml:space="preserve">Информация в отношении исполнения договора, </w:t>
      </w:r>
      <w:bookmarkStart w:id="11" w:name="_Hlk46492347"/>
      <w:r>
        <w:rPr/>
        <w:t xml:space="preserve">которая должна быть учтена при подготовке заявки </w:t>
      </w:r>
      <w:bookmarkEnd w:id="11"/>
      <w:r>
        <w:rPr/>
        <w:t>(в том числе перечень ресурсов, услуг и документов, предоставляемых заказчиком на этапе исполнения договора)</w:t>
      </w:r>
      <w:bookmarkEnd w:id="10"/>
    </w:p>
    <w:p>
      <w:pPr>
        <w:pStyle w:val="ListParagraph"/>
        <w:numPr>
          <w:ilvl w:val="0"/>
          <w:numId w:val="9"/>
        </w:numPr>
        <w:ind w:left="0" w:hanging="0"/>
        <w:jc w:val="both"/>
        <w:rPr/>
      </w:pPr>
      <w:r>
        <w:rPr/>
        <w:t>Текущий ремонт транспортных средств заключается в устранении возникших в процессе эксплуатации неисправностей путем замены или ремонта отдельных деталей агрегата, кроме базовых.</w:t>
      </w:r>
    </w:p>
    <w:p>
      <w:pPr>
        <w:pStyle w:val="ListParagraph"/>
        <w:numPr>
          <w:ilvl w:val="0"/>
          <w:numId w:val="9"/>
        </w:numPr>
        <w:jc w:val="both"/>
        <w:rPr/>
      </w:pPr>
      <w:r>
        <w:rPr/>
        <w:t>По заявке Заказчика Исполнитель составляет предварительный заказ-наряд (дефектную ведомость) на техническое обслуживание или текущий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наряда (дефектной ведомости) и утверждения Заказчиком, в адрес Исполнителя направляется информация о согласии или отказе от оказания услуг.</w:t>
      </w:r>
    </w:p>
    <w:p>
      <w:pPr>
        <w:pStyle w:val="ListParagraph"/>
        <w:numPr>
          <w:ilvl w:val="0"/>
          <w:numId w:val="9"/>
        </w:numPr>
        <w:ind w:left="0" w:hanging="0"/>
        <w:jc w:val="both"/>
        <w:rPr/>
      </w:pPr>
      <w:r>
        <w:rPr/>
        <w:t>ТР включает:</w:t>
      </w:r>
    </w:p>
    <w:p>
      <w:pPr>
        <w:pStyle w:val="ListParagraph"/>
        <w:ind w:left="900" w:hanging="0"/>
        <w:jc w:val="both"/>
        <w:rPr>
          <w:highlight w:val="none"/>
          <w:shd w:fill="auto" w:val="clear"/>
        </w:rPr>
      </w:pPr>
      <w:r>
        <w:rPr>
          <w:shd w:fill="auto" w:val="clear"/>
        </w:rPr>
        <w:t>- разборочно-сборочные, слесарные, сварочные и другие работы;</w:t>
      </w:r>
    </w:p>
    <w:p>
      <w:pPr>
        <w:pStyle w:val="ListParagraph"/>
        <w:ind w:left="900" w:hanging="0"/>
        <w:jc w:val="both"/>
        <w:rPr>
          <w:highlight w:val="none"/>
          <w:shd w:fill="auto" w:val="clear"/>
        </w:rPr>
      </w:pPr>
      <w:r>
        <w:rPr>
          <w:shd w:fill="auto" w:val="clear"/>
        </w:rPr>
        <w:t>- ремонт ходовой части (при необходимости);</w:t>
      </w:r>
    </w:p>
    <w:p>
      <w:pPr>
        <w:pStyle w:val="ListParagraph"/>
        <w:ind w:left="900" w:hanging="0"/>
        <w:jc w:val="both"/>
        <w:rPr>
          <w:highlight w:val="none"/>
          <w:shd w:fill="auto" w:val="clear"/>
        </w:rPr>
      </w:pPr>
      <w:r>
        <w:rPr>
          <w:shd w:fill="auto" w:val="clear"/>
        </w:rPr>
        <w:t>- ремонт агрегатов и/или их замена (при необходимости);</w:t>
      </w:r>
    </w:p>
    <w:p>
      <w:pPr>
        <w:pStyle w:val="ListParagraph"/>
        <w:ind w:left="900" w:hanging="0"/>
        <w:jc w:val="both"/>
        <w:rPr>
          <w:highlight w:val="none"/>
          <w:shd w:fill="auto" w:val="clear"/>
        </w:rPr>
      </w:pPr>
      <w:r>
        <w:rPr>
          <w:shd w:fill="auto" w:val="clear"/>
        </w:rPr>
        <w:t>- электромонтажные работы (при необходимости);</w:t>
      </w:r>
    </w:p>
    <w:p>
      <w:pPr>
        <w:pStyle w:val="ListParagraph"/>
        <w:ind w:left="900" w:hanging="0"/>
        <w:jc w:val="both"/>
        <w:rPr>
          <w:highlight w:val="none"/>
          <w:shd w:fill="auto" w:val="clear"/>
        </w:rPr>
      </w:pPr>
      <w:r>
        <w:rPr>
          <w:shd w:fill="auto" w:val="clear"/>
        </w:rPr>
        <w:t>- ремонт топливной аппаратуры (при необходимости);</w:t>
      </w:r>
    </w:p>
    <w:p>
      <w:pPr>
        <w:pStyle w:val="ListParagraph"/>
        <w:ind w:left="900" w:hanging="0"/>
        <w:jc w:val="both"/>
        <w:rPr>
          <w:highlight w:val="none"/>
          <w:shd w:fill="auto" w:val="clear"/>
        </w:rPr>
      </w:pPr>
      <w:r>
        <w:rPr>
          <w:shd w:fill="auto" w:val="clear"/>
        </w:rPr>
        <w:t>- диагностические работы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иные работы связанные с процессом восстановления технической готовности транспортного средства.</w:t>
      </w:r>
    </w:p>
    <w:p>
      <w:pPr>
        <w:pStyle w:val="ListParagraph"/>
        <w:numPr>
          <w:ilvl w:val="0"/>
          <w:numId w:val="9"/>
        </w:numPr>
        <w:ind w:left="0" w:hanging="0"/>
        <w:jc w:val="both"/>
        <w:rPr/>
      </w:pPr>
      <w:r>
        <w:rPr/>
        <w:t>В ходе проведения работ по техническому обслуживанию и текущему ремонту транспортных средств Заказчика Исполнитель применяет запасные части и расходные материалы Заказчика, а также собственные запасные части необходимые для проведения технических воздействий с учетом того, что стоимость предоставляемых для ремонта запасных частей и расходных материалов не превышает стоимость розничной реализации запасных частей у поставщиков в данном регионе и заранее согласовывается с Заказчиком при составлении заказ-наряда.</w:t>
      </w:r>
    </w:p>
    <w:p>
      <w:pPr>
        <w:pStyle w:val="ListParagraph"/>
        <w:numPr>
          <w:ilvl w:val="0"/>
          <w:numId w:val="9"/>
        </w:numPr>
        <w:ind w:left="0" w:hanging="0"/>
        <w:jc w:val="both"/>
        <w:rPr/>
      </w:pPr>
      <w:r>
        <w:rPr/>
        <w:t>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>
      <w:pPr>
        <w:pStyle w:val="ListParagraph"/>
        <w:numPr>
          <w:ilvl w:val="0"/>
          <w:numId w:val="9"/>
        </w:numPr>
        <w:ind w:left="0" w:hanging="0"/>
        <w:jc w:val="both"/>
        <w:rPr/>
      </w:pPr>
      <w:r>
        <w:rPr/>
        <w:t>Все расходные материалы, замененные в процессе проведения технического обслуживания или текущего ремонта транспортных средств Заказчика, переходят в собственность Исполнителя и утилизируются его силами.</w:t>
      </w:r>
    </w:p>
    <w:p>
      <w:pPr>
        <w:pStyle w:val="Heading1"/>
        <w:numPr>
          <w:ilvl w:val="0"/>
          <w:numId w:val="8"/>
        </w:numPr>
        <w:rPr/>
      </w:pPr>
      <w:bookmarkStart w:id="12" w:name="_Toc143518126"/>
      <w:bookmarkStart w:id="13" w:name="_Toc236994508"/>
      <w:r>
        <w:rPr/>
        <w:t>Требования к продукции</w:t>
      </w:r>
      <w:bookmarkEnd w:id="12"/>
      <w:bookmarkEnd w:id="13"/>
    </w:p>
    <w:p>
      <w:pPr>
        <w:pStyle w:val="Heading4"/>
        <w:numPr>
          <w:ilvl w:val="1"/>
          <w:numId w:val="11"/>
        </w:numPr>
        <w:rPr/>
      </w:pPr>
      <w:bookmarkStart w:id="14" w:name="_Toc143518127"/>
      <w:r>
        <w:rPr/>
        <w:t>Требования к объемам и срокам оказания услуг</w:t>
      </w:r>
      <w:bookmarkEnd w:id="14"/>
    </w:p>
    <w:p>
      <w:pPr>
        <w:pStyle w:val="Heading1"/>
        <w:numPr>
          <w:ilvl w:val="0"/>
          <w:numId w:val="0"/>
        </w:numPr>
        <w:ind w:left="0" w:hanging="0"/>
        <w:rPr/>
      </w:pPr>
      <w:bookmarkStart w:id="15" w:name="_Toc143518129"/>
      <w:bookmarkStart w:id="16" w:name="_Toc236994510"/>
      <w:bookmarkStart w:id="17" w:name="_Toc236994509"/>
      <w:bookmarkStart w:id="18" w:name="_Toc149316493"/>
      <w:bookmarkStart w:id="19" w:name="_Toc143518128"/>
      <w:bookmarkEnd w:id="17"/>
      <w:bookmarkEnd w:id="18"/>
      <w:bookmarkEnd w:id="19"/>
      <w:r>
        <w:rPr/>
        <w:t>Таблица 2. Сроки оказания услуг</w:t>
      </w:r>
      <w:bookmarkEnd w:id="15"/>
      <w:bookmarkEnd w:id="16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4"/>
        <w:gridCol w:w="2841"/>
        <w:gridCol w:w="2975"/>
        <w:gridCol w:w="2977"/>
      </w:tblGrid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4"/>
              <w:widowControl w:val="false"/>
              <w:numPr>
                <w:ilvl w:val="0"/>
              </w:numPr>
              <w:tabs>
                <w:tab w:val="clear" w:pos="0"/>
              </w:tabs>
              <w:spacing w:before="120" w:after="60"/>
              <w:ind w:left="32" w:hanging="0"/>
              <w:jc w:val="center"/>
              <w:rPr>
                <w:b w:val="false"/>
              </w:rPr>
            </w:pPr>
            <w:r>
              <w:rPr>
                <w:b w:val="false"/>
                <w:bCs w:val="false"/>
              </w:rPr>
              <w:t>ОКПД 2: 33.12.12.000 Услуги по проведению восстановительного ремонта гидравлической системы бульдозера марки ТМ10.11 ГСТ9 Камчатского филиала АО "ТК РусГидро".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  <w:t>С даты подписания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31.12.2026</w:t>
            </w:r>
          </w:p>
        </w:tc>
      </w:tr>
    </w:tbl>
    <w:p>
      <w:pPr>
        <w:pStyle w:val="Heading3"/>
        <w:numPr>
          <w:ilvl w:val="0"/>
          <w:numId w:val="10"/>
        </w:numPr>
        <w:rPr/>
      </w:pPr>
      <w:bookmarkStart w:id="20" w:name="_Toc143518130"/>
      <w:bookmarkStart w:id="21" w:name="_Toc149316495"/>
      <w:bookmarkStart w:id="22" w:name="_Toc236994511"/>
      <w:r>
        <w:rPr/>
        <w:t>Требования к перечню и объему услуг</w:t>
      </w:r>
      <w:bookmarkStart w:id="23" w:name="_Toc50125131"/>
      <w:bookmarkStart w:id="24" w:name="_Toc51339698"/>
      <w:bookmarkStart w:id="25" w:name="_Toc143518132"/>
      <w:bookmarkStart w:id="26" w:name="_Toc46743511"/>
      <w:bookmarkStart w:id="27" w:name="_Toc51339695"/>
      <w:bookmarkStart w:id="28" w:name="_Toc143518131"/>
      <w:bookmarkStart w:id="29" w:name="_Toc236994512"/>
      <w:bookmarkEnd w:id="20"/>
      <w:bookmarkEnd w:id="21"/>
      <w:bookmarkEnd w:id="22"/>
      <w:bookmarkEnd w:id="27"/>
      <w:bookmarkEnd w:id="28"/>
      <w:bookmarkEnd w:id="29"/>
    </w:p>
    <w:p>
      <w:pPr>
        <w:pStyle w:val="Heading1"/>
        <w:numPr>
          <w:ilvl w:val="0"/>
          <w:numId w:val="0"/>
        </w:numPr>
        <w:ind w:left="0" w:hanging="0"/>
        <w:rPr>
          <w:rFonts w:ascii="Times New Roman" w:hAnsi="Times New Roman" w:eastAsia="Times New Roman" w:cs="Times New Roman"/>
          <w:bCs/>
          <w:color w:val="000000"/>
          <w:kern w:val="0"/>
          <w:sz w:val="24"/>
          <w:szCs w:val="24"/>
          <w:lang w:val="ru-RU" w:eastAsia="ru-RU" w:bidi="ar-SA"/>
        </w:rPr>
      </w:pPr>
      <w:bookmarkStart w:id="30" w:name="_Toc143518131_Копия_1"/>
      <w:bookmarkStart w:id="31" w:name="_Toc149316496"/>
      <w:bookmarkStart w:id="32" w:name="_Toc51339695_Копия_1"/>
      <w:r>
        <w:rPr>
          <w:rFonts w:eastAsia="Times New Roman" w:cs="Times New Roman"/>
          <w:bCs/>
          <w:color w:val="000000"/>
          <w:kern w:val="0"/>
          <w:sz w:val="24"/>
          <w:szCs w:val="24"/>
          <w:lang w:val="ru-RU" w:eastAsia="ru-RU" w:bidi="ar-SA"/>
        </w:rPr>
        <w:t xml:space="preserve">Таблица 3. Перечень </w:t>
      </w:r>
      <w:bookmarkEnd w:id="32"/>
      <w:r>
        <w:rPr>
          <w:rFonts w:eastAsia="Times New Roman" w:cs="Times New Roman"/>
          <w:bCs/>
          <w:color w:val="000000"/>
          <w:kern w:val="0"/>
          <w:sz w:val="24"/>
          <w:szCs w:val="24"/>
          <w:lang w:val="ru-RU" w:eastAsia="ru-RU" w:bidi="ar-SA"/>
        </w:rPr>
        <w:t>и объем оказываемых услуг</w:t>
      </w:r>
      <w:bookmarkEnd w:id="30"/>
      <w:bookmarkEnd w:id="31"/>
    </w:p>
    <w:tbl>
      <w:tblPr>
        <w:tblW w:w="99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0"/>
        <w:gridCol w:w="6284"/>
        <w:gridCol w:w="1557"/>
        <w:gridCol w:w="1411"/>
      </w:tblGrid>
      <w:tr>
        <w:trPr>
          <w:trHeight w:val="284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Ед. </w:t>
              <w:br/>
              <w:t>изм.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Кол-во*</w:t>
            </w:r>
          </w:p>
        </w:tc>
      </w:tr>
      <w:tr>
        <w:trPr>
          <w:trHeight w:val="284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Текущий ремонт легковых автомобилей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Нормо-час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212,00</w:t>
            </w:r>
          </w:p>
        </w:tc>
      </w:tr>
      <w:tr>
        <w:trPr>
          <w:trHeight w:val="284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Расходные материалы и запасные части **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Усл. ед.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3,00</w:t>
            </w:r>
          </w:p>
        </w:tc>
      </w:tr>
    </w:tbl>
    <w:p>
      <w:pPr>
        <w:pStyle w:val="Normal"/>
        <w:ind w:left="-142" w:hanging="0"/>
        <w:jc w:val="both"/>
        <w:rPr>
          <w:rFonts w:ascii="Times New Roman" w:hAnsi="Times New Roman" w:eastAsia="Times New Roman" w:cs="Times New Roman"/>
          <w:bCs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Cs/>
          <w:color w:val="000000"/>
          <w:kern w:val="0"/>
          <w:sz w:val="24"/>
          <w:szCs w:val="24"/>
          <w:lang w:val="ru-RU" w:eastAsia="ru-RU" w:bidi="ar-SA"/>
        </w:rPr>
        <w:t>* Количество плановое, может быть скорректировано исходя из производственных потребностей Заказчика в пределах общей цены договора.</w:t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707" w:gutter="0" w:header="680" w:top="737" w:footer="0" w:bottom="568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ind w:left="-142" w:hanging="0"/>
        <w:jc w:val="both"/>
        <w:rPr>
          <w:rFonts w:ascii="Times New Roman" w:hAnsi="Times New Roman" w:eastAsia="Times New Roman" w:cs="Times New Roman"/>
          <w:bCs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Cs/>
          <w:color w:val="000000"/>
          <w:kern w:val="0"/>
          <w:sz w:val="24"/>
          <w:szCs w:val="24"/>
          <w:lang w:val="ru-RU" w:eastAsia="ru-RU" w:bidi="ar-SA"/>
        </w:rPr>
        <w:t>** Номенклатура, количество расходных материалов и запасных частей определяется Исполнителем по фактической потребности, необходимой для исполнения заявок Заказчика, согласовывается Сторонами в Заказ-нарядах и предъявляется Исполнителем к оплате Заказчиком по ценам не выше среднерыночных по региону, в котором оказаны услуги, в пределах общей цены договора.</w:t>
      </w:r>
    </w:p>
    <w:p>
      <w:pPr>
        <w:pStyle w:val="Heading4"/>
        <w:numPr>
          <w:ilvl w:val="0"/>
          <w:numId w:val="0"/>
        </w:numPr>
        <w:ind w:left="432" w:hanging="0"/>
        <w:rPr/>
      </w:pPr>
      <w:r>
        <w:rPr/>
        <w:t xml:space="preserve">2.1.2Требования к </w:t>
      </w:r>
      <w:bookmarkEnd w:id="26"/>
      <w:r>
        <w:rPr/>
        <w:t>качеству услуг</w:t>
      </w:r>
      <w:bookmarkEnd w:id="25"/>
    </w:p>
    <w:p>
      <w:pPr>
        <w:pStyle w:val="Normal"/>
        <w:keepNext w:val="true"/>
        <w:numPr>
          <w:ilvl w:val="0"/>
          <w:numId w:val="0"/>
        </w:numPr>
        <w:spacing w:before="240" w:after="60"/>
        <w:ind w:left="0" w:hanging="0"/>
        <w:outlineLvl w:val="0"/>
        <w:rPr>
          <w:b/>
          <w:bCs/>
          <w:kern w:val="2"/>
          <w:sz w:val="24"/>
          <w:szCs w:val="24"/>
          <w:lang w:val="x-none" w:eastAsia="x-none"/>
        </w:rPr>
      </w:pPr>
      <w:bookmarkStart w:id="33" w:name="_Toc143518133"/>
      <w:bookmarkStart w:id="34" w:name="_Toc236994513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33"/>
      <w:bookmarkEnd w:id="34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p>
      <w:pPr>
        <w:pStyle w:val="Normal"/>
        <w:jc w:val="both"/>
        <w:rPr>
          <w:iCs/>
          <w:sz w:val="22"/>
          <w:szCs w:val="22"/>
          <w:shd w:fill="FFFF99" w:val="clear"/>
        </w:rPr>
      </w:pPr>
      <w:bookmarkStart w:id="35" w:name="_Toc46743519"/>
      <w:bookmarkStart w:id="36" w:name="_Toc51339699"/>
      <w:bookmarkEnd w:id="23"/>
      <w:bookmarkEnd w:id="24"/>
      <w:r>
        <w:rPr>
          <w:b/>
          <w:bCs/>
          <w:sz w:val="24"/>
          <w:szCs w:val="24"/>
        </w:rPr>
        <w:t>Наименование услуг (позиция № 1 Таблицы 3):</w:t>
      </w:r>
    </w:p>
    <w:p>
      <w:pPr>
        <w:pStyle w:val="Normal"/>
        <w:jc w:val="both"/>
        <w:rPr>
          <w:iCs/>
          <w:sz w:val="22"/>
          <w:szCs w:val="22"/>
          <w:shd w:fill="FFFF99" w:val="clear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iCs/>
          <w:sz w:val="22"/>
          <w:szCs w:val="22"/>
          <w:shd w:fill="auto" w:val="clear"/>
        </w:rPr>
        <w:t>ОКПД 2: 33.12.12.000 Услуги по проведению восстановительного ремонта гидравлической системы бульдозера марки ТМ10.11 ГСТ9 Камчатского филиала АО "ТК РусГидро".</w:t>
      </w:r>
    </w:p>
    <w:tbl>
      <w:tblPr>
        <w:tblStyle w:val="afffff0"/>
        <w:tblW w:w="1569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3"/>
        <w:gridCol w:w="1975"/>
        <w:gridCol w:w="6305"/>
        <w:gridCol w:w="2461"/>
        <w:gridCol w:w="4125"/>
      </w:tblGrid>
      <w:tr>
        <w:trPr>
          <w:trHeight w:val="542" w:hRule="atLeast"/>
        </w:trPr>
        <w:tc>
          <w:tcPr>
            <w:tcW w:w="8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97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58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542" w:hRule="atLeast"/>
        </w:trPr>
        <w:tc>
          <w:tcPr>
            <w:tcW w:w="83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7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3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41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71" w:hRule="atLeast"/>
        </w:trPr>
        <w:tc>
          <w:tcPr>
            <w:tcW w:w="8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7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7"/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4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41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>
          <w:trHeight w:val="271" w:hRule="atLeast"/>
        </w:trPr>
        <w:tc>
          <w:tcPr>
            <w:tcW w:w="8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8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46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12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1" w:hRule="atLeast"/>
        </w:trPr>
        <w:tc>
          <w:tcPr>
            <w:tcW w:w="8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28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46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12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313" w:hRule="atLeast"/>
        </w:trPr>
        <w:tc>
          <w:tcPr>
            <w:tcW w:w="8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3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Участник, оказывающий услуги по ремонту транспортных средств, обязан обеспечивать их проведение в соответствии с установленными нормами и правилами процедур ремонта транспортных средств, установленными заводом-изготовителем и правилами оказания услуг (выполнения работ) по техническому обслуживанию и ремонту АМТС Российской Федерации Утвержденными Постановлением Правительства Российской Федерации от 11 апреля 2001 г. № 290 (в ред. Постановлений Правительства РФ от  31.01.2017 N 109)</w:t>
            </w:r>
          </w:p>
        </w:tc>
        <w:tc>
          <w:tcPr>
            <w:tcW w:w="246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заявке согласие выполнить работы, полностью соответствующие настоящим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техническим требованиям, по форме Технического предложения, установленной в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Документации о закупке</w:t>
            </w:r>
          </w:p>
        </w:tc>
        <w:tc>
          <w:tcPr>
            <w:tcW w:w="412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8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обеспечить сохранность и комплектность транспортных средств Заказчика на период оказания Услуг.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12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370" w:hRule="atLeast"/>
        </w:trPr>
        <w:tc>
          <w:tcPr>
            <w:tcW w:w="8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ограничениям оказания услуг</w:t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извещать Заказчика о возникновении в ходе оказания Услуг новых обстоятельств технического состояния ремонтируемого транспортного средства, которые могут привести к снижению безопасности его эксплуатации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12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14" w:hRule="atLeast"/>
        </w:trPr>
        <w:tc>
          <w:tcPr>
            <w:tcW w:w="8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1.1.4.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Транспортные средства после ремонта должны удовлетворять требованиям Федерального закона от 02.07.2021 N 297-ФЗ "О самоходных машинах и других видах техники", Технического Регламента Таможенного Союза ТР ТС 010/2011 «О безопасности машин и оборудования»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Утверждённого Решением Комиссии Таможенного союза от 18 октября 2011 года N 823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12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3" w:hRule="atLeast"/>
        </w:trPr>
        <w:tc>
          <w:tcPr>
            <w:tcW w:w="8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1.1.5.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требованию заказчика Исполнитель должен предоставить попозиционный расчет трудозатрат в нормо-часах на оказанные услуги по текущему ремонту транспортных средств с подтверждением норм трудозатрат в нормо-часах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12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3" w:hRule="atLeast"/>
        </w:trPr>
        <w:tc>
          <w:tcPr>
            <w:tcW w:w="8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1.1.6.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окончания работ оплата за парковку транспортного средства на территории Исполнителя не начисляется.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12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3" w:hRule="atLeast"/>
        </w:trPr>
        <w:tc>
          <w:tcPr>
            <w:tcW w:w="8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1.1.7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Отходы, образовавшиеся в результате оказания Услуг являются собственностью Исполнителя. Исполнитель обязан собственными силами и за свой счет осуществлять деятельность по обращению с образовавшимися отходами в соответствии с действующим законодательством РФ.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12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1" w:hRule="atLeast"/>
        </w:trPr>
        <w:tc>
          <w:tcPr>
            <w:tcW w:w="8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12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8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по заявкам в период с момента подписания договора.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12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3" w:hRule="atLeast"/>
        </w:trPr>
        <w:tc>
          <w:tcPr>
            <w:tcW w:w="8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1.2.2.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исполнения по конкретной заявке согласовываются сторонами в заказ-наряде, но не должен превышать 5 (пять) рабочих дней.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12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8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Качество оказанных Услуг должно соответствовать нормативно-технической и технологической документации по ремонту транспортных средств Заказчика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12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8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12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656" w:hRule="atLeast"/>
        </w:trPr>
        <w:tc>
          <w:tcPr>
            <w:tcW w:w="8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оказать услуги в специально оборудованном (для выполнения данного вида работ) помещении, с надлежащей эффективностью и на высоком профессиональном уровне, с использованием современного, безопасного, эффективного оборудования, техники, инструментов, материалов и методов.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1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83" w:hRule="atLeast"/>
        </w:trPr>
        <w:tc>
          <w:tcPr>
            <w:tcW w:w="8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устанавливать на транспортные средства Заказчика только новые запасные части, в соответствии с каталожными номерами завода изготовителя. Запасные части, используемые Исполнителем, должны быть сертифицированы. Исполнитель по требованию Заказчика обязан предъявить сертификаты соответствия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8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гарантийным обязательствам оказываемых услуг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1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656" w:hRule="atLeast"/>
        </w:trPr>
        <w:tc>
          <w:tcPr>
            <w:tcW w:w="8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1.4.1.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Гарантийные обязательства на оказанные Услуги должны составлять не менее 6 (Шести) месяцев или 5000 км пробега (в зависимости, что наступит раньше). Гарантийный срок на замененные в процессе обслуживания или ремонта детали и механизмы должен составлять не менее установленного заводом изготовителем.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1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60" w:hRule="atLeast"/>
        </w:trPr>
        <w:tc>
          <w:tcPr>
            <w:tcW w:w="8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3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Квалификационные требования 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1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82" w:hRule="atLeast"/>
        </w:trPr>
        <w:tc>
          <w:tcPr>
            <w:tcW w:w="8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иметь наличие опыта на оказание услуг по текущему ремонту колёсных транспортных средств не менее двух лет.</w:t>
            </w:r>
          </w:p>
        </w:tc>
        <w:tc>
          <w:tcPr>
            <w:tcW w:w="24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1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567" w:right="567" w:gutter="0" w:header="680" w:top="1276" w:footer="0" w:bottom="709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8"/>
        </w:numPr>
        <w:rPr/>
      </w:pPr>
      <w:bookmarkStart w:id="38" w:name="_Toc143518134"/>
      <w:bookmarkStart w:id="39" w:name="_Toc236994514"/>
      <w:bookmarkStart w:id="40" w:name="_Toc53393312"/>
      <w:bookmarkStart w:id="41" w:name="_Toc53395937"/>
      <w:r>
        <w:rPr/>
        <w:t>Требования к документации по ценообразованию</w:t>
      </w:r>
      <w:bookmarkEnd w:id="40"/>
      <w:bookmarkEnd w:id="41"/>
      <w:r>
        <w:rPr/>
        <w:t xml:space="preserve"> на этапе закупки</w:t>
      </w:r>
      <w:bookmarkEnd w:id="35"/>
      <w:bookmarkEnd w:id="36"/>
      <w:bookmarkEnd w:id="38"/>
      <w:bookmarkEnd w:id="39"/>
    </w:p>
    <w:p>
      <w:pPr>
        <w:pStyle w:val="ListParagraph"/>
        <w:ind w:left="0" w:hanging="0"/>
        <w:jc w:val="both"/>
        <w:rPr/>
      </w:pPr>
      <w:r>
        <w:rPr/>
        <w:t xml:space="preserve">3.1. </w:t>
      </w:r>
      <w:r>
        <w:rPr>
          <w:rFonts w:cs="Times New Roman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/>
          <w:sz w:val="24"/>
          <w:szCs w:val="24"/>
        </w:rPr>
        <w:t>3.2. Дополнительные документы по ценообразованию в состав заявки Участника не включаются.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4. Требования к документации по ценообразованию на этапе заключения (исполнения) договора</w:t>
      </w:r>
    </w:p>
    <w:p>
      <w:pPr>
        <w:pStyle w:val="Normal"/>
        <w:spacing w:lineRule="auto" w:line="240" w:before="0" w:after="0"/>
        <w:jc w:val="both"/>
        <w:rPr>
          <w:b w:val="false"/>
          <w:bCs w:val="false"/>
        </w:rPr>
      </w:pPr>
      <w:r>
        <w:rPr>
          <w:rFonts w:cs="Times New Roman"/>
          <w:b w:val="false"/>
          <w:bCs w:val="false"/>
          <w:sz w:val="24"/>
          <w:szCs w:val="24"/>
        </w:rPr>
        <w:t>4.1. По результатам настоящей закупки заключается договор с предельной ценой.</w:t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  <w:t>Ведущий инженер ГКЭО и РТС</w:t>
      </w:r>
    </w:p>
    <w:p>
      <w:pPr>
        <w:pStyle w:val="ListParagraph"/>
        <w:ind w:left="0" w:hanging="0"/>
        <w:jc w:val="both"/>
        <w:rPr/>
      </w:pPr>
      <w:r>
        <w:rPr/>
        <w:t>Камчатского филиала АО «ТК РусГидро»</w:t>
        <w:tab/>
        <w:tab/>
        <w:tab/>
        <w:tab/>
        <w:tab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jc w:val="right"/>
        <w:rPr>
          <w:b/>
        </w:rPr>
      </w:pPr>
      <w:r>
        <w:rPr>
          <w:b/>
        </w:rPr>
      </w:r>
    </w:p>
    <w:p>
      <w:pPr>
        <w:pStyle w:val="ListParagraph"/>
        <w:jc w:val="right"/>
        <w:rPr>
          <w:b/>
        </w:rPr>
      </w:pPr>
      <w:r>
        <w:rPr>
          <w:b/>
        </w:rPr>
        <w:t>Приложение №1: Форма наряд-заказа</w:t>
      </w:r>
    </w:p>
    <w:p>
      <w:pPr>
        <w:pStyle w:val="ListParagraph"/>
        <w:ind w:left="0" w:hanging="0"/>
        <w:jc w:val="right"/>
        <w:rPr/>
      </w:pPr>
      <w:r>
        <w:rPr/>
        <w:t> </w:t>
      </w:r>
      <w:r>
        <w:rPr/>
        <w:t>Приложение №1</w:t>
      </w:r>
    </w:p>
    <w:p>
      <w:pPr>
        <w:pStyle w:val="ListParagraph"/>
        <w:ind w:left="7080" w:firstLine="708"/>
        <w:jc w:val="both"/>
        <w:rPr/>
      </w:pPr>
      <w:r>
        <w:rPr/>
      </w:r>
    </w:p>
    <w:p>
      <w:pPr>
        <w:pStyle w:val="Normal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(ФОРМА)</w:t>
      </w:r>
    </w:p>
    <w:tbl>
      <w:tblPr>
        <w:tblW w:w="99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63"/>
        <w:gridCol w:w="1283"/>
        <w:gridCol w:w="510"/>
        <w:gridCol w:w="1164"/>
        <w:gridCol w:w="320"/>
        <w:gridCol w:w="756"/>
        <w:gridCol w:w="988"/>
        <w:gridCol w:w="685"/>
        <w:gridCol w:w="1042"/>
      </w:tblGrid>
      <w:tr>
        <w:trPr>
          <w:trHeight w:val="300" w:hRule="atLeast"/>
        </w:trPr>
        <w:tc>
          <w:tcPr>
            <w:tcW w:w="9911" w:type="dxa"/>
            <w:gridSpan w:val="9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ЗАКАЗ-НАРЯД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ТР автомобиля_________________________________________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Calibri"/>
                <w:color w:val="000000"/>
                <w:sz w:val="10"/>
                <w:szCs w:val="10"/>
              </w:rPr>
            </w:pPr>
            <w:r>
              <w:rPr>
                <w:rFonts w:eastAsia="Calibri"/>
                <w:color w:val="000000"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Calibri"/>
                <w:color w:val="000000"/>
                <w:sz w:val="10"/>
                <w:szCs w:val="10"/>
              </w:rPr>
              <w:t>(Марка транспортного средства, государственный регистрационный знак)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</w:r>
          </w:p>
        </w:tc>
      </w:tr>
      <w:tr>
        <w:trPr>
          <w:trHeight w:val="636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ТР пробег_______________ км</w:t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Кол-во н/ч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Стоимость н/ч, руб. без НДС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 xml:space="preserve">Стоимость, 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руб. без НДС</w:t>
            </w:r>
          </w:p>
        </w:tc>
      </w:tr>
      <w:tr>
        <w:trPr>
          <w:trHeight w:val="300" w:hRule="atLeast"/>
        </w:trPr>
        <w:tc>
          <w:tcPr>
            <w:tcW w:w="99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Работы</w:t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655" w:leader="none"/>
                <w:tab w:val="left" w:pos="7797" w:leader="none"/>
              </w:tabs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655" w:leader="none"/>
                <w:tab w:val="left" w:pos="7797" w:leader="none"/>
              </w:tabs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655" w:leader="none"/>
                <w:tab w:val="left" w:pos="7797" w:leader="none"/>
              </w:tabs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81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Итого стоимость работ, без НДС:</w:t>
            </w:r>
          </w:p>
        </w:tc>
        <w:tc>
          <w:tcPr>
            <w:tcW w:w="17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99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Расходные материалы и запасные части</w:t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Марка производителя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 xml:space="preserve">Каталожный 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Цена, руб. без НДС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Стоимость, руб. без НДС</w:t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64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88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Итого стоимость расходных материалов и запасных частей, руб. без НДС: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88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Итого стоимость ТР с запасными частями, руб. без НДС: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spacing w:lineRule="auto" w:line="360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276" w:right="709" w:gutter="0" w:header="680" w:top="737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42AF863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42AF863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decimal"/>
      <w:suff w:val="space"/>
      <w:lvlText w:val="1.4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suff w:val="space"/>
      <w:lvlText w:val="2.1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767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  <w:numId w:val="3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9b23dd"/>
    <w:pPr>
      <w:keepNext w:val="true"/>
      <w:numPr>
        <w:ilvl w:val="0"/>
        <w:numId w:val="10"/>
      </w:numPr>
      <w:spacing w:before="120" w:after="60"/>
      <w:outlineLvl w:val="2"/>
    </w:pPr>
    <w:rPr>
      <w:rFonts w:eastAsia="Calibri"/>
      <w:b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eastAsia="x-none"/>
    </w:rPr>
  </w:style>
  <w:style w:type="character" w:styleId="3" w:customStyle="1">
    <w:name w:val="Заголовок 3 Знак"/>
    <w:qFormat/>
    <w:rsid w:val="009b23dd"/>
    <w:rPr>
      <w:rFonts w:eastAsia="Calibri"/>
      <w:b/>
      <w:sz w:val="24"/>
      <w:szCs w:val="24"/>
      <w:lang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6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4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c45fd"/>
    <w:rPr>
      <w:rFonts w:ascii="Tahoma" w:hAnsi="Tahoma" w:cs="Tahoma"/>
      <w:sz w:val="16"/>
      <w:szCs w:val="16"/>
    </w:rPr>
  </w:style>
  <w:style w:type="character" w:styleId="Style15" w:customStyle="1">
    <w:name w:val="Текст Знак"/>
    <w:basedOn w:val="DefaultParagraphFont"/>
    <w:link w:val="PlainText"/>
    <w:qFormat/>
    <w:rsid w:val="00bc45fd"/>
    <w:rPr>
      <w:rFonts w:ascii="Consolas" w:hAnsi="Consolas" w:eastAsia="Calibri"/>
      <w:sz w:val="21"/>
      <w:szCs w:val="21"/>
      <w:lang w:val="en-GB" w:eastAsia="en-US"/>
    </w:rPr>
  </w:style>
  <w:style w:type="character" w:styleId="32" w:customStyle="1">
    <w:name w:val="Основной текст 3 Знак"/>
    <w:basedOn w:val="DefaultParagraphFont"/>
    <w:link w:val="BodyText3"/>
    <w:qFormat/>
    <w:rsid w:val="00bc45fd"/>
    <w:rPr>
      <w:sz w:val="16"/>
      <w:szCs w:val="16"/>
    </w:rPr>
  </w:style>
  <w:style w:type="character" w:styleId="Style16" w:customStyle="1">
    <w:name w:val="Тема примечания Знак"/>
    <w:basedOn w:val="Style11"/>
    <w:link w:val="Annotationsubject"/>
    <w:qFormat/>
    <w:rsid w:val="00bc45fd"/>
    <w:rPr>
      <w:b/>
      <w:bCs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bc45fd"/>
    <w:rPr>
      <w:sz w:val="16"/>
      <w:szCs w:val="16"/>
    </w:rPr>
  </w:style>
  <w:style w:type="character" w:styleId="Style17" w:customStyle="1">
    <w:name w:val="Нижний колонтитул Знак"/>
    <w:basedOn w:val="DefaultParagraphFont"/>
    <w:qFormat/>
    <w:rsid w:val="00bc45fd"/>
    <w:rPr>
      <w:sz w:val="28"/>
      <w:szCs w:val="28"/>
    </w:rPr>
  </w:style>
  <w:style w:type="character" w:styleId="Apple-style-span" w:customStyle="1">
    <w:name w:val="apple-style-span"/>
    <w:qFormat/>
    <w:rsid w:val="00bc45fd"/>
    <w:rPr/>
  </w:style>
  <w:style w:type="character" w:styleId="Style18" w:customStyle="1">
    <w:name w:val="Заголовок Знак"/>
    <w:basedOn w:val="DefaultParagraphFont"/>
    <w:link w:val="113"/>
    <w:uiPriority w:val="10"/>
    <w:qFormat/>
    <w:rsid w:val="00bc45fd"/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character" w:styleId="13" w:customStyle="1">
    <w:name w:val="Заголовок Знак1"/>
    <w:basedOn w:val="DefaultParagraphFont"/>
    <w:uiPriority w:val="10"/>
    <w:qFormat/>
    <w:rsid w:val="00bc45fd"/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c45fd"/>
    <w:rPr>
      <w:color w:val="954F72" w:themeColor="followedHyperlink"/>
      <w:u w:val="single"/>
    </w:rPr>
  </w:style>
  <w:style w:type="character" w:styleId="Style19" w:customStyle="1">
    <w:name w:val="Ссылка указателя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link w:val="13"/>
    <w:uiPriority w:val="10"/>
    <w:qFormat/>
    <w:rsid w:val="00bc45fd"/>
    <w:pPr>
      <w:spacing w:before="0" w:after="0"/>
      <w:contextualSpacing/>
    </w:pPr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val="en-GB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22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3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4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7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6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eb3eb1"/>
    <w:pPr>
      <w:tabs>
        <w:tab w:val="clear" w:pos="708"/>
        <w:tab w:val="right" w:pos="9911" w:leader="dot"/>
      </w:tabs>
      <w:spacing w:before="120" w:after="0"/>
    </w:pPr>
    <w:rPr>
      <w:rFonts w:cs="Calibri Light (Заголовки)"/>
      <w:b/>
      <w:bCs/>
      <w:color w:val="FF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b3eb1"/>
    <w:pPr>
      <w:tabs>
        <w:tab w:val="clear" w:pos="708"/>
        <w:tab w:val="left" w:pos="1120" w:leader="none"/>
        <w:tab w:val="right" w:pos="9911" w:leader="dot"/>
      </w:tabs>
      <w:ind w:left="280" w:hanging="0"/>
    </w:pPr>
    <w:rPr>
      <w:rFonts w:cs="Calibri" w:cstheme="minorHAnsi"/>
      <w:color w:val="FF0000"/>
      <w:sz w:val="24"/>
      <w:szCs w:val="24"/>
    </w:rPr>
  </w:style>
  <w:style w:type="paragraph" w:styleId="Style27" w:customStyle="1">
    <w:name w:val="Раздел регламента"/>
    <w:basedOn w:val="Normal"/>
    <w:qFormat/>
    <w:rsid w:val="00e228fa"/>
    <w:pPr/>
    <w:rPr/>
  </w:style>
  <w:style w:type="paragraph" w:styleId="Style28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4"/>
    <w:uiPriority w:val="99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eb3eb1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iCs/>
      <w:color w:val="FF0000"/>
      <w:sz w:val="24"/>
      <w:szCs w:val="24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9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0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1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2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3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4" w:customStyle="1">
    <w:name w:val="Подподпункт"/>
    <w:basedOn w:val="Style26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5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6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7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110" w:customStyle="1">
    <w:name w:val="Обычный1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5"/>
    <w:unhideWhenUsed/>
    <w:qFormat/>
    <w:rsid w:val="00bc45fd"/>
    <w:pPr/>
    <w:rPr>
      <w:rFonts w:ascii="Consolas" w:hAnsi="Consolas" w:eastAsia="Calibri"/>
      <w:sz w:val="21"/>
      <w:szCs w:val="21"/>
      <w:lang w:val="en-GB" w:eastAsia="en-US"/>
    </w:rPr>
  </w:style>
  <w:style w:type="paragraph" w:styleId="Style38" w:customStyle="1">
    <w:name w:val="Подпункт договора"/>
    <w:basedOn w:val="Normal"/>
    <w:qFormat/>
    <w:rsid w:val="00bc45fd"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</w:rPr>
  </w:style>
  <w:style w:type="paragraph" w:styleId="Style39" w:customStyle="1">
    <w:name w:val="Пункт договора"/>
    <w:basedOn w:val="Normal"/>
    <w:qFormat/>
    <w:rsid w:val="00bc45fd"/>
    <w:pPr>
      <w:widowControl w:val="false"/>
      <w:jc w:val="both"/>
    </w:pPr>
    <w:rPr>
      <w:rFonts w:ascii="Arial" w:hAnsi="Arial"/>
      <w:sz w:val="20"/>
      <w:szCs w:val="20"/>
    </w:rPr>
  </w:style>
  <w:style w:type="paragraph" w:styleId="Style40" w:customStyle="1">
    <w:name w:val="Раздел договора"/>
    <w:basedOn w:val="Normal"/>
    <w:next w:val="Style39"/>
    <w:qFormat/>
    <w:rsid w:val="00bc45fd"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</w:rPr>
  </w:style>
  <w:style w:type="paragraph" w:styleId="ConsNormal" w:customStyle="1">
    <w:name w:val="ConsNormal"/>
    <w:qFormat/>
    <w:rsid w:val="00bc45fd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111" w:customStyle="1">
    <w:name w:val="Знак Знак Знак Знак Знак Знак Знак Знак Знак1"/>
    <w:basedOn w:val="Normal"/>
    <w:qFormat/>
    <w:rsid w:val="00bc45fd"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112" w:customStyle="1">
    <w:name w:val="Текст1"/>
    <w:basedOn w:val="Normal"/>
    <w:qFormat/>
    <w:rsid w:val="00bc45fd"/>
    <w:pPr>
      <w:spacing w:before="0" w:after="120"/>
      <w:jc w:val="both"/>
    </w:pPr>
    <w:rPr>
      <w:rFonts w:ascii="Courier New" w:hAnsi="Courier New"/>
      <w:sz w:val="22"/>
      <w:szCs w:val="20"/>
      <w:lang w:eastAsia="en-US"/>
    </w:rPr>
  </w:style>
  <w:style w:type="paragraph" w:styleId="29" w:customStyle="1">
    <w:name w:val="Обычный2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3" w:customStyle="1">
    <w:name w:val="Заголовок1"/>
    <w:basedOn w:val="Normal"/>
    <w:next w:val="Normal"/>
    <w:link w:val="Style18"/>
    <w:uiPriority w:val="10"/>
    <w:qFormat/>
    <w:rsid w:val="00bc45fd"/>
    <w:pPr>
      <w:spacing w:before="0" w:after="0"/>
      <w:contextualSpacing/>
    </w:pPr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paragraph" w:styleId="Msonormal" w:customStyle="1">
    <w:name w:val="msonormal"/>
    <w:basedOn w:val="Normal"/>
    <w:qFormat/>
    <w:rsid w:val="00bc45fd"/>
    <w:pPr>
      <w:spacing w:beforeAutospacing="1" w:afterAutospacing="1"/>
    </w:pPr>
    <w:rPr>
      <w:rFonts w:ascii="Arial" w:hAnsi="Arial" w:eastAsia="Arial Unicode MS" w:cs="Arial"/>
      <w:color w:val="000000"/>
      <w:sz w:val="16"/>
      <w:szCs w:val="16"/>
    </w:rPr>
  </w:style>
  <w:style w:type="paragraph" w:styleId="Style41" w:customStyle="1">
    <w:name w:val="[РГ] Текст"/>
    <w:basedOn w:val="Normal"/>
    <w:qFormat/>
    <w:rsid w:val="00515014"/>
    <w:pPr>
      <w:spacing w:before="120" w:after="0"/>
      <w:jc w:val="both"/>
    </w:pPr>
    <w:rPr>
      <w:rFonts w:eastAsia="Calibri" w:eastAsiaTheme="minorHAnsi"/>
      <w:color w:val="000000"/>
      <w:sz w:val="26"/>
      <w:szCs w:val="26"/>
      <w:lang w:eastAsia="en-US"/>
    </w:rPr>
  </w:style>
  <w:style w:type="paragraph" w:styleId="Style42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115" w:customStyle="1">
    <w:name w:val="Нет списка1"/>
    <w:uiPriority w:val="99"/>
    <w:semiHidden/>
    <w:unhideWhenUsed/>
    <w:qFormat/>
    <w:rsid w:val="00bc45fd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1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40EBD-5F92-4B52-8735-5A23BD33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3427</TotalTime>
  <Application>AlterOffice/3.4.0.9$Linux_X86_64 LibreOffice_project/b8daf9e823b1a5463a2f48435ddc2e8696e7d4fc</Application>
  <AppVersion>15.0000</AppVersion>
  <Pages>9</Pages>
  <Words>1372</Words>
  <Characters>9468</Characters>
  <CharactersWithSpaces>10845</CharactersWithSpaces>
  <Paragraphs>201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2023-10-26T20:51:00Z</dcterms:created>
  <dc:creator>Быстров Олег Геннадьевич</dc:creator>
  <dc:description/>
  <dc:language>ru-RU</dc:language>
  <cp:lastModifiedBy>fedorovsa@corp.gidroogk.com</cp:lastModifiedBy>
  <cp:lastPrinted>2026-08-26T14:10:40Z</cp:lastPrinted>
  <dcterms:modified xsi:type="dcterms:W3CDTF">2026-08-27T15:40:16Z</dcterms:modified>
  <cp:revision>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