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before="120" w:after="120"/>
        <w:jc w:val="center"/>
        <w:rPr>
          <w:rFonts w:eastAsia="Calibri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spacing w:before="120" w:after="120"/>
        <w:jc w:val="center"/>
        <w:rPr/>
      </w:pPr>
      <w:r>
        <w:rPr/>
      </w:r>
    </w:p>
    <w:p>
      <w:pPr>
        <w:pStyle w:val="Normal"/>
        <w:spacing w:before="120" w:after="120"/>
        <w:jc w:val="center"/>
        <w:rPr/>
      </w:pPr>
      <w:r>
        <w:rPr/>
      </w:r>
    </w:p>
    <w:p>
      <w:pPr>
        <w:pStyle w:val="Normal"/>
        <w:spacing w:before="120" w:after="120"/>
        <w:jc w:val="center"/>
        <w:rPr>
          <w:b/>
        </w:rPr>
      </w:pPr>
      <w:r>
        <w:rPr>
          <w:b/>
        </w:rPr>
        <w:t>«ОКПД2 71.12.4. Оказание услуг по поверке тензометров струнных, термокосы и датчиков давления (средств измерений) для нужд АО «ВНИИГ им. Б.Е. Веденеева»»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clear" w:pos="708"/>
          <w:tab w:val="left" w:pos="5805" w:leader="none"/>
        </w:tabs>
        <w:spacing w:lineRule="auto" w:line="276" w:before="0"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2"/>
        </w:numPr>
        <w:spacing w:before="0" w:after="120"/>
        <w:ind w:hanging="567" w:left="567"/>
        <w:contextualSpacing/>
        <w:jc w:val="center"/>
        <w:outlineLvl w:val="0"/>
        <w:rPr/>
      </w:pPr>
      <w:r>
        <w:rPr>
          <w:b/>
          <w:sz w:val="28"/>
        </w:rPr>
        <w:t>Общие сведения</w:t>
      </w:r>
    </w:p>
    <w:p>
      <w:pPr>
        <w:pStyle w:val="Normal"/>
        <w:numPr>
          <w:ilvl w:val="0"/>
          <w:numId w:val="0"/>
        </w:numPr>
        <w:spacing w:before="0" w:after="120"/>
        <w:ind w:left="567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120"/>
        <w:ind w:left="567"/>
        <w:jc w:val="center"/>
        <w:outlineLvl w:val="0"/>
        <w:rPr/>
      </w:pPr>
      <w:r>
        <w:rPr/>
      </w: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outlineLvl w:val="0"/>
        <w:rPr/>
      </w:pPr>
      <w:r>
        <w:rPr>
          <w:b/>
        </w:rPr>
        <w:t>Наименование закупаемых услуг</w:t>
      </w:r>
    </w:p>
    <w:p>
      <w:pPr>
        <w:pStyle w:val="Normal"/>
        <w:spacing w:before="0" w:after="120"/>
        <w:ind w:firstLine="567"/>
        <w:jc w:val="both"/>
        <w:rPr/>
      </w:pPr>
      <w:r>
        <w:rPr>
          <w:rFonts w:eastAsia="Calibri"/>
          <w:lang w:eastAsia="en-US"/>
        </w:rPr>
        <w:t>Поверка средств измерений для нужд АО «ВНИИГ им. Б.Е. Веденеева».</w:t>
      </w:r>
    </w:p>
    <w:p>
      <w:pPr>
        <w:pStyle w:val="Normal"/>
        <w:spacing w:before="0" w:after="120"/>
        <w:ind w:firstLine="567"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Цели и задачи. Существующее положение</w:t>
      </w:r>
    </w:p>
    <w:p>
      <w:pPr>
        <w:pStyle w:val="Normal"/>
        <w:spacing w:before="0" w:after="120"/>
        <w:ind w:firstLine="567"/>
        <w:jc w:val="both"/>
        <w:rPr/>
      </w:pPr>
      <w:r>
        <w:rPr/>
        <w:t xml:space="preserve">Целью закупки услуг является выполнение поверки средств измерений (далее - СИ) </w:t>
      </w:r>
      <w:r>
        <w:rPr>
          <w:rFonts w:eastAsia="Calibri"/>
          <w:lang w:eastAsia="en-US"/>
        </w:rPr>
        <w:t>для нужд АО «ВНИИГ им. Б.Е. Веденеева»</w:t>
      </w:r>
      <w:r>
        <w:rPr/>
        <w:t>. Согласно статье 13 Федерального закона от 26.06.2008 N 102-ФЗ (ред. от 11.06.2021) "Об обеспечении единства измерений" (с изм. и доп., вступ. в силу с 28.12.2021), средства измерений, предназначенные для применения в сфере государственного регулирования обеспечения единства измерений в процессе эксплуатации  подлежат периодической поверке.</w:t>
      </w:r>
    </w:p>
    <w:p>
      <w:pPr>
        <w:pStyle w:val="Normal"/>
        <w:spacing w:before="0" w:after="120"/>
        <w:ind w:firstLine="567"/>
        <w:jc w:val="both"/>
        <w:rPr/>
      </w:pPr>
      <w:r>
        <w:rPr/>
      </w:r>
    </w:p>
    <w:p>
      <w:pPr>
        <w:pStyle w:val="Normal"/>
        <w:spacing w:before="0" w:after="120"/>
        <w:ind w:left="567"/>
        <w:rPr/>
      </w:pPr>
      <w:r>
        <w:rPr>
          <w:b/>
        </w:rPr>
        <w:t>Таблица 1. Перечень объектов заказчика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1"/>
        <w:gridCol w:w="1844"/>
        <w:gridCol w:w="1843"/>
        <w:gridCol w:w="4677"/>
        <w:gridCol w:w="1023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rPr/>
            </w:pPr>
            <w:r>
              <w:rPr/>
              <w:t>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Расположение объекта </w:t>
            </w:r>
            <w:r>
              <w:rPr/>
              <w:br w:type="textWrapping" w:clear="all"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АО «ВНИИГ им. Б.Е. Веденеева»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195220, г. Санкт-Петербург, ул. Гжатская, д. 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СИ, подлежащие поверке, согласно Перечню СИ, указанных в Приложении 1 к настоящим ТТ.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spacing w:before="0" w:after="12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hanging="567" w:left="567"/>
        <w:jc w:val="center"/>
        <w:rPr/>
      </w:pPr>
      <w:r>
        <w:rPr>
          <w:b/>
          <w:iCs/>
          <w:sz w:val="28"/>
        </w:rPr>
        <w:t>Требования к закупаемым услугам</w:t>
      </w:r>
    </w:p>
    <w:p>
      <w:pPr>
        <w:pStyle w:val="ListParagraph"/>
        <w:numPr>
          <w:ilvl w:val="1"/>
          <w:numId w:val="2"/>
        </w:numPr>
        <w:ind w:hanging="567" w:left="567"/>
        <w:rPr/>
      </w:pPr>
      <w:r>
        <w:rPr>
          <w:b/>
        </w:rPr>
        <w:t>Требования к объемам и срокам оказания услуг</w:t>
      </w:r>
    </w:p>
    <w:p>
      <w:pPr>
        <w:pStyle w:val="ListParagraph"/>
        <w:numPr>
          <w:ilvl w:val="2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Требования к перечню и объему услуг</w:t>
      </w:r>
    </w:p>
    <w:p>
      <w:pPr>
        <w:pStyle w:val="Normal"/>
        <w:spacing w:before="0" w:after="120"/>
        <w:ind w:left="567"/>
        <w:rPr>
          <w:b/>
        </w:rPr>
      </w:pPr>
      <w:r>
        <w:rPr>
          <w:b/>
        </w:rPr>
        <w:t>Таблица 2. Перечень и объем оказываемых услуг</w:t>
      </w:r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87"/>
        <w:gridCol w:w="2124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услуг / этапа услуг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lang w:eastAsia="en-US"/>
              </w:rPr>
              <w:t>Поверка средств измерений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 ед.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spacing w:before="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2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 xml:space="preserve">Требования к срокам оказания услуг </w:t>
      </w:r>
    </w:p>
    <w:p>
      <w:pPr>
        <w:pStyle w:val="Normal"/>
        <w:spacing w:before="0" w:after="120"/>
        <w:ind w:left="567"/>
        <w:rPr>
          <w:b/>
        </w:rPr>
      </w:pPr>
      <w:r>
        <w:rPr>
          <w:b/>
        </w:rPr>
        <w:t xml:space="preserve">Таблица 3. </w:t>
      </w:r>
      <w:bookmarkStart w:id="0" w:name="_Hlk50465284"/>
      <w:r>
        <w:rPr>
          <w:b/>
        </w:rPr>
        <w:t xml:space="preserve">Требования к срокам </w:t>
      </w:r>
      <w:bookmarkEnd w:id="0"/>
      <w:r>
        <w:rPr>
          <w:b/>
        </w:rPr>
        <w:t>оказания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2268"/>
        <w:gridCol w:w="3120"/>
        <w:gridCol w:w="3713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услуг/ этапа услуг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оказания услуг/ этапа услуг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lang w:eastAsia="en-US"/>
              </w:rPr>
              <w:t>Поверка средств измерений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С даты, следующей за датой подписания договора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через 30 дней с момента начала оказания Услуг, или достижения предельной суммы договора, указанной в 4.1 Договора в зависимости от того какой срок наступит ранее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0" w:gutter="0" w:header="0" w:top="850" w:footer="709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Требования к качеству услуг</w:t>
      </w:r>
    </w:p>
    <w:p>
      <w:pPr>
        <w:pStyle w:val="Normal"/>
        <w:spacing w:before="0" w:after="120"/>
        <w:ind w:left="567"/>
        <w:rPr/>
      </w:pPr>
      <w:r>
        <w:rPr>
          <w:b/>
        </w:rPr>
        <w:t xml:space="preserve">Таблица 4. Требования к качеству услуг </w:t>
      </w:r>
    </w:p>
    <w:p>
      <w:pPr>
        <w:pStyle w:val="Normal"/>
        <w:spacing w:before="0" w:after="120"/>
        <w:ind w:left="567"/>
        <w:rPr/>
      </w:pPr>
      <w:r>
        <w:rPr>
          <w:b/>
          <w:bCs/>
        </w:rPr>
        <w:t xml:space="preserve">Наименование услуг/этапа услуг (позиция № 1Таблицы 2): </w:t>
      </w:r>
      <w:r>
        <w:rPr>
          <w:rFonts w:eastAsia="Calibri"/>
          <w:lang w:eastAsia="en-US"/>
        </w:rPr>
        <w:t>Поверка средств измерений для нужд АО «ВНИИГ им. Б.Е. Веденеева»</w:t>
      </w:r>
    </w:p>
    <w:tbl>
      <w:tblPr>
        <w:tblW w:w="149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4112"/>
        <w:gridCol w:w="3542"/>
        <w:gridCol w:w="2126"/>
        <w:gridCol w:w="2693"/>
        <w:gridCol w:w="1843"/>
      </w:tblGrid>
      <w:tr>
        <w:trPr/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№ </w:t>
            </w: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Требование заказчика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b/>
                <w:bCs/>
              </w:rPr>
            </w:pPr>
            <w:r>
              <w:rPr>
                <w:b/>
              </w:rPr>
              <w:t>Требования к оказанию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ind w:lef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Общие требования к оказанию услуг.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>
          <w:trHeight w:val="787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Вся документация разрабатывается и оформляется в соответствии с действующими нормативно-техническими документами в области поверки средств измерений, в том числе: Федеральный закон от 26.06.2008 N 102-ФЗ (ред. от 11.06.2021) "Об обеспечении единства измерений" (с изм. и доп., вступ. в силу с 28.12.2021); Приказ Минпромторга России от 31.07.2020 №2510 «Об утверждении порядка проведения поверки средств измерений, требования к знаку поверки и содержанию свидетельства о поверке»; ГОСТ Р 8.568-2017 «Государственная система обеспечения единства измерений. Аттестация испытательного оборудования. Основные положения»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1.1.2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Участник выполняет работы по поверке (калибровке) СИ и аттестации ИО по заявкам, полученным от Заказчика.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1.1.4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>
                <w:highlight w:val="white"/>
              </w:rPr>
            </w:pPr>
            <w:r>
              <w:rPr>
                <w:highlight w:val="white"/>
              </w:rPr>
              <w:t>Перечень СИ и ИО Заказчика указаны в Приложении №1 к настоящим Техническим требованиям.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highlight w:val="white"/>
              </w:rPr>
            </w:pPr>
            <w:r>
              <w:rPr>
                <w:iCs/>
                <w:sz w:val="22"/>
                <w:szCs w:val="22"/>
                <w:highlight w:val="white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способам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Выполнение работ по поверке СИ по заявкам, полученным от Заказчика осуществляется Исполнителем в срок не более 20 (двадцати) рабочих дней с момента доставки СИ в место оказания Услуг.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ответственности и гарантиям исполнителя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Исполнитель обязан передавать сведения о результатах поверки  в Федеральный информационный фонд по обеспечению единства измерений (ФИФОЕИ)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По результатам оказания Услуг предоставляется:</w:t>
            </w:r>
          </w:p>
          <w:p>
            <w:pPr>
              <w:pStyle w:val="Normal"/>
              <w:rPr/>
            </w:pPr>
            <w:r>
              <w:rPr/>
              <w:t xml:space="preserve">«Свидетельство о поверке» или «Извещение о непригодности к применению» на бумажных носителях на каждое СИ, оформленные в соответствии с «Порядком проведения поверки средств измерений, требованиями к знаку поверки и содержанию свидетельства о поверке», утвержденными Приказом Министерства промышленности и торговли Российской Федерации № 2510 от 31.07.2020 или  «Сертификат о калибровке» с протоколом калибровки на каждое СИ, оформленный в соответствии с ГОСТ </w:t>
            </w:r>
            <w:r>
              <w:rPr>
                <w:lang w:val="en-US"/>
              </w:rPr>
              <w:t>ISO</w:t>
            </w:r>
            <w:r>
              <w:rPr/>
              <w:t>/</w:t>
            </w:r>
            <w:r>
              <w:rPr>
                <w:lang w:val="en-US"/>
              </w:rPr>
              <w:t>IEC</w:t>
            </w:r>
            <w:r>
              <w:rPr/>
              <w:t xml:space="preserve"> 17025-2019 «Общие требования к компетентности испытательных и калибровочных лабораторий».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iCs/>
              </w:rPr>
            </w:pPr>
            <w:r>
              <w:rPr>
                <w:iCs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исполнителю  и его обязательствам, влияющим на исполнение договора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-//-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Услуги должны оказываться лицом,  аккредитованным в установленном порядке согласно требованиям Федерального  закона "Об аккредитации в национальной системе аккредитации" от 28.12.2013 N 412-ФЗ на право проведения поверки  средств измерений,  имеющим действующий Аттестат аккредитации в области обеспечения единства измерений (на право поверки средств измерений или на право поверки и калибровки средств измерений) с соответствующей областью аккредитации.</w:t>
            </w:r>
          </w:p>
          <w:p>
            <w:pPr>
              <w:pStyle w:val="Normal"/>
              <w:rPr/>
            </w:pPr>
            <w:r>
              <w:rPr/>
              <w:t xml:space="preserve">В случае, если Исполнитель аккредитован только на право поверки СИ, он также обязан иметь документ, подтверждающий его компетентность в части выполнения калибровочных работ и подтверждающий его соответствие требованиям ГОСТ </w:t>
            </w:r>
            <w:r>
              <w:rPr>
                <w:lang w:val="en-US"/>
              </w:rPr>
              <w:t>ISO</w:t>
            </w:r>
            <w:r>
              <w:rPr/>
              <w:t>/</w:t>
            </w:r>
            <w:r>
              <w:rPr>
                <w:lang w:val="en-US"/>
              </w:rPr>
              <w:t>IEC</w:t>
            </w:r>
            <w:r>
              <w:rPr/>
              <w:t xml:space="preserve"> 17025-2019 «Общие требования к компетентности испытательных и калибровочных лабораторий»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Аттестата аккредитации с приложениями</w:t>
            </w:r>
          </w:p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копия документа, подтверждающего компетентность Исполнителя в части выполнения калибровочных работ и подтверждающий его соответствие требованиям ГОСТ ISO/IEC 17025-2019 «Общие требования к компетентности испытательных и калибровочных лабораторий»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Вывоз СИ и ИО и  доставка Заказчику поверенных/откалиброванных СИ осуществляется силами и средствами Исполнителя по адресу: 195220, Санкт-Петербург, ул. Гжатская, д. 21, лите</w:t>
            </w:r>
            <w:bookmarkStart w:id="1" w:name="_GoBack"/>
            <w:bookmarkEnd w:id="1"/>
            <w:r>
              <w:rPr/>
              <w:t>ра 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850" w:right="850" w:gutter="0" w:header="0" w:top="1701" w:footer="709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  <w:sz w:val="28"/>
        </w:rPr>
        <w:t>Требования к документации по ценообразованию на этапе закупки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3"/>
        </w:numPr>
        <w:jc w:val="both"/>
        <w:rPr>
          <w:bCs/>
          <w:iCs/>
        </w:rPr>
      </w:pPr>
      <w:r>
        <w:rPr>
          <w:bCs/>
          <w:iCs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" w:name="_Hlk88325985"/>
      <w:r>
        <w:rPr>
          <w:bCs/>
          <w:iCs/>
        </w:rPr>
        <w:t>(с учетом прилагаемой к ней инструкции по заполнению)</w:t>
      </w:r>
      <w:bookmarkEnd w:id="2"/>
      <w:r>
        <w:rPr>
          <w:bCs/>
          <w:iCs/>
        </w:rPr>
        <w:t>, приведенной в Документации о закупке.</w:t>
      </w:r>
      <w:r>
        <w:rPr/>
        <w:t xml:space="preserve"> </w:t>
      </w:r>
      <w:r>
        <w:rPr>
          <w:bCs/>
          <w:iCs/>
        </w:rPr>
        <w:t>В стоимость оказания услуг должны быть включены все затраты и расходные материалы, необходимые для оказания услуг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>
      <w:pPr>
        <w:pStyle w:val="ListParagraph"/>
        <w:numPr>
          <w:ilvl w:val="1"/>
          <w:numId w:val="3"/>
        </w:numPr>
        <w:rPr>
          <w:bCs/>
          <w:iCs/>
        </w:rPr>
      </w:pPr>
      <w:r>
        <w:rPr>
          <w:bCs/>
          <w:iCs/>
        </w:rPr>
        <w:t>Дополнительные документы по ценообразованию в состав заявки не включаются.</w:t>
      </w:r>
    </w:p>
    <w:p>
      <w:pPr>
        <w:pStyle w:val="Normal"/>
        <w:ind w:left="720"/>
        <w:jc w:val="both"/>
        <w:rPr>
          <w:bCs/>
          <w:iCs/>
        </w:rPr>
      </w:pPr>
      <w:r>
        <w:rPr>
          <w:bCs/>
          <w:iCs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ind w:left="36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  <w:bCs/>
          <w:sz w:val="28"/>
          <w:szCs w:val="28"/>
        </w:rPr>
        <w:t>Приложения</w:t>
      </w:r>
    </w:p>
    <w:p>
      <w:pPr>
        <w:pStyle w:val="ListParagraph"/>
        <w:ind w:left="360"/>
        <w:rPr>
          <w:b/>
        </w:rPr>
      </w:pPr>
      <w:r>
        <w:rPr>
          <w:b/>
        </w:rPr>
      </w:r>
    </w:p>
    <w:p>
      <w:pPr>
        <w:pStyle w:val="ListParagraph"/>
        <w:spacing w:before="0" w:after="120"/>
        <w:ind w:left="567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1"/>
          <w:numId w:val="2"/>
        </w:numPr>
        <w:spacing w:before="0" w:after="120"/>
        <w:contextualSpacing/>
        <w:jc w:val="both"/>
        <w:rPr/>
      </w:pPr>
      <w:r>
        <w:rPr/>
        <w:t>Приложение №1 Перечень средств измерений, предоставляемых в поверку для нужд АО «ВНИИГ им. Б.Е.Веденеева».</w:t>
      </w:r>
    </w:p>
    <w:p>
      <w:pPr>
        <w:pStyle w:val="Normal"/>
        <w:spacing w:lineRule="atLeast" w:line="283" w:before="0" w:after="0"/>
        <w:contextualSpacing/>
        <w:rPr>
          <w:rFonts w:eastAsia="Calibri"/>
        </w:rPr>
      </w:pPr>
      <w:r>
        <w:rPr>
          <w:rFonts w:eastAsia="Calibri"/>
        </w:rPr>
      </w:r>
    </w:p>
    <w:sectPr>
      <w:footerReference w:type="default" r:id="rId5"/>
      <w:footerReference w:type="first" r:id="rId6"/>
      <w:type w:val="nextPage"/>
      <w:pgSz w:w="11906" w:h="16838"/>
      <w:pgMar w:left="850" w:right="850" w:gutter="0" w:header="0" w:top="850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libri Light" w:hAnsi="Calibri Light" w:eastAsia="Arial" w:cs="Arial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Annotation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Style2" w:customStyle="1">
    <w:name w:val="Текст примечания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1" w:customStyle="1">
    <w:name w:val="Заголовок №1_"/>
    <w:qFormat/>
    <w:rPr>
      <w:b/>
      <w:bCs/>
      <w:sz w:val="28"/>
      <w:szCs w:val="28"/>
      <w:shd w:fill="FFFFFF" w:val="clear"/>
    </w:rPr>
  </w:style>
  <w:style w:type="character" w:styleId="2" w:customStyle="1">
    <w:name w:val="Заголовок №2_"/>
    <w:qFormat/>
    <w:rPr>
      <w:b/>
      <w:bCs/>
      <w:sz w:val="23"/>
      <w:szCs w:val="23"/>
      <w:shd w:fill="FFFFFF" w:val="clear"/>
    </w:rPr>
  </w:style>
  <w:style w:type="character" w:styleId="Style4" w:customStyle="1">
    <w:name w:val="Основной текст Знак"/>
    <w:qFormat/>
    <w:rPr>
      <w:sz w:val="23"/>
      <w:szCs w:val="23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ascii="Cambria" w:hAnsi="Cambria" w:eastAsia="Times New Roman" w:cs="Times New Roman"/>
      <w:sz w:val="20"/>
      <w:szCs w:val="20"/>
    </w:rPr>
  </w:style>
  <w:style w:type="character" w:styleId="12" w:customStyle="1">
    <w:name w:val="Заголовок 1 ДИТ Знак"/>
    <w:qFormat/>
    <w:rPr>
      <w:rFonts w:ascii="Times New Roman" w:hAnsi="Times New Roman" w:eastAsia="Times New Roman" w:cs="Times New Roman"/>
      <w:b/>
      <w:sz w:val="28"/>
      <w:szCs w:val="28"/>
    </w:rPr>
  </w:style>
  <w:style w:type="character" w:styleId="21" w:customStyle="1">
    <w:name w:val="Заголовок 2 ДИТ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3" w:customStyle="1">
    <w:name w:val="Заголовок 3 ДИ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Стиль вставки"/>
    <w:uiPriority w:val="1"/>
    <w:qFormat/>
    <w:rPr>
      <w:rFonts w:ascii="Tahoma" w:hAnsi="Tahoma"/>
      <w:color w:val="000000"/>
      <w:sz w:val="20"/>
    </w:rPr>
  </w:style>
  <w:style w:type="character" w:styleId="22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b/>
      <w:bCs/>
      <w:color w:val="5B9BD5" w:themeColor="accent1"/>
      <w:sz w:val="26"/>
      <w:szCs w:val="26"/>
      <w:lang w:eastAsia="ru-RU"/>
    </w:rPr>
  </w:style>
  <w:style w:type="character" w:styleId="23" w:customStyle="1">
    <w:name w:val="Основной текст (2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Blk" w:customStyle="1">
    <w:name w:val="blk"/>
    <w:qFormat/>
    <w:rPr/>
  </w:style>
  <w:style w:type="character" w:styleId="Style6" w:customStyle="1">
    <w:name w:val="Тема примечания Знак"/>
    <w:basedOn w:val="Style2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7" w:customStyle="1">
    <w:name w:val="комментарий"/>
    <w:qFormat/>
    <w:rPr>
      <w:b/>
      <w:i/>
      <w:shd w:fill="FFFF99" w:val="clear"/>
    </w:rPr>
  </w:style>
  <w:style w:type="paragraph" w:styleId="Style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hd w:val="clear" w:color="auto" w:fill="FFFFFF"/>
      <w:spacing w:lineRule="exact" w:line="322" w:before="180" w:after="180"/>
      <w:ind w:hanging="1020"/>
      <w:jc w:val="both"/>
    </w:pPr>
    <w:rPr>
      <w:rFonts w:ascii="Calibri" w:hAnsi="Calibri" w:eastAsia="Calibri" w:cs="Arial" w:asciiTheme="minorHAnsi" w:cstheme="minorBidi" w:eastAsiaTheme="minorHAnsi" w:hAnsiTheme="minorHAnsi"/>
      <w:sz w:val="23"/>
      <w:szCs w:val="23"/>
      <w:lang w:eastAsia="en-US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Indexheading1">
    <w:name w:val="index heading1"/>
    <w:basedOn w:val="Style8"/>
    <w:qFormat/>
    <w:pPr/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Annotationtext">
    <w:name w:val="annotation text"/>
    <w:basedOn w:val="Normal"/>
    <w:uiPriority w:val="99"/>
    <w:unhideWhenUsed/>
    <w:qFormat/>
    <w:pPr/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13" w:customStyle="1">
    <w:name w:val="Заголовок №1"/>
    <w:basedOn w:val="Normal"/>
    <w:qFormat/>
    <w:pPr>
      <w:shd w:val="clear" w:color="auto" w:fill="FFFFFF"/>
      <w:spacing w:lineRule="atLeast" w:line="240" w:before="0" w:after="1020"/>
      <w:ind w:hanging="520"/>
      <w:jc w:val="center"/>
      <w:outlineLvl w:val="0"/>
    </w:pPr>
    <w:rPr>
      <w:rFonts w:ascii="Calibri" w:hAnsi="Calibri" w:eastAsia="Calibri" w:cs="Arial" w:asciiTheme="minorHAnsi" w:cstheme="minorBidi" w:eastAsiaTheme="minorHAnsi" w:hAnsiTheme="minorHAnsi"/>
      <w:b/>
      <w:bCs/>
      <w:sz w:val="28"/>
      <w:szCs w:val="28"/>
      <w:lang w:eastAsia="en-US"/>
    </w:rPr>
  </w:style>
  <w:style w:type="paragraph" w:styleId="24" w:customStyle="1">
    <w:name w:val="Заголовок №2"/>
    <w:basedOn w:val="Normal"/>
    <w:qFormat/>
    <w:pPr>
      <w:shd w:val="clear" w:color="auto" w:fill="FFFFFF"/>
      <w:spacing w:lineRule="atLeast" w:line="240" w:before="360" w:after="180"/>
      <w:ind w:hanging="1300"/>
      <w:jc w:val="both"/>
      <w:outlineLvl w:val="1"/>
    </w:pPr>
    <w:rPr>
      <w:rFonts w:ascii="Calibri" w:hAnsi="Calibri" w:eastAsia="Calibri" w:cs="Arial" w:asciiTheme="minorHAnsi" w:cstheme="minorBidi" w:eastAsiaTheme="minorHAnsi" w:hAnsiTheme="minorHAnsi"/>
      <w:b/>
      <w:bCs/>
      <w:sz w:val="23"/>
      <w:szCs w:val="23"/>
      <w:lang w:eastAsia="en-U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Default" w:customStyle="1">
    <w:name w:val="Default"/>
    <w:basedOn w:val="Normal"/>
    <w:qFormat/>
    <w:pPr/>
    <w:rPr>
      <w:rFonts w:eastAsia="Calibri" w:eastAsiaTheme="minorHAnsi"/>
      <w:color w:val="000000"/>
    </w:rPr>
  </w:style>
  <w:style w:type="paragraph" w:styleId="14" w:customStyle="1">
    <w:name w:val="Заголовок 1 ДИТ"/>
    <w:basedOn w:val="Normal"/>
    <w:qFormat/>
    <w:pPr>
      <w:numPr>
        <w:ilvl w:val="0"/>
        <w:numId w:val="1"/>
      </w:numPr>
      <w:jc w:val="center"/>
    </w:pPr>
    <w:rPr>
      <w:b/>
      <w:sz w:val="28"/>
      <w:szCs w:val="28"/>
    </w:rPr>
  </w:style>
  <w:style w:type="paragraph" w:styleId="25" w:customStyle="1">
    <w:name w:val="Заголовок 2 ДИТ"/>
    <w:basedOn w:val="Normal"/>
    <w:qFormat/>
    <w:pPr>
      <w:numPr>
        <w:ilvl w:val="1"/>
        <w:numId w:val="1"/>
      </w:numPr>
    </w:pPr>
    <w:rPr>
      <w:b/>
    </w:rPr>
  </w:style>
  <w:style w:type="paragraph" w:styleId="31" w:customStyle="1">
    <w:name w:val="Заголовок 3 ДИТ"/>
    <w:basedOn w:val="25"/>
    <w:qFormat/>
    <w:pPr/>
    <w:rPr>
      <w:b w:val="false"/>
    </w:rPr>
  </w:style>
  <w:style w:type="paragraph" w:styleId="26" w:customStyle="1">
    <w:name w:val="Основной текст (2)"/>
    <w:basedOn w:val="Normal"/>
    <w:qFormat/>
    <w:pPr>
      <w:widowControl w:val="false"/>
      <w:shd w:val="clear" w:color="auto" w:fill="FFFFFF"/>
      <w:spacing w:lineRule="exact" w:line="274" w:before="300" w:after="0"/>
      <w:jc w:val="both"/>
    </w:pPr>
    <w:rPr>
      <w:sz w:val="22"/>
      <w:szCs w:val="22"/>
      <w:lang w:eastAsia="en-US"/>
    </w:rPr>
  </w:style>
  <w:style w:type="paragraph" w:styleId="Msolistparagraph" w:customStyle="1">
    <w:name w:val="msolistparagraph"/>
    <w:basedOn w:val="Normal"/>
    <w:qFormat/>
    <w:pPr>
      <w:spacing w:before="0" w:after="0"/>
      <w:ind w:left="720"/>
      <w:contextualSpacing/>
    </w:pPr>
    <w:rPr/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b/>
      <w:bCs/>
    </w:rPr>
  </w:style>
  <w:style w:type="paragraph" w:styleId="Style11" w:customStyle="1">
    <w:name w:val="Таблица шапка"/>
    <w:qFormat/>
    <w:pPr>
      <w:keepNext w:val="true"/>
      <w:widowControl/>
      <w:bidi w:val="0"/>
      <w:spacing w:before="40" w:after="40"/>
      <w:ind w:left="57" w:right="5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6"/>
      <w:lang w:eastAsia="ru-RU" w:val="ru-RU" w:bidi="ar-SA"/>
    </w:rPr>
  </w:style>
  <w:style w:type="paragraph" w:styleId="NormalWeb">
    <w:name w:val="Normal (Web)"/>
    <w:basedOn w:val="TOC3"/>
    <w:uiPriority w:val="99"/>
    <w:unhideWhenUsed/>
    <w:qFormat/>
    <w:pPr>
      <w:spacing w:beforeAutospacing="1" w:afterAutospacing="1"/>
      <w:ind w:left="0"/>
    </w:pPr>
    <w:rPr/>
  </w:style>
  <w:style w:type="paragraph" w:styleId="Style12" w:customStyle="1">
    <w:name w:val="Таблица"/>
    <w:basedOn w:val="Caption1"/>
    <w:qFormat/>
    <w:pPr>
      <w:keepNext w:val="true"/>
      <w:spacing w:lineRule="auto" w:line="240" w:before="60" w:after="60"/>
      <w:jc w:val="center"/>
    </w:pPr>
    <w:rPr>
      <w:rFonts w:eastAsia="Calibri"/>
      <w:bCs w:val="false"/>
      <w:color w:val="auto"/>
      <w:sz w:val="24"/>
      <w:szCs w:val="24"/>
    </w:rPr>
  </w:style>
  <w:style w:type="paragraph" w:styleId="15" w:customStyle="1">
    <w:name w:val="Абзац списка1"/>
    <w:uiPriority w:val="34"/>
    <w:qFormat/>
    <w:pPr>
      <w:widowControl/>
      <w:bidi w:val="0"/>
      <w:spacing w:before="0" w:after="0"/>
      <w:ind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AlterOffice/2026.2.0.0$Linux_X86_64 LibreOffice_project/bc4ef1adf80b36c7a6365f8ed6cbf29021361edd</Application>
  <AppVersion>15.0000</AppVersion>
  <Pages>6</Pages>
  <Words>906</Words>
  <Characters>5859</Characters>
  <CharactersWithSpaces>6589</CharactersWithSpaces>
  <Paragraphs>137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2026-06-25T09:55:00Z</dcterms:created>
  <dc:creator>Горбачев Андрей</dc:creator>
  <dc:description/>
  <dc:language>ru-RU</dc:language>
  <cp:lastModifiedBy/>
  <dcterms:modified xsi:type="dcterms:W3CDTF">2026-08-27T09:01:41Z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