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9.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6.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footer8.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oter13.xml" ContentType="application/vnd.openxmlformats-officedocument.wordprocessingml.footer+xml"/>
  <Override PartName="/word/footer18.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footer17.xml" ContentType="application/vnd.openxmlformats-officedocument.wordprocessingml.footer+xml"/>
  <Override PartName="/word/footer16.xml" ContentType="application/vnd.openxmlformats-officedocument.wordprocessingml.footer+xml"/>
  <Override PartName="/word/footer15.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footer14.xml" ContentType="application/vnd.openxmlformats-officedocument.wordprocessingml.footer+xml"/>
  <Override PartName="/word/theme/theme1.xml" ContentType="application/vnd.openxmlformats-officedocument.theme+xml"/>
  <Override PartName="/word/document.xml" ContentType="application/vnd.openxmlformats-officedocument.wordprocessingml.document.main+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Verdana" w:hAnsi="Verdana" w:cs="Verdana"/>
          <w:b/>
          <w:sz w:val="22"/>
          <w:szCs w:val="22"/>
          <w:shd w:fill="FFFFFF" w:val="clear"/>
        </w:rPr>
      </w:pPr>
      <w:r>
        <w:rPr>
          <w:rFonts w:cs="Verdana" w:ascii="Verdana" w:hAnsi="Verdana"/>
          <w:b/>
          <w:sz w:val="22"/>
          <w:szCs w:val="22"/>
          <w:shd w:fill="FFFFFF" w:val="clear"/>
        </w:rPr>
        <w:t>Техническое задание</w:t>
      </w:r>
    </w:p>
    <w:p>
      <w:pPr>
        <w:pStyle w:val="34"/>
        <w:spacing w:lineRule="auto" w:line="216" w:before="0" w:after="120"/>
        <w:ind w:hanging="0" w:start="0" w:end="0"/>
        <w:rPr>
          <w:rFonts w:ascii="Verdana" w:hAnsi="Verdana" w:cs="Verdana"/>
          <w:sz w:val="22"/>
          <w:szCs w:val="22"/>
        </w:rPr>
      </w:pPr>
      <w:r>
        <w:rPr>
          <w:rFonts w:cs="Verdana" w:ascii="Verdana" w:hAnsi="Verdana"/>
          <w:sz w:val="22"/>
          <w:szCs w:val="22"/>
        </w:rPr>
      </w:r>
    </w:p>
    <w:p>
      <w:pPr>
        <w:pStyle w:val="Normal11"/>
        <w:shd w:val="clear" w:color="auto" w:fill="FFFFFF"/>
        <w:jc w:val="center"/>
        <w:rPr>
          <w:rFonts w:ascii="Verdana" w:hAnsi="Verdana" w:cs="Verdana"/>
          <w:b/>
          <w:sz w:val="22"/>
          <w:szCs w:val="22"/>
        </w:rPr>
      </w:pPr>
      <w:r>
        <w:rPr>
          <w:rFonts w:eastAsia="Verdana" w:cs="Verdana" w:ascii="Verdana" w:hAnsi="Verdana"/>
          <w:b/>
          <w:sz w:val="22"/>
          <w:szCs w:val="22"/>
        </w:rPr>
        <w:t>Общие сведения по оборудованию</w:t>
      </w:r>
    </w:p>
    <w:p>
      <w:pPr>
        <w:pStyle w:val="Normal11"/>
        <w:shd w:val="clear" w:color="auto" w:fill="FFFFFF"/>
        <w:ind w:start="480"/>
        <w:rPr>
          <w:rFonts w:ascii="Verdana" w:hAnsi="Verdana" w:cs="Verdana"/>
          <w:b/>
          <w:sz w:val="22"/>
          <w:szCs w:val="22"/>
        </w:rPr>
      </w:pPr>
      <w:r>
        <w:rPr>
          <w:rFonts w:cs="Verdana" w:ascii="Verdana" w:hAnsi="Verdana"/>
          <w:b/>
          <w:sz w:val="22"/>
          <w:szCs w:val="22"/>
        </w:rPr>
      </w:r>
    </w:p>
    <w:p>
      <w:pPr>
        <w:pStyle w:val="Normal11"/>
        <w:shd w:val="clear" w:color="auto" w:fill="FFFFFF"/>
        <w:ind w:start="480"/>
        <w:jc w:val="both"/>
        <w:rPr>
          <w:rFonts w:ascii="Verdana" w:hAnsi="Verdana" w:cs="Verdana"/>
          <w:sz w:val="22"/>
          <w:szCs w:val="22"/>
        </w:rPr>
      </w:pPr>
      <w:r>
        <w:rPr>
          <w:rFonts w:eastAsia="Verdana" w:cs="Verdana" w:ascii="Verdana" w:hAnsi="Verdana"/>
          <w:sz w:val="22"/>
          <w:szCs w:val="22"/>
        </w:rPr>
        <w:t xml:space="preserve">1.1  Объект и цель разработки: </w:t>
      </w:r>
    </w:p>
    <w:p>
      <w:pPr>
        <w:pStyle w:val="Normal11"/>
        <w:shd w:val="clear" w:color="auto" w:fill="FFFFFF"/>
        <w:ind w:start="480"/>
        <w:jc w:val="both"/>
        <w:rPr>
          <w:rFonts w:ascii="Verdana" w:hAnsi="Verdana" w:cs="Verdana"/>
          <w:sz w:val="22"/>
          <w:szCs w:val="22"/>
        </w:rPr>
      </w:pPr>
      <w:r>
        <w:rPr>
          <w:rFonts w:eastAsia="Verdana" w:cs="Verdana" w:ascii="Verdana" w:hAnsi="Verdana"/>
          <w:sz w:val="22"/>
          <w:szCs w:val="22"/>
        </w:rPr>
        <w:t xml:space="preserve">1.1.1 Полное наименование оборудования: </w:t>
      </w:r>
    </w:p>
    <w:p>
      <w:pPr>
        <w:pStyle w:val="Normal"/>
        <w:ind w:hanging="55" w:start="480"/>
        <w:rPr>
          <w:rFonts w:ascii="Verdana" w:hAnsi="Verdana" w:cs="Verdana"/>
          <w:sz w:val="22"/>
          <w:szCs w:val="22"/>
        </w:rPr>
      </w:pPr>
      <w:r>
        <w:rPr>
          <w:rFonts w:eastAsia="Verdana" w:cs="Verdana" w:ascii="Verdana" w:hAnsi="Verdana"/>
          <w:color w:val="000000"/>
          <w:sz w:val="22"/>
          <w:szCs w:val="22"/>
          <w:lang w:bidi="ru-RU"/>
        </w:rPr>
        <w:t>Осветительные установки систем освещения аглоцеха, копрового цеха, ЦПАШ, ЭСПЦ, УПП, ЦЖТ.</w:t>
      </w:r>
    </w:p>
    <w:p>
      <w:pPr>
        <w:pStyle w:val="Normal11"/>
        <w:shd w:val="clear" w:color="auto" w:fill="FFFFFF"/>
        <w:tabs>
          <w:tab w:val="clear" w:pos="369"/>
          <w:tab w:val="left" w:pos="1276" w:leader="none"/>
        </w:tabs>
        <w:ind w:start="480"/>
        <w:jc w:val="both"/>
        <w:rPr>
          <w:rFonts w:ascii="Verdana" w:hAnsi="Verdana" w:cs="Verdana"/>
          <w:sz w:val="22"/>
          <w:szCs w:val="22"/>
        </w:rPr>
      </w:pPr>
      <w:r>
        <w:rPr>
          <w:rFonts w:eastAsia="Verdana" w:cs="Verdana" w:ascii="Verdana" w:hAnsi="Verdana"/>
          <w:sz w:val="22"/>
          <w:szCs w:val="22"/>
        </w:rPr>
        <w:t>1.1.2 Цель проекта:</w:t>
      </w:r>
    </w:p>
    <w:p>
      <w:pPr>
        <w:pStyle w:val="Normal"/>
        <w:widowControl w:val="false"/>
        <w:tabs>
          <w:tab w:val="clear" w:pos="369"/>
          <w:tab w:val="left" w:pos="2125" w:leader="none"/>
        </w:tabs>
        <w:spacing w:lineRule="exact" w:line="266"/>
        <w:ind w:hanging="55" w:start="480"/>
        <w:jc w:val="both"/>
        <w:rPr>
          <w:rFonts w:ascii="Verdana" w:hAnsi="Verdana" w:cs="Verdana"/>
          <w:sz w:val="22"/>
          <w:szCs w:val="22"/>
        </w:rPr>
      </w:pPr>
      <w:r>
        <w:rPr>
          <w:rFonts w:eastAsia="Verdana" w:cs="Verdana" w:ascii="Verdana" w:hAnsi="Verdana"/>
          <w:color w:val="000000"/>
          <w:sz w:val="22"/>
          <w:szCs w:val="22"/>
          <w:lang w:bidi="ru-RU"/>
        </w:rPr>
        <w:t xml:space="preserve">Выполнение работ по модернизации системы освещения в рамках энергосберегающих мероприятий с целью снижения потребления электрической энергии осветительными установками аглоцеха, копрового цеха, ЦПАШ, ЦЖТ, ЭСПЦ, УПП; обеспечения выполнения норм и правил охраны труда в части соответствия нормативам освещенности, установленных сводом правил СП 52.13330.2016 «Естественное и искусственное освещение», </w:t>
      </w:r>
      <w:r>
        <w:rPr>
          <w:rFonts w:eastAsia="Verdana" w:cs="Verdana" w:ascii="Verdana" w:hAnsi="Verdana"/>
          <w:color w:val="000000"/>
          <w:sz w:val="22"/>
          <w:szCs w:val="22"/>
        </w:rPr>
        <w:t>ГОСТ 34935-2023</w:t>
      </w:r>
      <w:r>
        <w:rPr>
          <w:rFonts w:eastAsia="Verdana" w:cs="Verdana" w:ascii="Verdana" w:hAnsi="Verdana"/>
          <w:color w:val="000000"/>
          <w:sz w:val="22"/>
          <w:szCs w:val="22"/>
          <w:lang w:bidi="ru-RU"/>
        </w:rPr>
        <w:t>; снижения эксплуатационных затрат на замену источников света, в связи с более продолжительным сроком службы новых осветительных приборов.</w:t>
      </w:r>
    </w:p>
    <w:p>
      <w:pPr>
        <w:pStyle w:val="Normal11"/>
        <w:shd w:val="clear" w:color="auto" w:fill="FFFFFF"/>
        <w:tabs>
          <w:tab w:val="clear" w:pos="369"/>
          <w:tab w:val="left" w:pos="1276" w:leader="none"/>
        </w:tabs>
        <w:ind w:start="425"/>
        <w:jc w:val="both"/>
        <w:rPr>
          <w:rFonts w:ascii="Verdana" w:hAnsi="Verdana" w:cs="Verdana"/>
          <w:sz w:val="22"/>
          <w:szCs w:val="22"/>
        </w:rPr>
      </w:pPr>
      <w:r>
        <w:rPr>
          <w:rFonts w:eastAsia="Verdana" w:cs="Verdana" w:ascii="Verdana" w:hAnsi="Verdana"/>
          <w:sz w:val="22"/>
          <w:szCs w:val="22"/>
        </w:rPr>
        <w:t>1.1.3 Источники разработки:</w:t>
      </w:r>
    </w:p>
    <w:p>
      <w:pPr>
        <w:pStyle w:val="Normal"/>
        <w:ind w:hanging="55" w:start="480"/>
        <w:rPr>
          <w:rFonts w:ascii="Verdana" w:hAnsi="Verdana" w:cs="Verdana"/>
          <w:sz w:val="22"/>
          <w:szCs w:val="22"/>
        </w:rPr>
      </w:pPr>
      <w:r>
        <w:rPr>
          <w:rFonts w:eastAsia="Verdana" w:cs="Verdana" w:ascii="Verdana" w:hAnsi="Verdana"/>
          <w:color w:val="000000"/>
          <w:sz w:val="22"/>
          <w:szCs w:val="22"/>
          <w:lang w:bidi="ru-RU"/>
        </w:rPr>
        <w:t>Документация в части технических приложений коммерческого предложения участников конкурентной процедуры.</w:t>
      </w:r>
    </w:p>
    <w:p>
      <w:pPr>
        <w:pStyle w:val="Normal11"/>
        <w:shd w:val="clear" w:color="auto" w:fill="FFFFFF"/>
        <w:tabs>
          <w:tab w:val="clear" w:pos="369"/>
          <w:tab w:val="left" w:pos="0" w:leader="none"/>
          <w:tab w:val="left" w:pos="1276" w:leader="none"/>
        </w:tabs>
        <w:ind w:start="480"/>
        <w:jc w:val="both"/>
        <w:rPr>
          <w:rFonts w:ascii="Verdana" w:hAnsi="Verdana" w:cs="Verdana"/>
          <w:sz w:val="22"/>
          <w:szCs w:val="22"/>
        </w:rPr>
      </w:pPr>
      <w:r>
        <w:rPr>
          <w:rFonts w:eastAsia="Verdana" w:cs="Verdana" w:ascii="Verdana" w:hAnsi="Verdana"/>
          <w:sz w:val="22"/>
          <w:szCs w:val="22"/>
        </w:rPr>
        <w:t>1.1.4 Основные задачи, решаемые при использовании разрабатываемого оборудования:</w:t>
      </w:r>
    </w:p>
    <w:p>
      <w:pPr>
        <w:pStyle w:val="Normal"/>
        <w:ind w:hanging="55" w:start="480"/>
        <w:rPr>
          <w:rFonts w:ascii="Verdana" w:hAnsi="Verdana" w:cs="Verdana"/>
          <w:sz w:val="22"/>
          <w:szCs w:val="22"/>
        </w:rPr>
      </w:pPr>
      <w:r>
        <w:rPr>
          <w:rFonts w:eastAsia="Verdana" w:cs="Verdana" w:ascii="Verdana" w:hAnsi="Verdana"/>
          <w:color w:val="000000"/>
          <w:sz w:val="22"/>
          <w:szCs w:val="22"/>
          <w:lang w:bidi="ru-RU"/>
        </w:rPr>
        <w:t>- экономия потребления электрической энергии осветительными установками системы общего и наружного освещения в цехах ПАО «ММК».</w:t>
      </w:r>
    </w:p>
    <w:p>
      <w:pPr>
        <w:pStyle w:val="Normal11"/>
        <w:shd w:val="clear" w:color="auto" w:fill="FFFFFF"/>
        <w:tabs>
          <w:tab w:val="clear" w:pos="369"/>
          <w:tab w:val="left" w:pos="0" w:leader="none"/>
          <w:tab w:val="left" w:pos="1276" w:leader="none"/>
        </w:tabs>
        <w:ind w:start="480"/>
        <w:jc w:val="both"/>
        <w:rPr>
          <w:rFonts w:ascii="Verdana" w:hAnsi="Verdana" w:cs="Verdana"/>
          <w:sz w:val="22"/>
          <w:szCs w:val="22"/>
        </w:rPr>
      </w:pPr>
      <w:r>
        <w:rPr>
          <w:rFonts w:eastAsia="Verdana" w:cs="Verdana" w:ascii="Verdana" w:hAnsi="Verdana"/>
          <w:sz w:val="22"/>
          <w:szCs w:val="22"/>
        </w:rPr>
        <w:t>1.1.5 Требуемые выполняемые функции:</w:t>
      </w:r>
    </w:p>
    <w:p>
      <w:pPr>
        <w:pStyle w:val="Normal11"/>
        <w:shd w:val="clear" w:color="auto" w:fill="FFFFFF"/>
        <w:tabs>
          <w:tab w:val="clear" w:pos="369"/>
          <w:tab w:val="left" w:pos="1276" w:leader="none"/>
          <w:tab w:val="left" w:pos="1430" w:leader="none"/>
        </w:tabs>
        <w:ind w:hanging="55" w:start="480"/>
        <w:jc w:val="both"/>
        <w:rPr>
          <w:rFonts w:ascii="Verdana" w:hAnsi="Verdana" w:cs="Verdana"/>
          <w:sz w:val="22"/>
          <w:szCs w:val="22"/>
        </w:rPr>
      </w:pPr>
      <w:r>
        <w:rPr>
          <w:rFonts w:eastAsia="Verdana" w:cs="Verdana" w:ascii="Verdana" w:hAnsi="Verdana"/>
          <w:color w:val="000000"/>
          <w:sz w:val="22"/>
          <w:szCs w:val="22"/>
          <w:lang w:bidi="ru-RU"/>
        </w:rPr>
        <w:t>- обеспечение выполнения норм и правил охраны труда в части соответствия нормативам освещенности, установленных сводом правил СП 52.13330.201</w:t>
      </w:r>
      <w:r>
        <w:rPr>
          <w:rFonts w:eastAsia="Verdana" w:cs="Verdana" w:ascii="Verdana" w:hAnsi="Verdana"/>
          <w:sz w:val="22"/>
          <w:szCs w:val="22"/>
        </w:rPr>
        <w:t>6</w:t>
      </w:r>
      <w:r>
        <w:rPr>
          <w:rFonts w:eastAsia="Verdana" w:cs="Verdana" w:ascii="Verdana" w:hAnsi="Verdana"/>
          <w:color w:val="000000"/>
          <w:sz w:val="22"/>
          <w:szCs w:val="22"/>
          <w:lang w:bidi="ru-RU"/>
        </w:rPr>
        <w:t xml:space="preserve"> «Естественное и искусственное освещение»</w:t>
      </w:r>
      <w:r>
        <w:rPr>
          <w:rFonts w:eastAsia="Verdana" w:cs="Verdana" w:ascii="Verdana" w:hAnsi="Verdana"/>
          <w:sz w:val="22"/>
          <w:szCs w:val="22"/>
        </w:rPr>
        <w:t xml:space="preserve">, </w:t>
      </w:r>
      <w:r>
        <w:rPr>
          <w:rFonts w:eastAsia="Verdana" w:cs="Verdana" w:ascii="Verdana" w:hAnsi="Verdana"/>
          <w:color w:val="000000"/>
          <w:sz w:val="22"/>
          <w:szCs w:val="22"/>
        </w:rPr>
        <w:t>ГОСТ 34935-2023</w:t>
      </w:r>
    </w:p>
    <w:p>
      <w:pPr>
        <w:pStyle w:val="Normal11"/>
        <w:shd w:val="clear" w:color="auto" w:fill="FFFFFF"/>
        <w:tabs>
          <w:tab w:val="clear" w:pos="369"/>
          <w:tab w:val="left" w:pos="0" w:leader="none"/>
          <w:tab w:val="left" w:pos="1276" w:leader="none"/>
        </w:tabs>
        <w:ind w:start="480"/>
        <w:jc w:val="both"/>
        <w:rPr>
          <w:rFonts w:ascii="Verdana" w:hAnsi="Verdana" w:cs="Verdana"/>
          <w:sz w:val="22"/>
          <w:szCs w:val="22"/>
        </w:rPr>
      </w:pPr>
      <w:r>
        <w:rPr>
          <w:rFonts w:eastAsia="Verdana" w:cs="Verdana" w:ascii="Verdana" w:hAnsi="Verdana"/>
          <w:sz w:val="22"/>
          <w:szCs w:val="22"/>
        </w:rPr>
        <w:t>1.1.6 Перечень основного и вспомогательного оборудования:</w:t>
      </w:r>
    </w:p>
    <w:p>
      <w:pPr>
        <w:pStyle w:val="Normal"/>
        <w:widowControl w:val="false"/>
        <w:tabs>
          <w:tab w:val="clear" w:pos="369"/>
          <w:tab w:val="left" w:pos="2119" w:leader="none"/>
        </w:tabs>
        <w:spacing w:lineRule="exact" w:line="266"/>
        <w:ind w:hanging="55" w:start="480"/>
        <w:jc w:val="both"/>
        <w:rPr>
          <w:rFonts w:ascii="Verdana" w:hAnsi="Verdana" w:cs="Verdana"/>
          <w:color w:val="000000"/>
          <w:sz w:val="22"/>
          <w:szCs w:val="22"/>
        </w:rPr>
      </w:pPr>
      <w:r>
        <w:rPr>
          <w:rFonts w:eastAsia="Verdana" w:cs="Verdana" w:ascii="Verdana" w:hAnsi="Verdana"/>
          <w:color w:val="000000"/>
          <w:sz w:val="22"/>
          <w:szCs w:val="22"/>
          <w:lang w:bidi="ru-RU"/>
        </w:rPr>
        <w:t>- осветительные приборы;</w:t>
      </w:r>
    </w:p>
    <w:p>
      <w:pPr>
        <w:pStyle w:val="Normal"/>
        <w:widowControl w:val="false"/>
        <w:tabs>
          <w:tab w:val="clear" w:pos="369"/>
          <w:tab w:val="left" w:pos="2119" w:leader="none"/>
        </w:tabs>
        <w:spacing w:lineRule="exact" w:line="266"/>
        <w:ind w:hanging="55" w:start="480"/>
        <w:jc w:val="both"/>
        <w:rPr>
          <w:rFonts w:ascii="Verdana" w:hAnsi="Verdana" w:cs="Verdana"/>
          <w:color w:val="000000"/>
          <w:sz w:val="22"/>
          <w:szCs w:val="22"/>
        </w:rPr>
      </w:pPr>
      <w:r>
        <w:rPr>
          <w:rFonts w:eastAsia="Verdana" w:cs="Verdana" w:ascii="Verdana" w:hAnsi="Verdana"/>
          <w:color w:val="000000"/>
          <w:sz w:val="22"/>
          <w:szCs w:val="22"/>
          <w:lang w:bidi="ru-RU"/>
        </w:rPr>
        <w:t>- электроустановочные изделия (вилки, розетки и т.д.);</w:t>
      </w:r>
    </w:p>
    <w:p>
      <w:pPr>
        <w:pStyle w:val="Normal"/>
        <w:widowControl w:val="false"/>
        <w:tabs>
          <w:tab w:val="clear" w:pos="369"/>
          <w:tab w:val="left" w:pos="2119" w:leader="none"/>
        </w:tabs>
        <w:spacing w:lineRule="exact" w:line="266"/>
        <w:ind w:hanging="55" w:start="480"/>
        <w:jc w:val="both"/>
        <w:rPr>
          <w:rFonts w:ascii="Verdana" w:hAnsi="Verdana" w:cs="Verdana"/>
          <w:sz w:val="22"/>
          <w:szCs w:val="22"/>
        </w:rPr>
      </w:pPr>
      <w:r>
        <w:rPr>
          <w:rFonts w:eastAsia="Verdana" w:cs="Verdana" w:ascii="Verdana" w:hAnsi="Verdana"/>
          <w:color w:val="000000"/>
          <w:sz w:val="22"/>
          <w:szCs w:val="22"/>
          <w:lang w:bidi="ru-RU"/>
        </w:rPr>
        <w:t>-</w:t>
      </w:r>
      <w:bookmarkStart w:id="0" w:name="_Hlk211954621"/>
      <w:r>
        <w:rPr>
          <w:rFonts w:eastAsia="Verdana" w:cs="Verdana" w:ascii="Verdana" w:hAnsi="Verdana"/>
          <w:color w:val="000000"/>
          <w:sz w:val="22"/>
          <w:szCs w:val="22"/>
          <w:lang w:bidi="ru-RU"/>
        </w:rPr>
        <w:t xml:space="preserve"> </w:t>
      </w:r>
      <w:bookmarkStart w:id="1" w:name="_Hlk211954932"/>
      <w:r>
        <w:rPr>
          <w:rFonts w:eastAsia="Verdana" w:cs="Verdana" w:ascii="Verdana" w:hAnsi="Verdana"/>
          <w:color w:val="000000"/>
          <w:sz w:val="22"/>
          <w:szCs w:val="22"/>
          <w:lang w:bidi="ru-RU"/>
        </w:rPr>
        <w:t>устройства защиты питающей сети от коммутационных и грозовых помех</w:t>
      </w:r>
      <w:bookmarkEnd w:id="0"/>
      <w:bookmarkEnd w:id="1"/>
      <w:r>
        <w:rPr>
          <w:rFonts w:eastAsia="Verdana" w:cs="Verdana" w:ascii="Verdana" w:hAnsi="Verdana"/>
          <w:color w:val="000000"/>
          <w:sz w:val="22"/>
          <w:szCs w:val="22"/>
          <w:lang w:bidi="ru-RU"/>
        </w:rPr>
        <w:t xml:space="preserve"> (количественные и качественные показатели определяются в процессе предпроектного обследования объектов разработки).</w:t>
      </w:r>
    </w:p>
    <w:p>
      <w:pPr>
        <w:pStyle w:val="Normal11"/>
        <w:shd w:val="clear" w:color="auto" w:fill="FFFFFF"/>
        <w:tabs>
          <w:tab w:val="clear" w:pos="369"/>
          <w:tab w:val="left" w:pos="0" w:leader="none"/>
          <w:tab w:val="left" w:pos="1276" w:leader="none"/>
        </w:tabs>
        <w:ind w:start="480"/>
        <w:jc w:val="both"/>
        <w:rPr>
          <w:rFonts w:ascii="Verdana" w:hAnsi="Verdana" w:cs="Verdana"/>
          <w:sz w:val="22"/>
          <w:szCs w:val="22"/>
        </w:rPr>
      </w:pPr>
      <w:r>
        <w:rPr>
          <w:rFonts w:eastAsia="Verdana" w:cs="Verdana" w:ascii="Verdana" w:hAnsi="Verdana"/>
          <w:sz w:val="22"/>
          <w:szCs w:val="22"/>
        </w:rPr>
        <w:t>1.1.7 Намечаемые проектные решения по расположению/размещению оборудования:</w:t>
      </w:r>
    </w:p>
    <w:p>
      <w:pPr>
        <w:pStyle w:val="Normal11"/>
        <w:shd w:val="clear" w:color="auto" w:fill="FFFFFF"/>
        <w:tabs>
          <w:tab w:val="clear" w:pos="369"/>
          <w:tab w:val="left" w:pos="1276" w:leader="none"/>
          <w:tab w:val="left" w:pos="1430" w:leader="none"/>
        </w:tabs>
        <w:ind w:hanging="55" w:start="480"/>
        <w:jc w:val="both"/>
        <w:rPr>
          <w:rFonts w:ascii="Verdana" w:hAnsi="Verdana" w:cs="Verdana"/>
          <w:sz w:val="22"/>
          <w:szCs w:val="22"/>
        </w:rPr>
      </w:pPr>
      <w:r>
        <w:rPr>
          <w:rFonts w:eastAsia="Verdana" w:cs="Verdana" w:ascii="Verdana" w:hAnsi="Verdana"/>
          <w:sz w:val="22"/>
          <w:szCs w:val="22"/>
        </w:rPr>
        <w:t>- производственные помещения;</w:t>
      </w:r>
    </w:p>
    <w:p>
      <w:pPr>
        <w:pStyle w:val="Normal11"/>
        <w:shd w:val="clear" w:color="auto" w:fill="FFFFFF"/>
        <w:tabs>
          <w:tab w:val="clear" w:pos="369"/>
          <w:tab w:val="left" w:pos="1276" w:leader="none"/>
          <w:tab w:val="left" w:pos="1430" w:leader="none"/>
        </w:tabs>
        <w:ind w:hanging="55" w:start="480"/>
        <w:jc w:val="both"/>
        <w:rPr>
          <w:rFonts w:ascii="Verdana" w:hAnsi="Verdana" w:cs="Verdana"/>
          <w:sz w:val="22"/>
          <w:szCs w:val="22"/>
        </w:rPr>
      </w:pPr>
      <w:r>
        <w:rPr>
          <w:rFonts w:eastAsia="Verdana" w:cs="Verdana" w:ascii="Verdana" w:hAnsi="Verdana"/>
          <w:sz w:val="22"/>
          <w:szCs w:val="22"/>
        </w:rPr>
        <w:t>- территории структурных подразделений.</w:t>
      </w:r>
    </w:p>
    <w:p>
      <w:pPr>
        <w:pStyle w:val="Normal11"/>
        <w:shd w:val="clear" w:color="auto" w:fill="FFFFFF"/>
        <w:tabs>
          <w:tab w:val="clear" w:pos="369"/>
          <w:tab w:val="left" w:pos="0" w:leader="none"/>
          <w:tab w:val="left" w:pos="1276" w:leader="none"/>
        </w:tabs>
        <w:ind w:start="480"/>
        <w:jc w:val="both"/>
        <w:rPr>
          <w:rFonts w:ascii="Verdana" w:hAnsi="Verdana" w:cs="Verdana"/>
          <w:sz w:val="22"/>
          <w:szCs w:val="22"/>
        </w:rPr>
      </w:pPr>
      <w:r>
        <w:rPr>
          <w:rFonts w:eastAsia="Verdana" w:cs="Verdana" w:ascii="Verdana" w:hAnsi="Verdana"/>
          <w:sz w:val="22"/>
          <w:szCs w:val="22"/>
        </w:rPr>
        <w:t>1.2 Требования к параметрам и характеристикам оборудования:</w:t>
      </w:r>
    </w:p>
    <w:p>
      <w:pPr>
        <w:pStyle w:val="44"/>
        <w:shd w:val="clear" w:color="auto" w:fill="FFFFFF"/>
        <w:tabs>
          <w:tab w:val="clear" w:pos="369"/>
          <w:tab w:val="left" w:pos="1276" w:leader="none"/>
          <w:tab w:val="left" w:pos="1430" w:leader="none"/>
        </w:tabs>
        <w:ind w:firstLine="1276"/>
        <w:jc w:val="both"/>
        <w:rPr>
          <w:rFonts w:ascii="Verdana" w:hAnsi="Verdana" w:eastAsia="Verdana" w:cs="Verdana"/>
          <w:sz w:val="22"/>
          <w:szCs w:val="22"/>
        </w:rPr>
      </w:pPr>
      <w:r>
        <w:rPr>
          <w:rFonts w:eastAsia="Verdana" w:cs="Verdana" w:ascii="Verdana" w:hAnsi="Verdana"/>
          <w:sz w:val="22"/>
          <w:szCs w:val="22"/>
        </w:rPr>
        <w:t>Значение коэффициента, учитывающего потери энергии в ПРА и сети (</w:t>
      </w:r>
      <w:r>
        <w:rPr/>
      </w:r>
      <m:oMath xmlns:m="http://schemas.openxmlformats.org/officeDocument/2006/math">
        <m:sSub>
          <m:e>
            <m:r>
              <m:t xml:space="preserve">k</m:t>
            </m:r>
          </m:e>
          <m:sub>
            <m:r>
              <m:t xml:space="preserve">п</m:t>
            </m:r>
            <m:r>
              <m:t xml:space="preserve">j</m:t>
            </m:r>
          </m:sub>
        </m:sSub>
      </m:oMath>
      <w:r>
        <w:rPr>
          <w:rFonts w:eastAsia="Verdana" w:cs="Verdana" w:ascii="Verdana" w:hAnsi="Verdana"/>
          <w:sz w:val="22"/>
          <w:szCs w:val="22"/>
        </w:rPr>
        <w:t xml:space="preserve">) для осветительного прибора </w:t>
      </w:r>
      <w:r>
        <w:rPr>
          <w:rFonts w:eastAsia="Verdana" w:cs="Verdana" w:ascii="Verdana" w:hAnsi="Verdana"/>
          <w:i/>
          <w:sz w:val="22"/>
          <w:szCs w:val="22"/>
          <w:lang w:val="en-US"/>
        </w:rPr>
        <w:t>j</w:t>
      </w:r>
      <w:r>
        <w:rPr>
          <w:rFonts w:eastAsia="Verdana" w:cs="Verdana" w:ascii="Verdana" w:hAnsi="Verdana"/>
          <w:sz w:val="22"/>
          <w:szCs w:val="22"/>
        </w:rPr>
        <w:t xml:space="preserve">-го типа, используемого в помещении </w:t>
      </w:r>
      <w:r>
        <w:rPr>
          <w:rFonts w:eastAsia="Verdana" w:cs="Verdana" w:ascii="Verdana" w:hAnsi="Verdana"/>
          <w:i/>
          <w:sz w:val="22"/>
          <w:szCs w:val="22"/>
          <w:lang w:val="en-US"/>
        </w:rPr>
        <w:t>i</w:t>
      </w:r>
      <w:r>
        <w:rPr>
          <w:rFonts w:eastAsia="Verdana" w:cs="Verdana" w:ascii="Verdana" w:hAnsi="Verdana"/>
          <w:sz w:val="22"/>
          <w:szCs w:val="22"/>
        </w:rPr>
        <w:t>-й категории.</w:t>
      </w:r>
    </w:p>
    <w:p>
      <w:pPr>
        <w:pStyle w:val="44"/>
        <w:shd w:val="clear" w:color="auto" w:fill="FFFFFF"/>
        <w:tabs>
          <w:tab w:val="clear" w:pos="369"/>
          <w:tab w:val="left" w:pos="1276" w:leader="none"/>
          <w:tab w:val="left" w:pos="1430" w:leader="none"/>
        </w:tabs>
        <w:ind w:firstLine="1276"/>
        <w:jc w:val="both"/>
        <w:rPr>
          <w:rFonts w:ascii="Verdana" w:hAnsi="Verdana" w:cs="Verdana"/>
          <w:sz w:val="22"/>
          <w:szCs w:val="22"/>
        </w:rPr>
      </w:pPr>
      <w:r>
        <w:rPr>
          <w:rFonts w:cs="Verdana" w:ascii="Verdana" w:hAnsi="Verdana"/>
          <w:sz w:val="22"/>
          <w:szCs w:val="22"/>
        </w:rPr>
      </w:r>
    </w:p>
    <w:p>
      <w:pPr>
        <w:pStyle w:val="Normal11"/>
        <w:shd w:val="clear" w:color="auto" w:fill="FFFFFF"/>
        <w:tabs>
          <w:tab w:val="clear" w:pos="369"/>
          <w:tab w:val="left" w:pos="0" w:leader="none"/>
          <w:tab w:val="left" w:pos="1276" w:leader="none"/>
        </w:tabs>
        <w:ind w:start="480"/>
        <w:jc w:val="both"/>
        <w:rPr>
          <w:rFonts w:ascii="Verdana" w:hAnsi="Verdana" w:cs="Verdana"/>
          <w:sz w:val="22"/>
          <w:szCs w:val="22"/>
        </w:rPr>
      </w:pPr>
      <w:r>
        <w:rPr>
          <w:rFonts w:eastAsia="Verdana" w:cs="Verdana" w:ascii="Verdana" w:hAnsi="Verdana"/>
          <w:sz w:val="22"/>
          <w:szCs w:val="22"/>
        </w:rPr>
        <w:tab/>
        <w:t xml:space="preserve">Основные параметры </w:t>
      </w:r>
      <w:r>
        <w:rPr>
          <w:rFonts w:eastAsia="Verdana" w:cs="Verdana" w:ascii="Verdana" w:hAnsi="Verdana"/>
          <w:color w:val="000000"/>
          <w:sz w:val="22"/>
          <w:szCs w:val="22"/>
          <w:lang w:bidi="ru-RU"/>
        </w:rPr>
        <w:t>существующих осветительных установок:</w:t>
      </w:r>
    </w:p>
    <w:p>
      <w:pPr>
        <w:pStyle w:val="Normal11"/>
        <w:shd w:val="clear" w:color="auto" w:fill="FFFFFF"/>
        <w:tabs>
          <w:tab w:val="clear" w:pos="369"/>
          <w:tab w:val="left" w:pos="1276" w:leader="none"/>
          <w:tab w:val="left" w:pos="1430" w:leader="none"/>
        </w:tabs>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ind w:start="709"/>
        <w:jc w:val="end"/>
        <w:rPr>
          <w:rFonts w:ascii="Verdana" w:hAnsi="Verdana"/>
          <w:sz w:val="22"/>
          <w:szCs w:val="22"/>
        </w:rPr>
      </w:pPr>
      <w:r>
        <w:rPr>
          <w:rFonts w:ascii="Verdana" w:hAnsi="Verdana"/>
          <w:sz w:val="22"/>
          <w:szCs w:val="22"/>
        </w:rPr>
        <w:t>Таблица 1</w:t>
      </w:r>
    </w:p>
    <w:p>
      <w:pPr>
        <w:pStyle w:val="Normal11"/>
        <w:shd w:val="clear" w:color="auto" w:fill="FFFFFF"/>
        <w:tabs>
          <w:tab w:val="clear" w:pos="369"/>
          <w:tab w:val="left" w:pos="1276" w:leader="none"/>
          <w:tab w:val="left" w:pos="1430" w:leader="none"/>
        </w:tabs>
        <w:ind w:start="709"/>
        <w:jc w:val="center"/>
        <w:rPr>
          <w:rFonts w:ascii="Verdana" w:hAnsi="Verdana"/>
          <w:sz w:val="22"/>
          <w:szCs w:val="22"/>
        </w:rPr>
      </w:pPr>
      <w:r>
        <w:rPr>
          <w:rFonts w:ascii="Verdana" w:hAnsi="Verdana"/>
          <w:sz w:val="22"/>
          <w:szCs w:val="22"/>
        </w:rPr>
        <w:t>Сведения о системах освещения объектов разработки</w:t>
      </w:r>
    </w:p>
    <w:tbl>
      <w:tblPr>
        <w:tblW w:w="10377" w:type="dxa"/>
        <w:jc w:val="start"/>
        <w:tblInd w:w="-34" w:type="dxa"/>
        <w:tblLayout w:type="fixed"/>
        <w:tblCellMar>
          <w:top w:w="0" w:type="dxa"/>
          <w:start w:w="108" w:type="dxa"/>
          <w:bottom w:w="0" w:type="dxa"/>
          <w:end w:w="108" w:type="dxa"/>
        </w:tblCellMar>
        <w:tblLook w:val="04a0" w:noHBand="0" w:noVBand="1" w:firstColumn="1" w:lastRow="0" w:lastColumn="0" w:firstRow="1"/>
      </w:tblPr>
      <w:tblGrid>
        <w:gridCol w:w="708"/>
        <w:gridCol w:w="1843"/>
        <w:gridCol w:w="851"/>
        <w:gridCol w:w="1275"/>
        <w:gridCol w:w="1277"/>
        <w:gridCol w:w="1275"/>
        <w:gridCol w:w="1142"/>
        <w:gridCol w:w="2006"/>
      </w:tblGrid>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22"/>
                <w:szCs w:val="22"/>
              </w:rPr>
            </w:pPr>
            <w:r>
              <w:rPr>
                <w:rFonts w:eastAsia="Tahoma" w:cs="Tahoma" w:ascii="Verdana" w:hAnsi="Verdana"/>
                <w:color w:val="000000"/>
                <w:sz w:val="16"/>
                <w:szCs w:val="16"/>
                <w:lang w:bidi="ru-RU"/>
              </w:rPr>
              <w:t xml:space="preserve">№ </w:t>
            </w:r>
            <w:r>
              <w:rPr>
                <w:rFonts w:eastAsia="Tahoma" w:cs="Tahoma" w:ascii="Verdana" w:hAnsi="Verdana"/>
                <w:color w:val="000000"/>
                <w:sz w:val="16"/>
                <w:szCs w:val="16"/>
                <w:lang w:bidi="ru-RU"/>
              </w:rPr>
              <w:t>п/п</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22"/>
                <w:szCs w:val="22"/>
              </w:rPr>
            </w:pPr>
            <w:r>
              <w:rPr>
                <w:rFonts w:eastAsia="Tahoma" w:cs="Tahoma" w:ascii="Verdana" w:hAnsi="Verdana"/>
                <w:color w:val="000000"/>
                <w:sz w:val="16"/>
                <w:szCs w:val="16"/>
                <w:lang w:bidi="ru-RU"/>
              </w:rPr>
              <w:t>Место установки</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Microsoft Sans Serif" w:cs="Microsoft Sans Serif"/>
                <w:color w:val="000000"/>
                <w:sz w:val="10"/>
                <w:szCs w:val="10"/>
                <w:lang w:bidi="ru-RU"/>
              </w:rPr>
            </w:pPr>
            <w:r>
              <w:rPr>
                <w:rFonts w:eastAsia="Tahoma" w:cs="Tahoma" w:ascii="Verdana" w:hAnsi="Verdana"/>
                <w:color w:val="000000"/>
                <w:sz w:val="16"/>
                <w:szCs w:val="16"/>
                <w:lang w:bidi="ru-RU"/>
              </w:rPr>
              <w:t>Тип осветительных приборов</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22"/>
                <w:szCs w:val="22"/>
              </w:rPr>
            </w:pPr>
            <w:r>
              <w:rPr>
                <w:rFonts w:eastAsia="Tahoma" w:cs="Tahoma" w:ascii="Verdana" w:hAnsi="Verdana"/>
                <w:color w:val="000000"/>
                <w:sz w:val="16"/>
                <w:szCs w:val="16"/>
                <w:lang w:bidi="ru-RU"/>
              </w:rPr>
              <w:t>Тип и мощность источников света (РЛВД – разрядные лампы высокого давления, ЛН – лампы накаливания)</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22"/>
                <w:szCs w:val="22"/>
              </w:rPr>
            </w:pPr>
            <w:r>
              <w:rPr>
                <w:rFonts w:eastAsia="Tahoma" w:cs="Tahoma" w:ascii="Verdana" w:hAnsi="Verdana"/>
                <w:color w:val="000000"/>
                <w:sz w:val="16"/>
                <w:szCs w:val="16"/>
                <w:lang w:bidi="ru-RU"/>
              </w:rPr>
              <w:t xml:space="preserve">График работы осветительной установки (КР - 8760 час/год; Н - 3500 час/год; Д – 2150 час/год)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22"/>
                <w:szCs w:val="22"/>
              </w:rPr>
            </w:pPr>
            <w:r>
              <w:rPr>
                <w:rFonts w:eastAsia="Tahoma" w:cs="Tahoma" w:ascii="Verdana" w:hAnsi="Verdana"/>
                <w:color w:val="000000"/>
                <w:sz w:val="16"/>
                <w:szCs w:val="16"/>
                <w:lang w:bidi="ru-RU"/>
              </w:rPr>
              <w:t>Назначение (ОС – система общее освещение, НО - наружное освещение)</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4"/>
                <w:szCs w:val="14"/>
                <w:lang w:bidi="ru-RU"/>
              </w:rPr>
            </w:pPr>
            <w:r>
              <w:rPr>
                <w:rFonts w:eastAsia="Tahoma" w:cs="Tahoma" w:ascii="Verdana" w:hAnsi="Verdana"/>
                <w:color w:val="000000"/>
                <w:sz w:val="14"/>
                <w:szCs w:val="14"/>
                <w:lang w:bidi="ru-RU"/>
              </w:rPr>
              <w:t>Тип</w:t>
            </w:r>
          </w:p>
          <w:p>
            <w:pPr>
              <w:pStyle w:val="Normal"/>
              <w:widowControl w:val="false"/>
              <w:spacing w:lineRule="exact" w:line="191"/>
              <w:jc w:val="center"/>
              <w:rPr>
                <w:rFonts w:ascii="Verdana" w:hAnsi="Verdana" w:eastAsia="Tahoma" w:cs="Tahoma"/>
                <w:color w:val="000000"/>
                <w:sz w:val="14"/>
                <w:szCs w:val="14"/>
                <w:lang w:bidi="ru-RU"/>
              </w:rPr>
            </w:pPr>
            <w:r>
              <w:rPr>
                <w:rFonts w:eastAsia="Tahoma" w:cs="Tahoma" w:ascii="Verdana" w:hAnsi="Verdana"/>
                <w:color w:val="000000"/>
                <w:sz w:val="14"/>
                <w:szCs w:val="14"/>
                <w:lang w:bidi="ru-RU"/>
              </w:rPr>
              <w:t>крепления (П – подвес в одной точке, С -</w:t>
            </w:r>
          </w:p>
          <w:p>
            <w:pPr>
              <w:pStyle w:val="Normal"/>
              <w:widowControl w:val="false"/>
              <w:spacing w:lineRule="exact" w:line="191"/>
              <w:jc w:val="center"/>
              <w:rPr>
                <w:rFonts w:ascii="Verdana" w:hAnsi="Verdana" w:eastAsia="Tahoma" w:cs="Tahoma"/>
                <w:color w:val="000000"/>
                <w:sz w:val="14"/>
                <w:szCs w:val="14"/>
                <w:lang w:bidi="ru-RU"/>
              </w:rPr>
            </w:pPr>
            <w:r>
              <w:rPr>
                <w:rFonts w:eastAsia="Tahoma" w:cs="Tahoma" w:ascii="Verdana" w:hAnsi="Verdana"/>
                <w:color w:val="000000"/>
                <w:sz w:val="14"/>
                <w:szCs w:val="14"/>
                <w:lang w:bidi="ru-RU"/>
              </w:rPr>
              <w:t>скоба; Н -</w:t>
            </w:r>
          </w:p>
          <w:p>
            <w:pPr>
              <w:pStyle w:val="Normal11"/>
              <w:tabs>
                <w:tab w:val="clear" w:pos="369"/>
                <w:tab w:val="left" w:pos="1276" w:leader="none"/>
                <w:tab w:val="left" w:pos="1430" w:leader="none"/>
              </w:tabs>
              <w:jc w:val="center"/>
              <w:rPr>
                <w:rFonts w:ascii="Verdana" w:hAnsi="Verdana"/>
                <w:sz w:val="14"/>
                <w:szCs w:val="14"/>
              </w:rPr>
            </w:pPr>
            <w:r>
              <w:rPr>
                <w:rFonts w:eastAsia="Tahoma" w:cs="Tahoma" w:ascii="Verdana" w:hAnsi="Verdana"/>
                <w:color w:val="000000"/>
                <w:sz w:val="14"/>
                <w:szCs w:val="14"/>
                <w:lang w:bidi="ru-RU"/>
              </w:rPr>
              <w:t>накладное крепление к потолку; К – консоль)</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22"/>
                <w:szCs w:val="22"/>
              </w:rPr>
            </w:pPr>
            <w:r>
              <w:rPr>
                <w:rFonts w:eastAsia="Tahoma" w:cs="Tahoma" w:ascii="Verdana" w:hAnsi="Verdana"/>
                <w:color w:val="000000"/>
                <w:sz w:val="16"/>
                <w:szCs w:val="16"/>
                <w:lang w:bidi="ru-RU"/>
              </w:rPr>
              <w:t>Количество всего, шт.</w:t>
            </w:r>
          </w:p>
        </w:tc>
      </w:tr>
      <w:tr>
        <w:trPr/>
        <w:tc>
          <w:tcPr>
            <w:tcW w:w="10377" w:type="dxa"/>
            <w:gridSpan w:val="8"/>
            <w:tcBorders>
              <w:top w:val="single" w:sz="4" w:space="0" w:color="000000"/>
              <w:start w:val="single" w:sz="4" w:space="0" w:color="000000"/>
              <w:bottom w:val="single" w:sz="4" w:space="0" w:color="000000"/>
              <w:end w:val="single" w:sz="4" w:space="0" w:color="000000"/>
            </w:tcBorders>
          </w:tcPr>
          <w:p>
            <w:pPr>
              <w:pStyle w:val="Normal11"/>
              <w:tabs>
                <w:tab w:val="clear" w:pos="369"/>
                <w:tab w:val="left" w:pos="1276" w:leader="none"/>
              </w:tabs>
              <w:jc w:val="center"/>
              <w:rPr>
                <w:rFonts w:ascii="Verdana" w:hAnsi="Verdana" w:eastAsia="Tahoma" w:cs="Tahoma"/>
                <w:b/>
                <w:bCs/>
                <w:color w:val="000000"/>
                <w:sz w:val="16"/>
                <w:szCs w:val="16"/>
                <w:lang w:bidi="ru-RU"/>
              </w:rPr>
            </w:pPr>
            <w:r>
              <w:rPr>
                <w:rFonts w:eastAsia="Tahoma" w:cs="Tahoma" w:ascii="Verdana" w:hAnsi="Verdana"/>
                <w:b/>
                <w:bCs/>
                <w:color w:val="000000"/>
                <w:sz w:val="16"/>
                <w:szCs w:val="16"/>
                <w:lang w:bidi="ru-RU"/>
              </w:rPr>
              <w:t>1 Аглоцех</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1.1</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ascii="Verdana" w:hAnsi="Verdana"/>
                <w:color w:val="000000"/>
                <w:sz w:val="16"/>
                <w:szCs w:val="16"/>
              </w:rPr>
              <w:t>Освещение над галереей СК-1</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1.2</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Освещение над галереей СК-2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1.3</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Освещение штабеля СК-1</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1.4</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Освещение штабеля СК-2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1.5</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Боковое освещение СК-1</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1.6</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Боковое освещение СК-2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1.7</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Освещение отм. +0,0 ось К</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РЛВД-250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8371"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rPr>
                <w:rFonts w:ascii="Verdana" w:hAnsi="Verdana" w:eastAsia="Tahoma" w:cs="Tahoma"/>
                <w:b/>
                <w:bCs/>
                <w:color w:val="000000"/>
                <w:sz w:val="16"/>
                <w:szCs w:val="16"/>
              </w:rPr>
            </w:pPr>
            <w:r>
              <w:rPr>
                <w:rFonts w:eastAsia="Tahoma" w:cs="Tahoma" w:ascii="Verdana" w:hAnsi="Verdana"/>
                <w:b/>
                <w:bCs/>
                <w:color w:val="000000"/>
                <w:sz w:val="16"/>
                <w:szCs w:val="16"/>
                <w:lang w:bidi="ru-RU"/>
              </w:rPr>
              <w:t>Итого по аглоцеху</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b/>
                <w:bCs/>
                <w:color w:val="000000"/>
                <w:sz w:val="16"/>
                <w:szCs w:val="16"/>
              </w:rPr>
            </w:pPr>
            <w:r>
              <w:rPr>
                <w:rFonts w:eastAsia="Tahoma" w:cs="Tahoma" w:ascii="Verdana" w:hAnsi="Verdana"/>
                <w:b/>
                <w:bCs/>
                <w:color w:val="000000"/>
                <w:sz w:val="16"/>
                <w:szCs w:val="16"/>
                <w:lang w:bidi="ru-RU"/>
              </w:rPr>
              <w:t>240</w:t>
            </w:r>
          </w:p>
        </w:tc>
      </w:tr>
      <w:tr>
        <w:trPr/>
        <w:tc>
          <w:tcPr>
            <w:tcW w:w="10377" w:type="dxa"/>
            <w:gridSpan w:val="8"/>
            <w:tcBorders>
              <w:top w:val="single" w:sz="4" w:space="0" w:color="000000"/>
              <w:start w:val="single" w:sz="4" w:space="0" w:color="000000"/>
              <w:bottom w:val="single" w:sz="4" w:space="0" w:color="000000"/>
              <w:end w:val="single" w:sz="4" w:space="0" w:color="000000"/>
            </w:tcBorders>
          </w:tcPr>
          <w:p>
            <w:pPr>
              <w:pStyle w:val="Normal11"/>
              <w:tabs>
                <w:tab w:val="clear" w:pos="369"/>
                <w:tab w:val="left" w:pos="1276" w:leader="none"/>
                <w:tab w:val="left" w:pos="1430" w:leader="none"/>
              </w:tabs>
              <w:jc w:val="center"/>
              <w:rPr>
                <w:rFonts w:ascii="Verdana" w:hAnsi="Verdana" w:eastAsia="Tahoma" w:cs="Tahoma"/>
                <w:b/>
                <w:bCs/>
                <w:color w:val="000000"/>
                <w:sz w:val="16"/>
                <w:szCs w:val="16"/>
                <w:lang w:bidi="ru-RU"/>
              </w:rPr>
            </w:pPr>
            <w:r>
              <w:rPr>
                <w:rFonts w:eastAsia="Tahoma" w:cs="Tahoma" w:ascii="Verdana" w:hAnsi="Verdana"/>
                <w:b/>
                <w:bCs/>
                <w:color w:val="000000"/>
                <w:sz w:val="16"/>
                <w:szCs w:val="16"/>
                <w:lang w:bidi="ru-RU"/>
              </w:rPr>
              <w:t>2 Копровый цех</w:t>
            </w:r>
          </w:p>
        </w:tc>
      </w:tr>
      <w:tr>
        <w:trPr/>
        <w:tc>
          <w:tcPr>
            <w:tcW w:w="10377" w:type="dxa"/>
            <w:gridSpan w:val="8"/>
            <w:tcBorders>
              <w:top w:val="single" w:sz="4" w:space="0" w:color="000000"/>
              <w:start w:val="single" w:sz="4" w:space="0" w:color="000000"/>
              <w:bottom w:val="single" w:sz="4" w:space="0" w:color="000000"/>
              <w:end w:val="single" w:sz="4" w:space="0" w:color="000000"/>
            </w:tcBorders>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2.1 Участок №1</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2.1.1</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Мачты освещения (южный блок)</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ЖО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2.1.2</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Мачты освещения (северный блок)</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ЖО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24</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2.1.3</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Мачты освещения (взрывное отделение, склад №23)</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ЖО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28</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2.1.4</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СИТ (склад импортной техники)</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2.1.5</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Колоннады №№ 1, 5, 6, 7, 8, 9, 10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81</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2.1.6</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Освещение участков огнерезной площадки</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8</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2.1.7</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Пресса, пресс-ножницы</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100</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2.2 Участок №2</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2.2.1</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8"/>
                <w:szCs w:val="18"/>
              </w:rPr>
            </w:pPr>
            <w:r>
              <w:rPr>
                <w:rFonts w:ascii="Verdana" w:hAnsi="Verdana"/>
                <w:color w:val="000000"/>
                <w:sz w:val="18"/>
                <w:szCs w:val="18"/>
              </w:rPr>
              <w:t>Мачты освещения</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ЖО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16</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2.2.2</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8"/>
                <w:szCs w:val="18"/>
              </w:rPr>
            </w:pPr>
            <w:r>
              <w:rPr>
                <w:rFonts w:ascii="Verdana" w:hAnsi="Verdana"/>
                <w:color w:val="000000"/>
                <w:sz w:val="18"/>
                <w:szCs w:val="18"/>
              </w:rPr>
              <w:t>Бойное отделение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2.2.3</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8"/>
                <w:szCs w:val="18"/>
              </w:rPr>
            </w:pPr>
            <w:r>
              <w:rPr>
                <w:rFonts w:ascii="Verdana" w:hAnsi="Verdana"/>
                <w:color w:val="000000"/>
                <w:sz w:val="18"/>
                <w:szCs w:val="18"/>
              </w:rPr>
              <w:t>Колоннады №1, 2, 3, 4, 5</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ЖО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73</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2.2.4</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8"/>
                <w:szCs w:val="18"/>
              </w:rPr>
            </w:pPr>
            <w:r>
              <w:rPr>
                <w:rFonts w:ascii="Verdana" w:hAnsi="Verdana"/>
                <w:color w:val="000000"/>
                <w:sz w:val="18"/>
                <w:szCs w:val="18"/>
              </w:rPr>
              <w:t>Освещение участков огнерезной площадки</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2.2.5</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8"/>
                <w:szCs w:val="18"/>
              </w:rPr>
            </w:pPr>
            <w:r>
              <w:rPr>
                <w:rFonts w:ascii="Verdana" w:hAnsi="Verdana"/>
                <w:color w:val="000000"/>
                <w:sz w:val="18"/>
                <w:szCs w:val="18"/>
              </w:rPr>
              <w:t>Пресса, пресс-ножницы</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2.3 Участок №3</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2.3.1</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Мачты освещения</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ЖО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16</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2.3.2</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Галерея щеточных машин</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20</w:t>
            </w:r>
          </w:p>
        </w:tc>
      </w:tr>
      <w:tr>
        <w:trPr>
          <w:trHeight w:val="250"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2.3.3</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Пресс-ножницы</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20</w:t>
            </w:r>
          </w:p>
        </w:tc>
      </w:tr>
      <w:tr>
        <w:trPr>
          <w:trHeight w:val="443" w:hRule="atLeast"/>
        </w:trPr>
        <w:tc>
          <w:tcPr>
            <w:tcW w:w="8371"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rPr>
                <w:rFonts w:ascii="Verdana" w:hAnsi="Verdana" w:eastAsia="Tahoma" w:cs="Tahoma"/>
                <w:b/>
                <w:bCs/>
                <w:color w:val="000000"/>
                <w:sz w:val="16"/>
                <w:szCs w:val="16"/>
              </w:rPr>
            </w:pPr>
            <w:r>
              <w:rPr>
                <w:rFonts w:eastAsia="Tahoma" w:cs="Tahoma" w:ascii="Verdana" w:hAnsi="Verdana"/>
                <w:b/>
                <w:bCs/>
                <w:color w:val="000000"/>
                <w:sz w:val="16"/>
                <w:szCs w:val="16"/>
                <w:lang w:bidi="ru-RU"/>
              </w:rPr>
              <w:t>Итого по копровому цеху</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b/>
                <w:bCs/>
                <w:color w:val="000000"/>
                <w:sz w:val="16"/>
                <w:szCs w:val="16"/>
                <w:lang w:bidi="ru-RU"/>
              </w:rPr>
              <w:t>495</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b/>
                <w:bCs/>
                <w:color w:val="000000"/>
                <w:sz w:val="16"/>
                <w:szCs w:val="16"/>
                <w:lang w:bidi="ru-RU"/>
              </w:rPr>
            </w:pPr>
            <w:r>
              <w:rPr>
                <w:rFonts w:eastAsia="Tahoma" w:cs="Tahoma" w:ascii="Verdana" w:hAnsi="Verdana"/>
                <w:b/>
                <w:bCs/>
                <w:color w:val="000000"/>
                <w:sz w:val="16"/>
                <w:szCs w:val="16"/>
                <w:lang w:bidi="ru-RU"/>
              </w:rPr>
              <w:t>3 ЦПАШ</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3.1 Отделение №1</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3.1.1</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Конвейер №2 (справа по ходу ленты)</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38</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3.1.2</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Конвейер №2 (слева по ходу ленты)</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38</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3.1.3</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Конвейер №1 (справа по ходу ленты от ПУ-1 до ПУ-2)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38</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3.1.4</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Конвейер №3 (слева по ходу ленты от ПУ-1 до ПУ-2)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38</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3.1.5</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Конвейер №7</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17</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9</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3.1.6</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Конвейер №8</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13</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4"/>
                <w:szCs w:val="14"/>
              </w:rPr>
            </w:pPr>
            <w:r>
              <w:rPr>
                <w:rFonts w:ascii="Verdana" w:hAnsi="Verdana"/>
                <w:color w:val="000000"/>
                <w:sz w:val="14"/>
                <w:szCs w:val="14"/>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15</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4"/>
                <w:szCs w:val="14"/>
              </w:rPr>
            </w:pPr>
            <w:r>
              <w:rPr>
                <w:rFonts w:ascii="Verdana" w:hAnsi="Verdana"/>
                <w:color w:val="000000"/>
                <w:sz w:val="14"/>
                <w:szCs w:val="14"/>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w:t>
            </w:r>
          </w:p>
        </w:tc>
      </w:tr>
      <w:tr>
        <w:trPr/>
        <w:tc>
          <w:tcPr>
            <w:tcW w:w="10377" w:type="dxa"/>
            <w:gridSpan w:val="8"/>
            <w:tcBorders>
              <w:top w:val="single" w:sz="4" w:space="0" w:color="000000"/>
              <w:start w:val="single" w:sz="4" w:space="0" w:color="000000"/>
              <w:bottom w:val="single" w:sz="4" w:space="0" w:color="000000"/>
              <w:end w:val="single" w:sz="4" w:space="0" w:color="000000"/>
            </w:tcBorders>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 Отделение №2</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ПУ-2 наружное освещение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ИО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ИО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3.2.2</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ПУ-3 наружное освещение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ИО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3.2.3</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ПУ-4 наружное освещение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ИО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3.2.4</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Временный склад, ж/д тупик №35. Мачты наружного освещения-7 шт.</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12</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ИО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6</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3.2.5</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Автогараж. Наружное освещение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8</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3.2.6</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КВО №5. Мачты наружного освещения -12 шт.</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12</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24</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3.2.7</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Конвейер №3</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22</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3.2.8</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Конвейер №4</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6</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22</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3.2.9</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Галерея ЛК №13 (справа по ходу ленты, боковое)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4"/>
                <w:szCs w:val="14"/>
                <w:lang w:bidi="ru-RU"/>
              </w:rPr>
            </w:pPr>
            <w:r>
              <w:rPr>
                <w:rFonts w:eastAsia="Tahoma" w:cs="Tahoma" w:ascii="Verdana" w:hAnsi="Verdana"/>
                <w:color w:val="000000"/>
                <w:sz w:val="14"/>
                <w:szCs w:val="14"/>
                <w:lang w:bidi="ru-RU"/>
              </w:rPr>
              <w:t>3.2.10</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Галерея ЛК №13 (потолочное)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33</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26</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4"/>
                <w:szCs w:val="14"/>
                <w:lang w:bidi="ru-RU"/>
              </w:rPr>
            </w:pPr>
            <w:r>
              <w:rPr>
                <w:rFonts w:eastAsia="Tahoma" w:cs="Tahoma" w:ascii="Verdana" w:hAnsi="Verdana"/>
                <w:color w:val="000000"/>
                <w:sz w:val="14"/>
                <w:szCs w:val="14"/>
                <w:lang w:bidi="ru-RU"/>
              </w:rPr>
              <w:t>3.2.11</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Галерея ЛК №14 (справа по ходу ленты, боковое)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4"/>
                <w:szCs w:val="14"/>
                <w:lang w:bidi="ru-RU"/>
              </w:rPr>
            </w:pPr>
            <w:r>
              <w:rPr>
                <w:rFonts w:eastAsia="Tahoma" w:cs="Tahoma" w:ascii="Verdana" w:hAnsi="Verdana"/>
                <w:color w:val="000000"/>
                <w:sz w:val="14"/>
                <w:szCs w:val="14"/>
                <w:lang w:bidi="ru-RU"/>
              </w:rPr>
              <w:t>3.2.12</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Галерея ЛК №14 (потолочное)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4"/>
                <w:szCs w:val="14"/>
                <w:lang w:bidi="ru-RU"/>
              </w:rPr>
            </w:pPr>
            <w:r>
              <w:rPr>
                <w:rFonts w:eastAsia="Tahoma" w:cs="Tahoma" w:ascii="Verdana" w:hAnsi="Verdana"/>
                <w:color w:val="000000"/>
                <w:sz w:val="14"/>
                <w:szCs w:val="14"/>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24</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4"/>
                <w:szCs w:val="14"/>
                <w:lang w:bidi="ru-RU"/>
              </w:rPr>
            </w:pPr>
            <w:r>
              <w:rPr>
                <w:rFonts w:eastAsia="Tahoma" w:cs="Tahoma" w:ascii="Verdana" w:hAnsi="Verdana"/>
                <w:color w:val="000000"/>
                <w:sz w:val="14"/>
                <w:szCs w:val="14"/>
                <w:lang w:bidi="ru-RU"/>
              </w:rPr>
              <w:t>3.2.13</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color w:val="000000"/>
                <w:sz w:val="16"/>
                <w:szCs w:val="16"/>
              </w:rPr>
              <w:t>ПУ-1 потолочное освещение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4"/>
                <w:szCs w:val="14"/>
                <w:lang w:bidi="ru-RU"/>
              </w:rPr>
            </w:pPr>
            <w:r>
              <w:rPr>
                <w:rFonts w:eastAsia="Tahoma" w:cs="Tahoma" w:ascii="Verdana" w:hAnsi="Verdana"/>
                <w:color w:val="000000"/>
                <w:sz w:val="14"/>
                <w:szCs w:val="14"/>
                <w:lang w:bidi="ru-RU"/>
              </w:rPr>
              <w:t>3.2.14</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color w:val="000000"/>
                <w:sz w:val="16"/>
                <w:szCs w:val="16"/>
              </w:rPr>
            </w:pPr>
            <w:r>
              <w:rPr>
                <w:rFonts w:ascii="Verdana" w:hAnsi="Verdana"/>
                <w:sz w:val="16"/>
                <w:szCs w:val="16"/>
              </w:rPr>
              <w:t>ПУ-4 потолочное освещение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4"/>
                <w:szCs w:val="14"/>
                <w:lang w:bidi="ru-RU"/>
              </w:rPr>
            </w:pPr>
            <w:r>
              <w:rPr>
                <w:rFonts w:eastAsia="Tahoma" w:cs="Tahoma" w:ascii="Verdana" w:hAnsi="Verdana"/>
                <w:color w:val="000000"/>
                <w:sz w:val="14"/>
                <w:szCs w:val="14"/>
                <w:lang w:bidi="ru-RU"/>
              </w:rPr>
              <w:t>3.2.15</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Мачты между ЦПАШ и аглофабрикой 4шт</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ЖО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РЛВД-600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6</w:t>
            </w:r>
          </w:p>
        </w:tc>
      </w:tr>
      <w:tr>
        <w:trPr/>
        <w:tc>
          <w:tcPr>
            <w:tcW w:w="8371"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rPr>
                <w:rFonts w:ascii="Verdana" w:hAnsi="Verdana" w:eastAsia="Tahoma" w:cs="Tahoma"/>
                <w:b/>
                <w:bCs/>
                <w:color w:val="000000"/>
                <w:sz w:val="16"/>
                <w:szCs w:val="16"/>
              </w:rPr>
            </w:pPr>
            <w:r>
              <w:rPr>
                <w:rFonts w:eastAsia="Tahoma" w:cs="Tahoma" w:ascii="Verdana" w:hAnsi="Verdana"/>
                <w:b/>
                <w:bCs/>
                <w:color w:val="000000"/>
                <w:sz w:val="16"/>
                <w:szCs w:val="16"/>
                <w:lang w:bidi="ru-RU"/>
              </w:rPr>
              <w:t>Итого по ЦПАШ</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b/>
                <w:bCs/>
                <w:color w:val="000000"/>
                <w:sz w:val="16"/>
                <w:szCs w:val="16"/>
                <w:lang w:bidi="ru-RU"/>
              </w:rPr>
              <w:t>552</w:t>
            </w:r>
          </w:p>
        </w:tc>
      </w:tr>
      <w:tr>
        <w:trPr/>
        <w:tc>
          <w:tcPr>
            <w:tcW w:w="10377" w:type="dxa"/>
            <w:gridSpan w:val="8"/>
            <w:tcBorders>
              <w:top w:val="single" w:sz="4" w:space="0" w:color="000000"/>
              <w:start w:val="single" w:sz="4" w:space="0" w:color="000000"/>
              <w:bottom w:val="single" w:sz="4" w:space="0" w:color="000000"/>
              <w:end w:val="single" w:sz="4" w:space="0" w:color="000000"/>
            </w:tcBorders>
          </w:tcPr>
          <w:p>
            <w:pPr>
              <w:pStyle w:val="Normal11"/>
              <w:tabs>
                <w:tab w:val="clear" w:pos="369"/>
                <w:tab w:val="left" w:pos="1276" w:leader="none"/>
                <w:tab w:val="left" w:pos="1430" w:leader="none"/>
              </w:tabs>
              <w:jc w:val="center"/>
              <w:rPr>
                <w:rFonts w:ascii="Verdana" w:hAnsi="Verdana" w:eastAsia="Tahoma" w:cs="Tahoma"/>
                <w:b/>
                <w:bCs/>
                <w:color w:val="000000"/>
                <w:sz w:val="16"/>
                <w:szCs w:val="16"/>
                <w:lang w:bidi="ru-RU"/>
              </w:rPr>
            </w:pPr>
            <w:r>
              <w:rPr>
                <w:rFonts w:eastAsia="Tahoma" w:cs="Tahoma" w:ascii="Verdana" w:hAnsi="Verdana"/>
                <w:b/>
                <w:bCs/>
                <w:color w:val="000000"/>
                <w:sz w:val="16"/>
                <w:szCs w:val="16"/>
                <w:lang w:bidi="ru-RU"/>
              </w:rPr>
              <w:t>4 ЦЖТ</w:t>
            </w:r>
          </w:p>
        </w:tc>
      </w:tr>
      <w:tr>
        <w:trPr/>
        <w:tc>
          <w:tcPr>
            <w:tcW w:w="10377" w:type="dxa"/>
            <w:gridSpan w:val="8"/>
            <w:tcBorders>
              <w:top w:val="single" w:sz="4" w:space="0" w:color="000000"/>
              <w:start w:val="single" w:sz="4" w:space="0" w:color="000000"/>
              <w:bottom w:val="single" w:sz="4" w:space="0" w:color="000000"/>
              <w:end w:val="single" w:sz="4" w:space="0" w:color="000000"/>
            </w:tcBorders>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4.1 Станция «Флюсовая»</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4.1.1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Пост №5</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РКУ</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РЛВД-250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6</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РКУ</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4.1.2</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Пост №6</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РКУ</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РЛВД-250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РКУ</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4.2 Станция «Доломитовая»</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4.2.1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Станция</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ИО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15</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РКУ</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4.3 Станция «Лисья гора»</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4.3.1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Станция</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ИО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РКУ</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РЛВД-250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РКУ</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w:t>
            </w:r>
          </w:p>
        </w:tc>
      </w:tr>
      <w:tr>
        <w:trPr/>
        <w:tc>
          <w:tcPr>
            <w:tcW w:w="8371"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rPr>
                <w:rFonts w:ascii="Verdana" w:hAnsi="Verdana" w:eastAsia="Tahoma" w:cs="Tahoma"/>
                <w:b/>
                <w:bCs/>
                <w:color w:val="000000"/>
                <w:sz w:val="16"/>
                <w:szCs w:val="16"/>
              </w:rPr>
            </w:pPr>
            <w:r>
              <w:rPr>
                <w:rFonts w:eastAsia="Tahoma" w:cs="Tahoma" w:ascii="Verdana" w:hAnsi="Verdana"/>
                <w:b/>
                <w:bCs/>
                <w:color w:val="000000"/>
                <w:sz w:val="16"/>
                <w:szCs w:val="16"/>
                <w:lang w:bidi="ru-RU"/>
              </w:rPr>
              <w:t>Итого по ЦЖТ</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b/>
                <w:bCs/>
                <w:color w:val="000000"/>
                <w:sz w:val="16"/>
                <w:szCs w:val="16"/>
                <w:lang w:bidi="ru-RU"/>
              </w:rPr>
              <w:t>46</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b/>
                <w:bCs/>
                <w:color w:val="000000"/>
                <w:sz w:val="16"/>
                <w:szCs w:val="16"/>
                <w:lang w:bidi="ru-RU"/>
              </w:rPr>
            </w:pPr>
            <w:r>
              <w:rPr>
                <w:rFonts w:eastAsia="Tahoma" w:cs="Tahoma" w:ascii="Verdana" w:hAnsi="Verdana"/>
                <w:b/>
                <w:bCs/>
                <w:color w:val="000000"/>
                <w:sz w:val="16"/>
                <w:szCs w:val="16"/>
                <w:lang w:bidi="ru-RU"/>
              </w:rPr>
              <w:t>5 ЭСПЦ</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5.1 Загрузочный пролет Д-Е</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5.1.1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Пролет Д-Е оси (1-17)</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70</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52</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5.1.2</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 Пролет Д-Е оси (17-35)</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145</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77</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5.1.3</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Пролет Д-Е оси (35-64)</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112</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84</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5.2 Печной пролет Г-Д</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5.2.1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Пролет Г-Д оси 1-17 Ремонт ковшей</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33</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12</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5.2.2</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Пролет Г-Д оси 17-37 ДСП №1, 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145</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77</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5.2.3</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Пролет Г-Д оси 37-64 МНЛЗ №5</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156</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50</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5.2.4</w:t>
            </w:r>
          </w:p>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Пролет Г-Д оси 64-69 Миксер №5</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30</w:t>
            </w:r>
          </w:p>
        </w:tc>
      </w:tr>
      <w:tr>
        <w:trPr>
          <w:trHeight w:val="276"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rPr>
            </w:pPr>
            <w:r>
              <w:rPr>
                <w:rFonts w:eastAsia="Tahoma" w:cs="Tahoma" w:ascii="Verdana" w:hAnsi="Verdana"/>
                <w:color w:val="000000"/>
                <w:sz w:val="16"/>
                <w:szCs w:val="16"/>
                <w:lang w:bidi="ru-RU"/>
              </w:rPr>
              <w:t>8</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5.3 Пролет В-Г</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5.3.1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МНЛЗ №1, 2 оси 0-14</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75</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21</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5.3.2</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Участок ковшей оси 14-48</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247</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74</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5.3.3</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МНЛЗ №5 оси 48-69</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128</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5.4 Пролет В-В"</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5.4.1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Оси 24-40 Ремонт промковшей</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45</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18</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5.5 Пролет Б-В</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5.5.1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Оси 10-23</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36</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9</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5.6 Пролет А-Б</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5.6.1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Оси 0-27 Склад готовой продукции</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108</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36</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5.7 Дворы</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5.7.1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Двор сыпучих Пролет А-Б оси 1-23</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80</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5.7.2</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Двор металла Пролет И-К оси 1 -27</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80</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5.7.3</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Наружное освещение</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ЖО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ЖКУ</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РЛВД-250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32</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5.8 Автопроезды</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5.8.1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Пролет Д-С оси 1-2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ЛН-200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5.8.2</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Пролет С-Е оси 1-14</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ЛН-200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27</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14</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5.8.3</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Пролет С-Е оси 17-29</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val="en-US" w:bidi="ru-RU"/>
              </w:rPr>
            </w:pPr>
            <w:r>
              <w:rPr>
                <w:rFonts w:eastAsia="Tahoma" w:cs="Tahoma" w:ascii="Verdana" w:hAnsi="Verdana"/>
                <w:color w:val="000000"/>
                <w:sz w:val="16"/>
                <w:szCs w:val="16"/>
                <w:lang w:bidi="ru-RU"/>
              </w:rPr>
              <w:t>НСП-21ВЕ</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ЛН-300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29</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val="en-US" w:bidi="ru-RU"/>
              </w:rPr>
            </w:pPr>
            <w:r>
              <w:rPr>
                <w:rFonts w:eastAsia="Tahoma" w:cs="Tahoma" w:ascii="Verdana" w:hAnsi="Verdana"/>
                <w:color w:val="000000"/>
                <w:sz w:val="16"/>
                <w:szCs w:val="16"/>
                <w:lang w:bidi="ru-RU"/>
              </w:rPr>
              <w:t>ЖСП-21ВЕ</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50</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5.8.4</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sz w:val="16"/>
                <w:szCs w:val="16"/>
              </w:rPr>
            </w:pPr>
            <w:r>
              <w:rPr>
                <w:rFonts w:ascii="Verdana" w:hAnsi="Verdana"/>
                <w:sz w:val="16"/>
                <w:szCs w:val="16"/>
              </w:rPr>
              <w:t>Пролет С-Е оси 29-37</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val="en-US" w:bidi="ru-RU"/>
              </w:rPr>
            </w:pPr>
            <w:r>
              <w:rPr>
                <w:rFonts w:eastAsia="Tahoma" w:cs="Tahoma" w:ascii="Verdana" w:hAnsi="Verdana"/>
                <w:color w:val="000000"/>
                <w:sz w:val="16"/>
                <w:szCs w:val="16"/>
                <w:lang w:bidi="ru-RU"/>
              </w:rPr>
              <w:t>НСП-21ВЕ</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ЛН-300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21</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val="en-US" w:bidi="ru-RU"/>
              </w:rPr>
            </w:pPr>
            <w:r>
              <w:rPr>
                <w:rFonts w:eastAsia="Tahoma" w:cs="Tahoma" w:ascii="Verdana" w:hAnsi="Verdana"/>
                <w:color w:val="000000"/>
                <w:sz w:val="16"/>
                <w:szCs w:val="16"/>
                <w:lang w:bidi="ru-RU"/>
              </w:rPr>
              <w:t>ЖСП-21ВЕ</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37</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5.8.5</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Пролет Д-Е оси 37-64</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25</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77</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5.8.6</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Пролет Б/1-В оси 13-22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12</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РСП-17В</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РЛВД-250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38</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5.9 Пролет А-Б (отдельно стоящее здание)</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5.9.1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Миксер №1 оси 1-8</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28</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8</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5.10 Пролет А-Б (отдельно стоящее здание)</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4"/>
                <w:szCs w:val="14"/>
                <w:lang w:bidi="ru-RU"/>
              </w:rPr>
            </w:pPr>
            <w:r>
              <w:rPr>
                <w:rFonts w:eastAsia="Tahoma" w:cs="Tahoma" w:ascii="Verdana" w:hAnsi="Verdana"/>
                <w:color w:val="000000"/>
                <w:sz w:val="14"/>
                <w:szCs w:val="14"/>
                <w:lang w:bidi="ru-RU"/>
              </w:rPr>
              <w:t>5.10.1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Оси 1-7 НФС АПК-3 (отм. 0.000)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РЛВД-250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16</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ЛН-500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6</w:t>
            </w:r>
          </w:p>
        </w:tc>
      </w:tr>
      <w:tr>
        <w:trPr>
          <w:trHeight w:val="345" w:hRule="atLeast"/>
        </w:trPr>
        <w:tc>
          <w:tcPr>
            <w:tcW w:w="8371"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rPr>
                <w:rFonts w:ascii="Verdana" w:hAnsi="Verdana" w:eastAsia="Tahoma" w:cs="Tahoma"/>
                <w:b/>
                <w:bCs/>
                <w:color w:val="000000"/>
                <w:sz w:val="16"/>
                <w:szCs w:val="16"/>
              </w:rPr>
            </w:pPr>
            <w:r>
              <w:rPr>
                <w:rFonts w:eastAsia="Tahoma" w:cs="Tahoma" w:ascii="Verdana" w:hAnsi="Verdana"/>
                <w:b/>
                <w:bCs/>
                <w:color w:val="000000"/>
                <w:sz w:val="16"/>
                <w:szCs w:val="16"/>
                <w:lang w:bidi="ru-RU"/>
              </w:rPr>
              <w:t>Итого по ЭСПЦ</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b/>
                <w:bCs/>
                <w:color w:val="000000"/>
                <w:sz w:val="16"/>
                <w:szCs w:val="16"/>
                <w:lang w:bidi="ru-RU"/>
              </w:rPr>
              <w:t>2563</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b/>
                <w:bCs/>
                <w:color w:val="000000"/>
                <w:sz w:val="16"/>
                <w:szCs w:val="16"/>
                <w:lang w:bidi="ru-RU"/>
              </w:rPr>
            </w:pPr>
            <w:r>
              <w:rPr>
                <w:rFonts w:eastAsia="Tahoma" w:cs="Tahoma" w:ascii="Verdana" w:hAnsi="Verdana"/>
                <w:b/>
                <w:bCs/>
                <w:color w:val="000000"/>
                <w:sz w:val="16"/>
                <w:szCs w:val="16"/>
                <w:lang w:bidi="ru-RU"/>
              </w:rPr>
              <w:t>6 УПП</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6.1 Участок оборудования №1</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6.1.1</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№77</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6.1.2</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№82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110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6.1.3</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№80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80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6.1.4</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Мачта №1</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6.1.5</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Мачта №2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6.1.6</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Мачта №3</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РЛВД-1000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6.2 Участок №1</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6.2.1</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№43</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РЛВД-250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6.2.2</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№20(13)</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ЛН-75</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26</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6.2.3</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№16</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ЛН-75</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26</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6.2.4</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№5(холодный)</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12</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6.2.5</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Ремонтный бокс</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РЛВД-250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18</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6.2.6</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№32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100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6.2.7</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Мачта освещения №1</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6.2.8</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Мачта освещения №2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ГО</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РЛВД-2000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НО</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С</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6.3 Участок Погрузка-выгрузка</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6.3.1</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№45</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99</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РЛВД-700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31</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6.3.2</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№33</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92</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6.3.3</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№30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ЛН-200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75</w:t>
            </w:r>
          </w:p>
        </w:tc>
      </w:tr>
      <w:tr>
        <w:trPr/>
        <w:tc>
          <w:tcPr>
            <w:tcW w:w="10377" w:type="dxa"/>
            <w:gridSpan w:val="8"/>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6.4 Участок ШДФ и НФП</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6.4.1</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№35</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НСП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ЛН-200*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265</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6.4.2</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№34</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75</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6.4.5</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№50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160</w:t>
            </w:r>
          </w:p>
        </w:tc>
      </w:tr>
      <w:tr>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6.4.6</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№56</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КР</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40</w:t>
            </w:r>
          </w:p>
        </w:tc>
      </w:tr>
      <w:tr>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t>6.4.7</w:t>
            </w:r>
          </w:p>
        </w:tc>
        <w:tc>
          <w:tcPr>
            <w:tcW w:w="1843" w:type="dxa"/>
            <w:vMerge w:val="restart"/>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t>Склад №54</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РЛВД-400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38</w:t>
            </w:r>
          </w:p>
        </w:tc>
      </w:tr>
      <w:tr>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rPr>
                <w:rFonts w:ascii="Verdana" w:hAnsi="Verdana" w:eastAsia="Tahoma" w:cs="Tahoma"/>
                <w:color w:val="000000"/>
                <w:sz w:val="16"/>
                <w:szCs w:val="16"/>
                <w:lang w:bidi="ru-RU"/>
              </w:rPr>
            </w:pPr>
            <w:r>
              <w:rPr>
                <w:rFonts w:eastAsia="Tahoma" w:cs="Tahoma" w:ascii="Verdana" w:hAnsi="Verdana"/>
                <w:color w:val="000000"/>
                <w:sz w:val="16"/>
                <w:szCs w:val="16"/>
                <w:lang w:bidi="ru-RU"/>
              </w:rPr>
            </w:r>
          </w:p>
        </w:tc>
        <w:tc>
          <w:tcPr>
            <w:tcW w:w="1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sz w:val="16"/>
                <w:szCs w:val="16"/>
              </w:rPr>
            </w:pPr>
            <w:r>
              <w:rPr>
                <w:rFonts w:ascii="Verdana" w:hAnsi="Verdana"/>
                <w:sz w:val="16"/>
                <w:szCs w:val="16"/>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4"/>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РСП</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РЛВД-250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Д</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ОС</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color w:val="000000"/>
                <w:sz w:val="16"/>
                <w:szCs w:val="16"/>
                <w:lang w:bidi="ru-RU"/>
              </w:rPr>
              <w:t>27</w:t>
            </w:r>
          </w:p>
        </w:tc>
      </w:tr>
      <w:tr>
        <w:trPr/>
        <w:tc>
          <w:tcPr>
            <w:tcW w:w="8371"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rPr>
                <w:rFonts w:ascii="Verdana" w:hAnsi="Verdana" w:eastAsia="Tahoma" w:cs="Tahoma"/>
                <w:b/>
                <w:bCs/>
                <w:color w:val="000000"/>
                <w:sz w:val="16"/>
                <w:szCs w:val="16"/>
              </w:rPr>
            </w:pPr>
            <w:r>
              <w:rPr>
                <w:rFonts w:eastAsia="Tahoma" w:cs="Tahoma" w:ascii="Verdana" w:hAnsi="Verdana"/>
                <w:b/>
                <w:bCs/>
                <w:color w:val="000000"/>
                <w:sz w:val="16"/>
                <w:szCs w:val="16"/>
                <w:lang w:bidi="ru-RU"/>
              </w:rPr>
              <w:t>Итого по УПП</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b/>
                <w:bCs/>
                <w:color w:val="000000"/>
                <w:sz w:val="16"/>
                <w:szCs w:val="16"/>
                <w:lang w:bidi="ru-RU"/>
              </w:rPr>
              <w:t>1329</w:t>
            </w:r>
          </w:p>
        </w:tc>
      </w:tr>
      <w:tr>
        <w:trPr>
          <w:trHeight w:val="191" w:hRule="atLeast"/>
        </w:trPr>
        <w:tc>
          <w:tcPr>
            <w:tcW w:w="8371"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exact" w:line="191"/>
              <w:rPr>
                <w:rFonts w:ascii="Verdana" w:hAnsi="Verdana" w:eastAsia="Tahoma" w:cs="Tahoma"/>
                <w:color w:val="000000"/>
                <w:sz w:val="16"/>
                <w:szCs w:val="16"/>
                <w:lang w:bidi="ru-RU"/>
              </w:rPr>
            </w:pPr>
            <w:r>
              <w:rPr>
                <w:rFonts w:eastAsia="Tahoma" w:cs="Tahoma" w:ascii="Verdana" w:hAnsi="Verdana"/>
                <w:b/>
                <w:bCs/>
                <w:color w:val="000000"/>
                <w:sz w:val="16"/>
                <w:szCs w:val="16"/>
                <w:lang w:bidi="ru-RU"/>
              </w:rPr>
              <w:t>Всего</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11"/>
              <w:tabs>
                <w:tab w:val="clear" w:pos="369"/>
                <w:tab w:val="left" w:pos="1276" w:leader="none"/>
                <w:tab w:val="left" w:pos="1430" w:leader="none"/>
              </w:tabs>
              <w:jc w:val="center"/>
              <w:rPr>
                <w:rFonts w:ascii="Verdana" w:hAnsi="Verdana" w:eastAsia="Tahoma" w:cs="Tahoma"/>
                <w:color w:val="000000"/>
                <w:sz w:val="16"/>
                <w:szCs w:val="16"/>
                <w:lang w:bidi="ru-RU"/>
              </w:rPr>
            </w:pPr>
            <w:r>
              <w:rPr>
                <w:rFonts w:eastAsia="Tahoma" w:cs="Tahoma" w:ascii="Verdana" w:hAnsi="Verdana"/>
                <w:b/>
                <w:bCs/>
                <w:color w:val="000000"/>
                <w:sz w:val="16"/>
                <w:szCs w:val="16"/>
                <w:lang w:bidi="ru-RU"/>
              </w:rPr>
              <w:t>5225</w:t>
            </w:r>
          </w:p>
        </w:tc>
      </w:tr>
    </w:tbl>
    <w:p>
      <w:pPr>
        <w:pStyle w:val="Normal11"/>
        <w:shd w:val="clear" w:color="auto" w:fill="FFFFFF"/>
        <w:tabs>
          <w:tab w:val="clear" w:pos="369"/>
          <w:tab w:val="left" w:pos="1276" w:leader="none"/>
        </w:tabs>
        <w:ind w:start="-142"/>
        <w:rPr>
          <w:rFonts w:ascii="Verdana" w:hAnsi="Verdana"/>
          <w:sz w:val="22"/>
          <w:szCs w:val="22"/>
        </w:rPr>
      </w:pPr>
      <w:r>
        <w:rPr>
          <w:rFonts w:ascii="Verdana" w:hAnsi="Verdana"/>
          <w:sz w:val="22"/>
          <w:szCs w:val="22"/>
          <w:lang w:val="en-US"/>
        </w:rPr>
        <w:t xml:space="preserve">* </w:t>
      </w:r>
      <w:r>
        <w:rPr>
          <w:rFonts w:ascii="Verdana" w:hAnsi="Verdana"/>
          <w:sz w:val="22"/>
          <w:szCs w:val="22"/>
        </w:rPr>
        <w:t>светильники взрывозащищенного исполнения.</w:t>
      </w:r>
    </w:p>
    <w:p>
      <w:pPr>
        <w:pStyle w:val="Normal11"/>
        <w:shd w:val="clear" w:color="auto" w:fill="FFFFFF"/>
        <w:tabs>
          <w:tab w:val="clear" w:pos="369"/>
          <w:tab w:val="left" w:pos="1276" w:leader="none"/>
          <w:tab w:val="left" w:pos="1430" w:leader="none"/>
        </w:tabs>
        <w:ind w:start="709"/>
        <w:jc w:val="center"/>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ind w:start="709"/>
        <w:jc w:val="end"/>
        <w:rPr>
          <w:rFonts w:ascii="Verdana" w:hAnsi="Verdana"/>
          <w:sz w:val="22"/>
          <w:szCs w:val="22"/>
        </w:rPr>
      </w:pPr>
      <w:r>
        <w:rPr>
          <w:rFonts w:ascii="Verdana" w:hAnsi="Verdana"/>
          <w:sz w:val="22"/>
          <w:szCs w:val="22"/>
        </w:rPr>
        <w:t>Таблица 2</w:t>
      </w:r>
    </w:p>
    <w:p>
      <w:pPr>
        <w:pStyle w:val="Normal11"/>
        <w:shd w:val="clear" w:color="auto" w:fill="FFFFFF"/>
        <w:tabs>
          <w:tab w:val="clear" w:pos="369"/>
          <w:tab w:val="left" w:pos="1276" w:leader="none"/>
          <w:tab w:val="left" w:pos="1430" w:leader="none"/>
        </w:tabs>
        <w:ind w:start="709"/>
        <w:jc w:val="center"/>
        <w:rPr>
          <w:rFonts w:ascii="Verdana" w:hAnsi="Verdana"/>
          <w:sz w:val="22"/>
          <w:szCs w:val="22"/>
        </w:rPr>
      </w:pPr>
      <w:r>
        <w:rPr>
          <w:rFonts w:ascii="Verdana" w:hAnsi="Verdana"/>
          <w:sz w:val="22"/>
          <w:szCs w:val="22"/>
        </w:rPr>
        <w:t>Базовые суточное и годовое потребление электрической энергии осветительными установками объектов разработки</w:t>
      </w:r>
    </w:p>
    <w:tbl>
      <w:tblPr>
        <w:tblStyle w:val="afff1"/>
        <w:tblW w:w="10631" w:type="dxa"/>
        <w:jc w:val="start"/>
        <w:tblInd w:w="-284" w:type="dxa"/>
        <w:tblLayout w:type="fixed"/>
        <w:tblCellMar>
          <w:top w:w="0" w:type="dxa"/>
          <w:start w:w="0" w:type="dxa"/>
          <w:bottom w:w="0" w:type="dxa"/>
          <w:end w:w="0" w:type="dxa"/>
        </w:tblCellMar>
        <w:tblLook w:val="04a0" w:noHBand="0" w:noVBand="1" w:firstColumn="1" w:lastRow="0" w:lastColumn="0" w:firstRow="1"/>
      </w:tblPr>
      <w:tblGrid>
        <w:gridCol w:w="764"/>
        <w:gridCol w:w="1435"/>
        <w:gridCol w:w="753"/>
        <w:gridCol w:w="867"/>
        <w:gridCol w:w="569"/>
        <w:gridCol w:w="687"/>
        <w:gridCol w:w="735"/>
        <w:gridCol w:w="1275"/>
        <w:gridCol w:w="1277"/>
        <w:gridCol w:w="1558"/>
        <w:gridCol w:w="711"/>
      </w:tblGrid>
      <w:tr>
        <w:trPr>
          <w:trHeight w:val="1800"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xml:space="preserve">№ </w:t>
            </w:r>
            <w:r>
              <w:rPr>
                <w:rFonts w:eastAsia="Verdana" w:cs="Verdana" w:ascii="Verdana" w:hAnsi="Verdana"/>
                <w:color w:val="000000"/>
                <w:kern w:val="0"/>
                <w:sz w:val="16"/>
                <w:lang w:val="ru-RU" w:bidi="ar-SA"/>
              </w:rPr>
              <w:t>п.п.</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Отделение/участок</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Мощность Pjном, кВт</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Количество z, шт</w:t>
              <w:br/>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Коэфф. потерь kпj</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Фонд рабочего времени Фi, часов</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Количество часов работы в сутки Ti, часов</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Установленная мощность с учетом коэффициента потерь Pjбаз, кВт</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Суточное потребление ЭЭ Wбаз, кВт*час</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Электропотребление в год, кВтч</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Примечания</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20"/>
                <w:lang w:val="ru-RU" w:bidi="ar-SA"/>
              </w:rPr>
              <w:t>1 Аглоцех</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Освещение над галереей СК-1</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20,600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494,40000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180 456,0000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Освещение над галереей СК-2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20,600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494,40000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180 456,0000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Освещение штабеля СК-1</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31,920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766,08000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279 619,2000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1.4</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Освещение штабеля СК-2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31,920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766,08000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279 619,2000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1.5</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Боковое освещение СК-1</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9,120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218,88000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79 891,2000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1.6</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Боковое освещение СК-2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9,120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218,88000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79 891,2000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Освещение отм. +0,0 ось К</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273,60000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99 864,0000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799" w:hRule="atLeast"/>
        </w:trPr>
        <w:tc>
          <w:tcPr>
            <w:tcW w:w="5810" w:type="dxa"/>
            <w:gridSpan w:val="7"/>
            <w:tcBorders>
              <w:top w:val="single" w:sz="6" w:space="0" w:color="000000"/>
              <w:start w:val="single" w:sz="6" w:space="0" w:color="000000"/>
              <w:bottom w:val="single" w:sz="6" w:space="0" w:color="000000"/>
              <w:end w:val="nil"/>
            </w:tcBorders>
            <w:vAlign w:val="center"/>
          </w:tcPr>
          <w:p>
            <w:pPr>
              <w:pStyle w:val="Normal"/>
              <w:widowControl/>
              <w:spacing w:before="0" w:after="0"/>
              <w:jc w:val="start"/>
              <w:rPr>
                <w:b/>
                <w:bCs/>
              </w:rPr>
            </w:pPr>
            <w:r>
              <w:rPr>
                <w:rFonts w:eastAsia="Verdana" w:cs="Verdana" w:ascii="Verdana" w:hAnsi="Verdana"/>
                <w:b/>
                <w:bCs/>
                <w:color w:val="000000"/>
                <w:kern w:val="0"/>
                <w:sz w:val="16"/>
                <w:lang w:val="ru-RU" w:bidi="ar-SA"/>
              </w:rPr>
              <w:t>Итого по аглоцеху</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134,680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3 232,32000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1 179 796,8000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20"/>
                <w:lang w:val="ru-RU" w:bidi="ar-SA"/>
              </w:rPr>
              <w:t>2 Копровый цех</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 Участок №1</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2.1.1</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Мачты освещения (южный блок)</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46,400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495,90795</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181 006,4000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450"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2.1.2</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Мачты освещения (северный блок)</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27,840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297,54477</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108 603,8400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37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2.1.3</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Мачты освещения (взрывное отделение, склад №23)</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32,480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347,13556</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126 704,4800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2.1.4</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СИТ (склад импортной техники)</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9,120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97,47156</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35 577,1200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480"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2.1.5</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Колоннады №№ 1, 5, 6, 7, 8, 9, 10</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81</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65,772</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702,94951</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256 576,5720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49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2.1.6</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Освещение участков огнерезной площадки</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4,200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44,88822</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16 384,2000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2.1.7</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Пресса, пресс-ножницы</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79,800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1 915,20000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699 048,0000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 Участок №2</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2.2.1</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xml:space="preserve">Мачты освещения </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18,560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198,36318</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72 402,5600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2.2.2</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Бойное отделение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4,640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49,59079</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18 100,6400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2.2.3</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Колоннады №1, 2, 3, 4, 5</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73</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84,680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905,03200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330 336,6800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420"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2.2.4</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Освещение участков огнерезной площадки</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3,675</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39,27719</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14 336,1750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2.2.5</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Пресса, пресс-ножницы</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31,920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766,08000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279 619,2000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2.3 Участок №3</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2.3.1</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xml:space="preserve">Мачты освещения </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18,560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198,36318</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72 402,5600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2.3.2</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xml:space="preserve">Галерея щеточных машин </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9,280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99,18159</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36 201,2800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2.3.3</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Пресс-ножницы</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247,20000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90 228,0000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5810" w:type="dxa"/>
            <w:gridSpan w:val="7"/>
            <w:tcBorders>
              <w:top w:val="single" w:sz="6" w:space="0" w:color="000000"/>
              <w:start w:val="single" w:sz="6" w:space="0" w:color="000000"/>
              <w:bottom w:val="single" w:sz="6" w:space="0" w:color="000000"/>
              <w:end w:val="nil"/>
            </w:tcBorders>
            <w:vAlign w:val="center"/>
          </w:tcPr>
          <w:p>
            <w:pPr>
              <w:pStyle w:val="Normal"/>
              <w:widowControl/>
              <w:spacing w:before="0" w:after="0"/>
              <w:jc w:val="start"/>
              <w:rPr>
                <w:b/>
                <w:bCs/>
              </w:rPr>
            </w:pPr>
            <w:r>
              <w:rPr>
                <w:rFonts w:eastAsia="Verdana" w:cs="Verdana" w:ascii="Verdana" w:hAnsi="Verdana"/>
                <w:b/>
                <w:bCs/>
                <w:color w:val="000000"/>
                <w:kern w:val="0"/>
                <w:sz w:val="16"/>
                <w:lang w:val="ru-RU" w:bidi="ar-SA"/>
              </w:rPr>
              <w:t>Итого по копровому цеху</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447,227</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6 404,18550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2 337 527,7070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20"/>
                <w:lang w:val="ru-RU" w:bidi="ar-SA"/>
              </w:rPr>
              <w:t>3 ЦПАШ</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 Отделение №1</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40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3.1.1</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Конвейер №2 (справа по ходу ленты)</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19,570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469,68000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171 433,2000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540"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3.1.2</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Конвейер №2 (слева по ходу ленты)</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19,570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469,68000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171 433,2000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40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3.1.3</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Конвейер №1 (справа по ходу ленты от ПУ-1 до ПУ-2)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19,570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469,68000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171 433,2000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480"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3.1.4</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Конвейер №3 (слева по ходу ленты от ПУ-1 до ПУ-2)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19,570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469,68000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171 433,2000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3.1.5</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Конвейер №7</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1,751</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42,02400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15 338,7600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4,635</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111,24000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40 602,6000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3.1.6</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Конвейер №8</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1,339</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32,13600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11 729,6400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7,725</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185,40000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67 671,0000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0,912</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21,88800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7 989,1200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 Отделение №2</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41"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ПУ-2 наружное освещение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22,44411</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8 192,1000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112,22055</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40 960,5000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3.2.2</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ПУ-3 наружное освещение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112,22055</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40 960,5000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3.2.3</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ПУ-4 наружное освещение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224,44110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81 921,0000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3.2.4</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Временный склад, ж/д тупик №35. Мачты наружного освещения-7 шт.</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13,920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148,77238</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54 301,9200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330"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31,500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336,66164</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122 881,5000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3.2.5</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Автогараж. Наружное освещение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3,712</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39,67264</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14 480,5120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3.2.6</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КВО №5. Мачты наружного освещения -12 шт.</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5,568</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59,50895</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21 720,7680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27,840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297,54477</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108 603,8400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3.2.7</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Конвейер №3</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3,192</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76,60800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27 961,9200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11,330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271,92000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99 250,8000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3.2.8</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Конвейер №4</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4,788</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114,91200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41 942,8800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11,330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271,92000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99 250,8000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480"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3.2.9</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Галерея ЛК №13 (справа по ходу ленты, боковое)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20,600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494,40000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180 456,0000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3.2.10</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Галерея ЛК №13 (потолочное)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33</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26,334</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632,01600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230 685,8400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13,390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321,36000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117 296,4000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43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3.2.11</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Галерея ЛК №14 (справа по ходу ленты, боковое)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20,600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494,40000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180 456,0000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3.2.12</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Галерея ЛК №14 (потолочное)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25,536</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612,86400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223 695,3600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12,360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296,64000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108 273,6000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3.2.13</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ПУ-1 потолочное освещение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7,980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191,52000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69 904,8000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3.2.14</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ПУ-4 потолочное освещение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5,586</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134,06400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48 933,3600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3.2.15</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Мачты между ЦПАШ и аглофабрикой 4шт</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0,6</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0,630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6,73323</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2 457,6300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0,6</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0,630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6,73323</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2 457,6300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0,6</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13,46647</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4 915,2600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0,6</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13,46647</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4 915,2600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5810" w:type="dxa"/>
            <w:gridSpan w:val="7"/>
            <w:tcBorders>
              <w:top w:val="single" w:sz="6" w:space="0" w:color="000000"/>
              <w:start w:val="single" w:sz="6" w:space="0" w:color="000000"/>
              <w:bottom w:val="single" w:sz="6" w:space="0" w:color="000000"/>
              <w:end w:val="nil"/>
            </w:tcBorders>
            <w:vAlign w:val="center"/>
          </w:tcPr>
          <w:p>
            <w:pPr>
              <w:pStyle w:val="Normal"/>
              <w:widowControl/>
              <w:spacing w:before="0" w:after="0"/>
              <w:jc w:val="start"/>
              <w:rPr>
                <w:b/>
                <w:bCs/>
              </w:rPr>
            </w:pPr>
            <w:r>
              <w:rPr>
                <w:rFonts w:eastAsia="Verdana" w:cs="Verdana" w:ascii="Verdana" w:hAnsi="Verdana"/>
                <w:b/>
                <w:bCs/>
                <w:color w:val="000000"/>
                <w:kern w:val="0"/>
                <w:sz w:val="16"/>
                <w:lang w:val="ru-RU" w:bidi="ar-SA"/>
              </w:rPr>
              <w:t>Итого по ЦПАШ</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388,088</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7 577,91808</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2 765 940,1000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20"/>
                <w:lang w:val="ru-RU" w:bidi="ar-SA"/>
              </w:rPr>
              <w:t>4 ЦЖТ</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nil"/>
              <w:end w:val="single" w:sz="6" w:space="0" w:color="000000"/>
            </w:tcBorders>
            <w:vAlign w:val="center"/>
          </w:tcPr>
          <w:p>
            <w:pPr>
              <w:pStyle w:val="Normal"/>
              <w:widowControl/>
              <w:spacing w:before="0" w:after="0"/>
              <w:jc w:val="center"/>
              <w:rPr>
                <w:rFonts w:ascii="Verdana" w:hAnsi="Verdana" w:eastAsia="Verdana" w:cs="Verdana"/>
                <w:color w:val="000000"/>
                <w:sz w:val="16"/>
              </w:rPr>
            </w:pPr>
            <w:r>
              <w:rPr>
                <w:rFonts w:eastAsia="Verdana" w:cs="Verdana" w:ascii="Verdana" w:hAnsi="Verdana"/>
                <w:color w:val="000000"/>
                <w:kern w:val="0"/>
                <w:sz w:val="16"/>
                <w:lang w:val="ru-RU" w:bidi="ar-SA"/>
              </w:rPr>
              <w:t>4.1 Станция «Флюсовая»</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Verdana" w:hAnsi="Verdana" w:eastAsia="Verdana" w:cs="Verdana"/>
                <w:color w:val="000000"/>
                <w:sz w:val="16"/>
              </w:rPr>
            </w:pPr>
            <w:r>
              <w:rPr>
                <w:rFonts w:eastAsia="Verdana" w:cs="Verdana" w:ascii="Verdana" w:hAnsi="Verdana"/>
                <w:color w:val="000000"/>
                <w:kern w:val="0"/>
                <w:sz w:val="16"/>
                <w:lang w:val="ru-RU" w:bidi="ar-SA"/>
              </w:rPr>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sz w:val="16"/>
                <w:szCs w:val="16"/>
              </w:rPr>
            </w:pPr>
            <w:r>
              <w:rPr>
                <w:rFonts w:eastAsia="Verdana" w:cs="Verdana" w:ascii="Verdana" w:hAnsi="Verdana"/>
                <w:kern w:val="0"/>
                <w:sz w:val="16"/>
                <w:szCs w:val="16"/>
                <w:lang w:val="ru-RU" w:bidi="ar-SA"/>
              </w:rPr>
              <w:t>4.1.1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xml:space="preserve">Пост №5 </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4144</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11,35</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1,740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19,75496</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7 210,5600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4144</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11,35</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0,928</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10,53598</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3 845,6320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4.1.2</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Пост №6</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4144</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11,35</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1,450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16,46247</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6 008,8000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4144</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11,35</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2,320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26,33995</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9 614,0800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nil"/>
              <w:end w:val="single" w:sz="6" w:space="0" w:color="000000"/>
            </w:tcBorders>
            <w:vAlign w:val="center"/>
          </w:tcPr>
          <w:p>
            <w:pPr>
              <w:pStyle w:val="Normal"/>
              <w:widowControl/>
              <w:spacing w:before="0" w:after="0"/>
              <w:jc w:val="center"/>
              <w:rPr>
                <w:rFonts w:ascii="Verdana" w:hAnsi="Verdana" w:eastAsia="Verdana" w:cs="Verdana"/>
                <w:color w:val="000000"/>
                <w:sz w:val="16"/>
              </w:rPr>
            </w:pPr>
            <w:r>
              <w:rPr>
                <w:rFonts w:eastAsia="Verdana" w:cs="Verdana" w:ascii="Verdana" w:hAnsi="Verdana"/>
                <w:color w:val="000000"/>
                <w:kern w:val="0"/>
                <w:sz w:val="16"/>
                <w:lang w:val="ru-RU" w:bidi="ar-SA"/>
              </w:rPr>
              <w:t>4.2 Станция «Доломитовая»</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Verdana" w:hAnsi="Verdana" w:eastAsia="Verdana" w:cs="Verdana"/>
                <w:color w:val="000000"/>
                <w:sz w:val="16"/>
              </w:rPr>
            </w:pPr>
            <w:r>
              <w:rPr>
                <w:rFonts w:eastAsia="Verdana" w:cs="Verdana" w:ascii="Verdana" w:hAnsi="Verdana"/>
                <w:color w:val="000000"/>
                <w:kern w:val="0"/>
                <w:sz w:val="16"/>
                <w:lang w:val="ru-RU" w:bidi="ar-SA"/>
              </w:rPr>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4.2.1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Ст. Доломитовая</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4144</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11,35</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15,750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178,81644</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65 268,0000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4144</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11,35</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13,16997</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4 807,0400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4144</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11,35</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2,320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26,33995</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9 614,0800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nil"/>
              <w:end w:val="single" w:sz="6" w:space="0" w:color="000000"/>
            </w:tcBorders>
            <w:vAlign w:val="center"/>
          </w:tcPr>
          <w:p>
            <w:pPr>
              <w:pStyle w:val="Normal"/>
              <w:widowControl/>
              <w:spacing w:before="0" w:after="0"/>
              <w:jc w:val="center"/>
              <w:rPr>
                <w:rFonts w:ascii="Verdana" w:hAnsi="Verdana" w:eastAsia="Verdana" w:cs="Verdana"/>
                <w:color w:val="000000"/>
                <w:sz w:val="16"/>
              </w:rPr>
            </w:pPr>
            <w:r>
              <w:rPr>
                <w:rFonts w:eastAsia="Verdana" w:cs="Verdana" w:ascii="Verdana" w:hAnsi="Verdana"/>
                <w:color w:val="000000"/>
                <w:kern w:val="0"/>
                <w:sz w:val="16"/>
                <w:lang w:val="ru-RU" w:bidi="ar-SA"/>
              </w:rPr>
              <w:t>4.3 Станция «Лисья гора»</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Verdana" w:hAnsi="Verdana" w:eastAsia="Verdana" w:cs="Verdana"/>
                <w:color w:val="000000"/>
                <w:sz w:val="16"/>
              </w:rPr>
            </w:pPr>
            <w:r>
              <w:rPr>
                <w:rFonts w:eastAsia="Verdana" w:cs="Verdana" w:ascii="Verdana" w:hAnsi="Verdana"/>
                <w:color w:val="000000"/>
                <w:kern w:val="0"/>
                <w:sz w:val="16"/>
                <w:lang w:val="ru-RU" w:bidi="ar-SA"/>
              </w:rPr>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4.3.1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Ст. Лисья гора</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4144</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11,35</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15,750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178,81644</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65 268,0000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4144</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11,35</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0,580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6,58499</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2 403,5200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4144</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11,35</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0,928</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10,53598</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3 845,6320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5810" w:type="dxa"/>
            <w:gridSpan w:val="7"/>
            <w:tcBorders>
              <w:top w:val="single" w:sz="6" w:space="0" w:color="000000"/>
              <w:start w:val="single" w:sz="6" w:space="0" w:color="000000"/>
              <w:bottom w:val="single" w:sz="6" w:space="0" w:color="000000"/>
              <w:end w:val="nil"/>
            </w:tcBorders>
            <w:vAlign w:val="center"/>
          </w:tcPr>
          <w:p>
            <w:pPr>
              <w:pStyle w:val="Normal"/>
              <w:widowControl/>
              <w:spacing w:before="0" w:after="0"/>
              <w:jc w:val="start"/>
              <w:rPr>
                <w:b/>
                <w:bCs/>
              </w:rPr>
            </w:pPr>
            <w:r>
              <w:rPr>
                <w:rFonts w:eastAsia="Verdana" w:cs="Verdana" w:ascii="Verdana" w:hAnsi="Verdana"/>
                <w:b/>
                <w:bCs/>
                <w:color w:val="000000"/>
                <w:kern w:val="0"/>
                <w:sz w:val="16"/>
                <w:lang w:val="ru-RU" w:bidi="ar-SA"/>
              </w:rPr>
              <w:t>Итого по ЦЖТ</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42,926</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487,35711</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177 885,3440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20"/>
                <w:lang w:val="ru-RU" w:bidi="ar-SA"/>
              </w:rPr>
              <w:t>5 ЭСПЦ</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5.1 Загрузочный пролет Д-Е</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5.1.1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Пролет Д-Е оси (1-17)</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55,860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1 340,64000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489 333,6000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53,560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1 285,44000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469 185,6000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5.1.2</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xml:space="preserve">Пролет Д-Е оси (17-35) </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145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115,710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2 777,04000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1 013 619,6000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77</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79,310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1 903,44000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694 755,6000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5.1.3</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Пролет Д-Е оси (35-64)</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51,072</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1 225,72800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447 390,7200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84</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43,260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1 038,24000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378 957,6000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5.2 Печной пролет Г-Д</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5.2.1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Пролет Г-Д оси 1-17 Ремонт ковшей</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33</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26,334</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632,01600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230 685,8400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12,360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296,64000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108 273,6000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5.2.2</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Пролет Г-Д оси 17-37 ДСП №1, 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145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115,710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2 777,04000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1 013 619,6000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77</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79,310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1 903,44000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694 755,6000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5.2.3</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xml:space="preserve">Пролет Г-Д оси 37-64 МНЛЗ №5 </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156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124,488</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2 987,71200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1 090 514,8800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51,500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1 236,00000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451 140,0000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5.2.4</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xml:space="preserve">Пролет Г-Д оси 64-69 Миксер №5 </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23,940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574,56000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209 714,4000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8,240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197,76000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72 182,4000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5.3 Пролет В-Г</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5.3.1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МНЛЗ №1, 2 оси 0-14</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59,850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1 436,40000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524 286,0000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21,630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519,12000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189 478,8000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5.3.2</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Участок ковшей оси 14-48</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247</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197,106</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4 730,54400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1 726 648,5600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74</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76,220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1 829,28000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667 687,2000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5.3.3</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МНЛЗ №5 оси 48-69</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102,144</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2 451,45600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894 781,4400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41,200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988,80000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360 912,0000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5.4 Пролет В-В"</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5.4.1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Оси 24-40 Ремонт промковшей</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35,910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861,84000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314 571,6000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18,540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444,96000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162 410,4000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5.5 Пролет Б-В</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5.5.1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xml:space="preserve">Оси 10-23 </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28,728</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689,47200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251 657,2800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9,270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222,48000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81 205,2000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5.6 Пролет А-Б</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5.6.1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Оси 0-27 Склад готовой продукции</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86,184</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2 068,41600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754 971,8400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37,080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889,92000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324 820,8000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5.7 Дворы</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5.7.1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Двор сыпучих Пролет А-Б оси 1-23</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63,840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1 532,16000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559 238,4000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41,200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988,80000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360 912,0000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5.7.2</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Двор металла Пролет И-К оси 1 -27</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63,840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1 532,16000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559 238,4000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41,200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988,80000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360 912,0000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5.7.3</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Наружное освещение</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4,640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49,59079</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18 100,6400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9,280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99,18159</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36 201,2800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 Автопроезды</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Пролет Д-С оси 1-2.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1,442</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34,60800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12 631,9200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49,44000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18 045,6000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5.8.2</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Пролет С-Е оси 1-14</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5,562</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133,48800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48 723,1200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14</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7,210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173,04000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63 159,6000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5.8.3</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Пролет С-Е оси 17-29</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0,3</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29</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8,961</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215,06400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78 498,3600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5,700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136,80000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49 932,0000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5.8.4</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Пролет С-Е оси 29-37</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0,3</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6,489</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155,73600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56 843,6400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37</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4,218</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101,23200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36 949,6800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5.8.5</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Пролет Д-Е оси 37-64</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12,875</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309,00000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112 785,0000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77</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35,112</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842,68800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307 581,1200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5.8.6</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Пролет Б/1-В оси 13-22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6,180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148,32000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54 136,8000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10,830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259,92000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94 870,8000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5.9 Пролет А-Б (отдельно стоящее здание)</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5.9.1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Миксер №1 оси 1-8</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22,344</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536,25600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195 733,4400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8,240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197,76000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72 182,4000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r>
      <w:tr>
        <w:trPr>
          <w:trHeight w:val="28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5.10 Пролет А-Б (отдельно стоящее здание)</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5.10.1</w:t>
            </w:r>
          </w:p>
        </w:tc>
        <w:tc>
          <w:tcPr>
            <w:tcW w:w="1435" w:type="dxa"/>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Оси 1-7 НФС АПК-3 (отм. 0.000)</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4,560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109,44000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39 945,6000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3,090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74,16000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27 068,4000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r>
      <w:tr>
        <w:trPr>
          <w:trHeight w:val="285" w:hRule="atLeast"/>
        </w:trPr>
        <w:tc>
          <w:tcPr>
            <w:tcW w:w="5810" w:type="dxa"/>
            <w:gridSpan w:val="7"/>
            <w:tcBorders>
              <w:top w:val="single" w:sz="6" w:space="0" w:color="000000"/>
              <w:start w:val="single" w:sz="6" w:space="0" w:color="000000"/>
              <w:bottom w:val="single" w:sz="6" w:space="0" w:color="000000"/>
              <w:end w:val="nil"/>
            </w:tcBorders>
            <w:vAlign w:val="center"/>
          </w:tcPr>
          <w:p>
            <w:pPr>
              <w:pStyle w:val="Normal"/>
              <w:widowControl/>
              <w:spacing w:before="0" w:after="0"/>
              <w:jc w:val="start"/>
              <w:rPr>
                <w:b/>
                <w:bCs/>
              </w:rPr>
            </w:pPr>
            <w:r>
              <w:rPr>
                <w:rFonts w:eastAsia="Verdana" w:cs="Verdana" w:ascii="Verdana" w:hAnsi="Verdana"/>
                <w:b/>
                <w:bCs/>
                <w:color w:val="000000"/>
                <w:kern w:val="0"/>
                <w:sz w:val="16"/>
                <w:lang w:val="ru-RU" w:bidi="ar-SA"/>
              </w:rPr>
              <w:t>Итого по ЭСПЦ</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1923,389</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45 976,02838</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16 781 250,3600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945" w:hRule="atLeast"/>
        </w:trPr>
        <w:tc>
          <w:tcPr>
            <w:tcW w:w="9920" w:type="dxa"/>
            <w:gridSpan w:val="10"/>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6 УПП</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Коэффициент для расчета базового потребления</w:t>
            </w:r>
          </w:p>
        </w:tc>
      </w:tr>
      <w:tr>
        <w:trPr>
          <w:trHeight w:val="285" w:hRule="atLeast"/>
        </w:trPr>
        <w:tc>
          <w:tcPr>
            <w:tcW w:w="10631" w:type="dxa"/>
            <w:gridSpan w:val="11"/>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6.1 Участок оборудования №1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6.1.1</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№77</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34,20000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1 162,37836</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424 268,1000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5,77</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6.1.2</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№82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50,16000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295,46301</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107 844,0000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6.1.3</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№80</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63,84000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376,04384</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137 256,0000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6.1.4</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Мачта №1</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3,48000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37,19310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13 575,4800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6.1.5</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Мачта №2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3,48000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37,19310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13 575,4800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6.1.6</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Мачта №3</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3,48000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156,21100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57 017,0160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4,2</w:t>
            </w:r>
          </w:p>
        </w:tc>
      </w:tr>
      <w:tr>
        <w:trPr>
          <w:trHeight w:val="285" w:hRule="atLeast"/>
        </w:trPr>
        <w:tc>
          <w:tcPr>
            <w:tcW w:w="10631" w:type="dxa"/>
            <w:gridSpan w:val="11"/>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6.2 Участок №1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6.2.1</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№43</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2,85000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36,93288</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13 480,5000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2,2</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6.2.2</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№20 (13)</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0,075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2,00850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33,83635</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12 350,2665</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2,86</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6.2.3</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№16</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0,075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26</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2,00850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119,49199</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43 614,5775</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6.2.4</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№5(холодный)</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5,47200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87,34961</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31 882,6080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6.2.5</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Ремонтный бокс</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5,13000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30,21781</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11 029,5000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6.2.6</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№32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45,60000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765,51781</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279 414,0000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2,85</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6.2.7</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Мачта освещения №1</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6,96000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714,10744</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260 649,2160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9,6</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6.2.8</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Мачта освещения №2</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1,16</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3 901</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10,69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6,96000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230,59719</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84 167,9760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w:t>
            </w:r>
          </w:p>
        </w:tc>
      </w:tr>
      <w:tr>
        <w:trPr>
          <w:trHeight w:val="285" w:hRule="atLeast"/>
        </w:trPr>
        <w:tc>
          <w:tcPr>
            <w:tcW w:w="10631" w:type="dxa"/>
            <w:gridSpan w:val="11"/>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6.3 Участок Погрузка-выгрузка</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6.3.1</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№45</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99</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45,14400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1 083,45600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395 461,4400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0,7</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31</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24,73800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593,71200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216 704,8800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6.3.2</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№33</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92</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41,95200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4 752,32256</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1 734 597,7344</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4,72</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6.3.3</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№30</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15,45000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91,00685</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33 217,5000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10631" w:type="dxa"/>
            <w:gridSpan w:val="11"/>
            <w:tcBorders>
              <w:top w:val="single" w:sz="6" w:space="0" w:color="000000"/>
              <w:start w:val="single" w:sz="6" w:space="0" w:color="000000"/>
              <w:bottom w:val="single" w:sz="6" w:space="0" w:color="000000"/>
              <w:end w:val="nil"/>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6.4 Участок ШДФ и НФП</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6.4.1</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xml:space="preserve">Склад №35 </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265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1,03</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54,59000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321,55753</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117 368,5000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6.4.2</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№34</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75</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34,20000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201,45205</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73 530,0000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6.4.3</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xml:space="preserve">Склад №50 </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160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72,96000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4 815,36000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1 757 606,4000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2,75</w:t>
            </w:r>
          </w:p>
        </w:tc>
      </w:tr>
      <w:tr>
        <w:trPr>
          <w:trHeight w:val="285" w:hRule="atLeast"/>
        </w:trPr>
        <w:tc>
          <w:tcPr>
            <w:tcW w:w="764"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6.4.4</w:t>
            </w:r>
          </w:p>
        </w:tc>
        <w:tc>
          <w:tcPr>
            <w:tcW w:w="1435" w:type="dxa"/>
            <w:tcBorders>
              <w:top w:val="single" w:sz="6" w:space="0" w:color="000000"/>
              <w:start w:val="nil"/>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№56</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40</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8 760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24</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18,24000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1 593,44640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581 607,9360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3,64</w:t>
            </w:r>
          </w:p>
        </w:tc>
      </w:tr>
      <w:tr>
        <w:trPr>
          <w:trHeight w:val="285" w:hRule="atLeast"/>
        </w:trPr>
        <w:tc>
          <w:tcPr>
            <w:tcW w:w="764"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6.4.5</w:t>
            </w:r>
          </w:p>
        </w:tc>
        <w:tc>
          <w:tcPr>
            <w:tcW w:w="1435" w:type="dxa"/>
            <w:vMerge w:val="restart"/>
            <w:tcBorders>
              <w:top w:val="single" w:sz="6" w:space="0" w:color="000000"/>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Склад №54</w:t>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0,4</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38</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17,32800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102,06904</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37 255,2000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764" w:type="dxa"/>
            <w:vMerge w:val="continue"/>
            <w:tcBorders>
              <w:top w:val="nil"/>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1435" w:type="dxa"/>
            <w:vMerge w:val="continue"/>
            <w:tcBorders>
              <w:top w:val="nil"/>
              <w:start w:val="single" w:sz="6" w:space="0" w:color="000000"/>
              <w:bottom w:val="single" w:sz="6" w:space="0" w:color="000000"/>
              <w:end w:val="nil"/>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Times New Roman" w:cs="Times New Roman"/>
                <w:kern w:val="0"/>
                <w:lang w:val="ru-RU" w:bidi="ar-SA"/>
              </w:rPr>
            </w:r>
          </w:p>
        </w:tc>
        <w:tc>
          <w:tcPr>
            <w:tcW w:w="753"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0,25</w:t>
            </w:r>
          </w:p>
        </w:tc>
        <w:tc>
          <w:tcPr>
            <w:tcW w:w="86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27</w:t>
            </w:r>
          </w:p>
        </w:tc>
        <w:tc>
          <w:tcPr>
            <w:tcW w:w="569"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1,14</w:t>
            </w:r>
          </w:p>
        </w:tc>
        <w:tc>
          <w:tcPr>
            <w:tcW w:w="68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2 150</w:t>
            </w:r>
          </w:p>
        </w:tc>
        <w:tc>
          <w:tcPr>
            <w:tcW w:w="73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5,89</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7,69500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45,32671</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16 544,2500</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1</w:t>
            </w:r>
          </w:p>
        </w:tc>
      </w:tr>
      <w:tr>
        <w:trPr>
          <w:trHeight w:val="285" w:hRule="atLeast"/>
        </w:trPr>
        <w:tc>
          <w:tcPr>
            <w:tcW w:w="5810" w:type="dxa"/>
            <w:gridSpan w:val="7"/>
            <w:tcBorders>
              <w:top w:val="single" w:sz="6" w:space="0" w:color="000000"/>
              <w:start w:val="single" w:sz="6" w:space="0" w:color="000000"/>
              <w:bottom w:val="single" w:sz="6" w:space="0" w:color="000000"/>
              <w:end w:val="nil"/>
            </w:tcBorders>
            <w:vAlign w:val="center"/>
          </w:tcPr>
          <w:p>
            <w:pPr>
              <w:pStyle w:val="Normal"/>
              <w:widowControl/>
              <w:spacing w:before="0" w:after="0"/>
              <w:jc w:val="start"/>
              <w:rPr>
                <w:b/>
                <w:bCs/>
              </w:rPr>
            </w:pPr>
            <w:r>
              <w:rPr>
                <w:rFonts w:eastAsia="Verdana" w:cs="Verdana" w:ascii="Verdana" w:hAnsi="Verdana"/>
                <w:b/>
                <w:bCs/>
                <w:color w:val="000000"/>
                <w:kern w:val="0"/>
                <w:sz w:val="16"/>
                <w:lang w:val="ru-RU" w:bidi="ar-SA"/>
              </w:rPr>
              <w:t>Итого по УПП</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567,92600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17 682,24263</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6 454 018,5604</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start"/>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r>
        <w:trPr>
          <w:trHeight w:val="285" w:hRule="atLeast"/>
        </w:trPr>
        <w:tc>
          <w:tcPr>
            <w:tcW w:w="5810" w:type="dxa"/>
            <w:gridSpan w:val="7"/>
            <w:tcBorders>
              <w:top w:val="single" w:sz="6" w:space="0" w:color="000000"/>
              <w:start w:val="single" w:sz="6" w:space="0" w:color="000000"/>
              <w:bottom w:val="single" w:sz="6" w:space="0" w:color="000000"/>
              <w:end w:val="nil"/>
            </w:tcBorders>
            <w:vAlign w:val="center"/>
          </w:tcPr>
          <w:p>
            <w:pPr>
              <w:pStyle w:val="Normal"/>
              <w:widowControl/>
              <w:spacing w:before="0" w:after="0"/>
              <w:jc w:val="start"/>
              <w:rPr>
                <w:b/>
                <w:bCs/>
              </w:rPr>
            </w:pPr>
            <w:r>
              <w:rPr>
                <w:rFonts w:eastAsia="Verdana" w:cs="Verdana" w:ascii="Verdana" w:hAnsi="Verdana"/>
                <w:b/>
                <w:bCs/>
                <w:color w:val="000000"/>
                <w:kern w:val="0"/>
                <w:sz w:val="16"/>
                <w:lang w:val="ru-RU" w:bidi="ar-SA"/>
              </w:rPr>
              <w:t>Всего по всем объектам разработки</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3 504,23600</w:t>
            </w:r>
          </w:p>
        </w:tc>
        <w:tc>
          <w:tcPr>
            <w:tcW w:w="1277"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81 360,05170</w:t>
            </w:r>
          </w:p>
        </w:tc>
        <w:tc>
          <w:tcPr>
            <w:tcW w:w="1558"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b/>
                <w:color w:val="000000"/>
                <w:kern w:val="0"/>
                <w:sz w:val="16"/>
                <w:lang w:val="ru-RU" w:bidi="ar-SA"/>
              </w:rPr>
              <w:t>29 696 418,8714</w:t>
            </w:r>
          </w:p>
        </w:tc>
        <w:tc>
          <w:tcPr>
            <w:tcW w:w="711"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before="0" w:after="0"/>
              <w:jc w:val="center"/>
              <w:rPr>
                <w:rFonts w:ascii="Times New Roman" w:hAnsi="Times New Roman" w:eastAsia="Times New Roman" w:cs="Times New Roman"/>
                <w:kern w:val="0"/>
                <w:lang w:val="ru-RU" w:bidi="ar-SA"/>
              </w:rPr>
            </w:pPr>
            <w:r>
              <w:rPr>
                <w:rFonts w:eastAsia="Verdana" w:cs="Verdana" w:ascii="Verdana" w:hAnsi="Verdana"/>
                <w:color w:val="000000"/>
                <w:kern w:val="0"/>
                <w:sz w:val="16"/>
                <w:lang w:val="ru-RU" w:bidi="ar-SA"/>
              </w:rPr>
              <w:t> </w:t>
            </w:r>
          </w:p>
        </w:tc>
      </w:tr>
    </w:tbl>
    <w:p>
      <w:pPr>
        <w:pStyle w:val="Normal11"/>
        <w:shd w:val="clear" w:color="auto" w:fill="FFFFFF"/>
        <w:tabs>
          <w:tab w:val="clear" w:pos="369"/>
          <w:tab w:val="left" w:pos="1276" w:leader="none"/>
          <w:tab w:val="left" w:pos="1430" w:leader="none"/>
        </w:tabs>
        <w:ind w:firstLine="709"/>
        <w:jc w:val="both"/>
        <w:rPr>
          <w:rFonts w:ascii="Verdana" w:hAnsi="Verdana" w:cs="Verdana"/>
          <w:sz w:val="22"/>
          <w:szCs w:val="22"/>
        </w:rPr>
      </w:pPr>
      <w:r>
        <w:rPr>
          <w:rFonts w:cs="Verdana" w:ascii="Verdana" w:hAnsi="Verdana"/>
          <w:sz w:val="22"/>
          <w:szCs w:val="22"/>
        </w:rPr>
      </w:r>
    </w:p>
    <w:p>
      <w:pPr>
        <w:pStyle w:val="Normal11"/>
        <w:shd w:val="clear" w:color="auto" w:fill="FFFFFF"/>
        <w:tabs>
          <w:tab w:val="clear" w:pos="369"/>
          <w:tab w:val="left" w:pos="1276" w:leader="none"/>
          <w:tab w:val="left" w:pos="1430" w:leader="none"/>
        </w:tabs>
        <w:ind w:firstLine="709"/>
        <w:jc w:val="both"/>
        <w:rPr>
          <w:rFonts w:ascii="Verdana" w:hAnsi="Verdana" w:eastAsia="Verdana" w:cs="Verdana"/>
          <w:sz w:val="22"/>
          <w:szCs w:val="22"/>
        </w:rPr>
      </w:pPr>
      <w:r>
        <w:rPr>
          <w:rFonts w:eastAsia="Verdana" w:cs="Verdana" w:ascii="Verdana" w:hAnsi="Verdana"/>
          <w:sz w:val="22"/>
          <w:szCs w:val="22"/>
        </w:rPr>
        <w:t>Фонд рабочего времени, указанный в настоящем Приложении, является фиксированным и не подлежит изменению в течение срока действия Договора. В случае изменения Заказчиком часов работы, расчет платы за экономию осуществляется исходя из согласованного сторонами режима работы Объектов и не зависит от произведенных изменений.</w:t>
      </w:r>
    </w:p>
    <w:p>
      <w:pPr>
        <w:pStyle w:val="Normal11"/>
        <w:shd w:val="clear" w:color="auto" w:fill="FFFFFF"/>
        <w:tabs>
          <w:tab w:val="clear" w:pos="369"/>
          <w:tab w:val="left" w:pos="1276" w:leader="none"/>
          <w:tab w:val="left" w:pos="1430" w:leader="none"/>
        </w:tabs>
        <w:ind w:start="709"/>
        <w:jc w:val="center"/>
        <w:rPr>
          <w:rFonts w:ascii="Verdana" w:hAnsi="Verdana"/>
          <w:sz w:val="22"/>
          <w:szCs w:val="22"/>
        </w:rPr>
      </w:pPr>
      <w:r>
        <w:rPr>
          <w:rFonts w:ascii="Verdana" w:hAnsi="Verdana"/>
          <w:sz w:val="22"/>
          <w:szCs w:val="22"/>
        </w:rPr>
      </w:r>
    </w:p>
    <w:p>
      <w:pPr>
        <w:pStyle w:val="Normal11"/>
        <w:shd w:val="clear" w:color="auto" w:fill="FFFFFF"/>
        <w:tabs>
          <w:tab w:val="clear" w:pos="369"/>
          <w:tab w:val="left" w:pos="0" w:leader="none"/>
          <w:tab w:val="left" w:pos="1276" w:leader="none"/>
        </w:tabs>
        <w:ind w:start="710"/>
        <w:jc w:val="both"/>
        <w:rPr>
          <w:rFonts w:ascii="Verdana" w:hAnsi="Verdana"/>
          <w:sz w:val="22"/>
          <w:szCs w:val="22"/>
        </w:rPr>
      </w:pPr>
      <w:r>
        <w:rPr>
          <w:rFonts w:ascii="Verdana" w:hAnsi="Verdana"/>
          <w:sz w:val="22"/>
          <w:szCs w:val="22"/>
        </w:rPr>
        <w:t>1.2.1 Характеристики составных частей оборудования:</w:t>
      </w:r>
    </w:p>
    <w:p>
      <w:pPr>
        <w:pStyle w:val="Normal11"/>
        <w:shd w:val="clear" w:color="auto" w:fill="FFFFFF"/>
        <w:tabs>
          <w:tab w:val="clear" w:pos="369"/>
          <w:tab w:val="left" w:pos="1276" w:leader="none"/>
          <w:tab w:val="left" w:pos="1430" w:leader="none"/>
        </w:tabs>
        <w:ind w:start="709"/>
        <w:jc w:val="end"/>
        <w:rPr>
          <w:rFonts w:ascii="Verdana" w:hAnsi="Verdana"/>
          <w:sz w:val="22"/>
          <w:szCs w:val="22"/>
        </w:rPr>
      </w:pPr>
      <w:r>
        <w:rPr>
          <w:rFonts w:ascii="Verdana" w:hAnsi="Verdana"/>
          <w:sz w:val="22"/>
          <w:szCs w:val="22"/>
        </w:rPr>
        <w:t>Таблица 3</w:t>
      </w:r>
    </w:p>
    <w:tbl>
      <w:tblPr>
        <w:tblpPr w:vertAnchor="text" w:horzAnchor="margin" w:leftFromText="180" w:rightFromText="180" w:tblpX="0" w:tblpY="71"/>
        <w:tblW w:w="10343" w:type="dxa"/>
        <w:jc w:val="start"/>
        <w:tblInd w:w="-5" w:type="dxa"/>
        <w:tblLayout w:type="fixed"/>
        <w:tblCellMar>
          <w:top w:w="0" w:type="dxa"/>
          <w:start w:w="10" w:type="dxa"/>
          <w:bottom w:w="0" w:type="dxa"/>
          <w:end w:w="10" w:type="dxa"/>
        </w:tblCellMar>
        <w:tblLook w:val="04a0" w:noHBand="0" w:noVBand="1" w:firstColumn="1" w:lastRow="0" w:lastColumn="0" w:firstRow="1"/>
      </w:tblPr>
      <w:tblGrid>
        <w:gridCol w:w="4535"/>
        <w:gridCol w:w="5808"/>
      </w:tblGrid>
      <w:tr>
        <w:trPr>
          <w:trHeight w:val="284" w:hRule="exact"/>
        </w:trPr>
        <w:tc>
          <w:tcPr>
            <w:tcW w:w="4535" w:type="dxa"/>
            <w:tcBorders>
              <w:top w:val="single" w:sz="4" w:space="0" w:color="000000"/>
              <w:start w:val="single" w:sz="4" w:space="0" w:color="000000"/>
            </w:tcBorders>
            <w:shd w:color="auto" w:fill="FFFFFF" w:val="clear"/>
            <w:vAlign w:val="center"/>
          </w:tcPr>
          <w:p>
            <w:pPr>
              <w:pStyle w:val="213"/>
              <w:shd w:val="clear" w:color="auto" w:fill="auto"/>
              <w:spacing w:lineRule="exact" w:line="240"/>
              <w:ind w:hanging="0"/>
              <w:jc w:val="start"/>
              <w:rPr>
                <w:rFonts w:ascii="Verdana" w:hAnsi="Verdana"/>
                <w:sz w:val="22"/>
                <w:szCs w:val="22"/>
              </w:rPr>
            </w:pPr>
            <w:r>
              <w:rPr>
                <w:rFonts w:ascii="Verdana" w:hAnsi="Verdana"/>
                <w:color w:val="000000"/>
                <w:sz w:val="22"/>
                <w:szCs w:val="22"/>
                <w:lang w:bidi="ru-RU"/>
              </w:rPr>
              <w:t>Напряжение питания, В</w:t>
            </w:r>
          </w:p>
        </w:tc>
        <w:tc>
          <w:tcPr>
            <w:tcW w:w="5808" w:type="dxa"/>
            <w:tcBorders>
              <w:top w:val="single" w:sz="4" w:space="0" w:color="000000"/>
              <w:start w:val="single" w:sz="4" w:space="0" w:color="000000"/>
              <w:end w:val="single" w:sz="4" w:space="0" w:color="000000"/>
            </w:tcBorders>
            <w:shd w:color="auto" w:fill="FFFFFF" w:val="clear"/>
            <w:vAlign w:val="center"/>
          </w:tcPr>
          <w:p>
            <w:pPr>
              <w:pStyle w:val="213"/>
              <w:shd w:val="clear" w:color="auto" w:fill="auto"/>
              <w:spacing w:lineRule="exact" w:line="240"/>
              <w:ind w:hanging="0"/>
              <w:rPr>
                <w:rFonts w:ascii="Verdana" w:hAnsi="Verdana"/>
                <w:sz w:val="22"/>
                <w:szCs w:val="22"/>
              </w:rPr>
            </w:pPr>
            <w:r>
              <w:rPr>
                <w:rFonts w:ascii="Verdana" w:hAnsi="Verdana"/>
                <w:color w:val="000000"/>
                <w:sz w:val="22"/>
                <w:szCs w:val="22"/>
                <w:lang w:bidi="ru-RU"/>
              </w:rPr>
              <w:t>230 В, 50 Гц</w:t>
            </w:r>
          </w:p>
        </w:tc>
      </w:tr>
      <w:tr>
        <w:trPr>
          <w:trHeight w:val="291" w:hRule="exact"/>
        </w:trPr>
        <w:tc>
          <w:tcPr>
            <w:tcW w:w="4535" w:type="dxa"/>
            <w:tcBorders>
              <w:top w:val="single" w:sz="4" w:space="0" w:color="000000"/>
              <w:start w:val="single" w:sz="4" w:space="0" w:color="000000"/>
            </w:tcBorders>
            <w:shd w:color="auto" w:fill="FFFFFF" w:val="clear"/>
            <w:vAlign w:val="center"/>
          </w:tcPr>
          <w:p>
            <w:pPr>
              <w:pStyle w:val="213"/>
              <w:shd w:val="clear" w:color="auto" w:fill="auto"/>
              <w:ind w:hanging="0"/>
              <w:jc w:val="start"/>
              <w:rPr>
                <w:rFonts w:ascii="Verdana" w:hAnsi="Verdana"/>
                <w:color w:val="000000"/>
                <w:sz w:val="22"/>
                <w:szCs w:val="22"/>
              </w:rPr>
            </w:pPr>
            <w:r>
              <w:rPr>
                <w:rFonts w:ascii="Verdana" w:hAnsi="Verdana"/>
                <w:color w:val="000000"/>
                <w:sz w:val="22"/>
                <w:szCs w:val="22"/>
                <w:lang w:bidi="ru-RU"/>
              </w:rPr>
              <w:t>Тип осветительного прибора</w:t>
            </w:r>
          </w:p>
        </w:tc>
        <w:tc>
          <w:tcPr>
            <w:tcW w:w="5808" w:type="dxa"/>
            <w:tcBorders>
              <w:top w:val="single" w:sz="4" w:space="0" w:color="000000"/>
              <w:start w:val="single" w:sz="4" w:space="0" w:color="000000"/>
              <w:end w:val="single" w:sz="4" w:space="0" w:color="000000"/>
            </w:tcBorders>
            <w:shd w:color="auto" w:fill="FFFFFF" w:val="clear"/>
            <w:vAlign w:val="center"/>
          </w:tcPr>
          <w:p>
            <w:pPr>
              <w:pStyle w:val="213"/>
              <w:shd w:val="clear" w:color="auto" w:fill="auto"/>
              <w:spacing w:lineRule="exact" w:line="240"/>
              <w:ind w:hanging="0"/>
              <w:rPr>
                <w:rFonts w:ascii="Verdana" w:hAnsi="Verdana"/>
                <w:color w:val="000000"/>
                <w:sz w:val="22"/>
                <w:szCs w:val="22"/>
              </w:rPr>
            </w:pPr>
            <w:r>
              <w:rPr>
                <w:rFonts w:ascii="Verdana" w:hAnsi="Verdana"/>
                <w:color w:val="000000"/>
                <w:sz w:val="22"/>
                <w:szCs w:val="22"/>
                <w:lang w:bidi="ru-RU"/>
              </w:rPr>
              <w:t>Светодиодный светильник</w:t>
            </w:r>
          </w:p>
        </w:tc>
      </w:tr>
      <w:tr>
        <w:trPr>
          <w:trHeight w:val="578" w:hRule="exact"/>
        </w:trPr>
        <w:tc>
          <w:tcPr>
            <w:tcW w:w="4535" w:type="dxa"/>
            <w:tcBorders>
              <w:top w:val="single" w:sz="4" w:space="0" w:color="000000"/>
              <w:start w:val="single" w:sz="4" w:space="0" w:color="000000"/>
            </w:tcBorders>
            <w:shd w:color="auto" w:fill="FFFFFF" w:val="clear"/>
            <w:vAlign w:val="center"/>
          </w:tcPr>
          <w:p>
            <w:pPr>
              <w:pStyle w:val="213"/>
              <w:shd w:val="clear" w:color="auto" w:fill="auto"/>
              <w:ind w:hanging="0"/>
              <w:jc w:val="start"/>
              <w:rPr>
                <w:rFonts w:ascii="Verdana" w:hAnsi="Verdana"/>
                <w:sz w:val="22"/>
                <w:szCs w:val="22"/>
              </w:rPr>
            </w:pPr>
            <w:r>
              <w:rPr>
                <w:rFonts w:ascii="Verdana" w:hAnsi="Verdana"/>
                <w:color w:val="000000"/>
                <w:sz w:val="22"/>
                <w:szCs w:val="22"/>
                <w:lang w:bidi="ru-RU"/>
              </w:rPr>
              <w:t>Световой отдача осветительного прибора, лм/Вт</w:t>
            </w:r>
          </w:p>
        </w:tc>
        <w:tc>
          <w:tcPr>
            <w:tcW w:w="5808" w:type="dxa"/>
            <w:tcBorders>
              <w:top w:val="single" w:sz="4" w:space="0" w:color="000000"/>
              <w:start w:val="single" w:sz="4" w:space="0" w:color="000000"/>
              <w:end w:val="single" w:sz="4" w:space="0" w:color="000000"/>
            </w:tcBorders>
            <w:shd w:color="auto" w:fill="FFFFFF" w:val="clear"/>
            <w:vAlign w:val="center"/>
          </w:tcPr>
          <w:p>
            <w:pPr>
              <w:pStyle w:val="213"/>
              <w:shd w:val="clear" w:color="auto" w:fill="auto"/>
              <w:spacing w:lineRule="exact" w:line="240"/>
              <w:ind w:hanging="0"/>
              <w:rPr>
                <w:rFonts w:ascii="Verdana" w:hAnsi="Verdana"/>
                <w:sz w:val="22"/>
                <w:szCs w:val="22"/>
              </w:rPr>
            </w:pPr>
            <w:r>
              <w:rPr>
                <w:rFonts w:ascii="Verdana" w:hAnsi="Verdana"/>
                <w:color w:val="000000"/>
                <w:sz w:val="22"/>
                <w:szCs w:val="22"/>
                <w:lang w:bidi="ru-RU"/>
              </w:rPr>
              <w:t xml:space="preserve">В соответствии с требованиями постановления правительства РФ от 24.12.2020 №2255 (п.19)  </w:t>
            </w:r>
          </w:p>
        </w:tc>
      </w:tr>
      <w:tr>
        <w:trPr>
          <w:trHeight w:val="274" w:hRule="exact"/>
        </w:trPr>
        <w:tc>
          <w:tcPr>
            <w:tcW w:w="4535" w:type="dxa"/>
            <w:tcBorders>
              <w:top w:val="single" w:sz="4" w:space="0" w:color="000000"/>
              <w:start w:val="single" w:sz="4" w:space="0" w:color="000000"/>
            </w:tcBorders>
            <w:shd w:color="auto" w:fill="FFFFFF" w:val="clear"/>
            <w:vAlign w:val="center"/>
          </w:tcPr>
          <w:p>
            <w:pPr>
              <w:pStyle w:val="213"/>
              <w:shd w:val="clear" w:color="auto" w:fill="auto"/>
              <w:ind w:hanging="0"/>
              <w:jc w:val="start"/>
              <w:rPr>
                <w:rFonts w:ascii="Verdana" w:hAnsi="Verdana"/>
                <w:sz w:val="22"/>
                <w:szCs w:val="22"/>
              </w:rPr>
            </w:pPr>
            <w:r>
              <w:rPr>
                <w:rFonts w:ascii="Verdana" w:hAnsi="Verdana"/>
                <w:color w:val="000000"/>
                <w:sz w:val="22"/>
                <w:szCs w:val="22"/>
                <w:lang w:bidi="ru-RU"/>
              </w:rPr>
              <w:t>Световая температура</w:t>
            </w:r>
          </w:p>
        </w:tc>
        <w:tc>
          <w:tcPr>
            <w:tcW w:w="5808" w:type="dxa"/>
            <w:tcBorders>
              <w:top w:val="single" w:sz="4" w:space="0" w:color="000000"/>
              <w:start w:val="single" w:sz="4" w:space="0" w:color="000000"/>
              <w:end w:val="single" w:sz="4" w:space="0" w:color="000000"/>
            </w:tcBorders>
            <w:shd w:color="auto" w:fill="FFFFFF" w:val="clear"/>
            <w:vAlign w:val="center"/>
          </w:tcPr>
          <w:p>
            <w:pPr>
              <w:pStyle w:val="213"/>
              <w:shd w:val="clear" w:color="auto" w:fill="auto"/>
              <w:spacing w:lineRule="exact" w:line="240"/>
              <w:ind w:hanging="0"/>
              <w:rPr>
                <w:rFonts w:ascii="Verdana" w:hAnsi="Verdana"/>
                <w:sz w:val="22"/>
                <w:szCs w:val="22"/>
              </w:rPr>
            </w:pPr>
            <w:r>
              <w:rPr>
                <w:rFonts w:ascii="Verdana" w:hAnsi="Verdana"/>
                <w:color w:val="000000"/>
                <w:sz w:val="22"/>
                <w:szCs w:val="22"/>
                <w:lang w:bidi="ru-RU"/>
              </w:rPr>
              <w:t>4000-5000 К</w:t>
            </w:r>
          </w:p>
        </w:tc>
      </w:tr>
      <w:tr>
        <w:trPr>
          <w:trHeight w:val="274" w:hRule="exact"/>
        </w:trPr>
        <w:tc>
          <w:tcPr>
            <w:tcW w:w="4535" w:type="dxa"/>
            <w:tcBorders>
              <w:top w:val="single" w:sz="4" w:space="0" w:color="000000"/>
              <w:start w:val="single" w:sz="4" w:space="0" w:color="000000"/>
            </w:tcBorders>
            <w:shd w:color="auto" w:fill="FFFFFF" w:val="clear"/>
            <w:vAlign w:val="center"/>
          </w:tcPr>
          <w:p>
            <w:pPr>
              <w:pStyle w:val="213"/>
              <w:shd w:val="clear" w:color="auto" w:fill="auto"/>
              <w:spacing w:lineRule="exact" w:line="240"/>
              <w:ind w:hanging="0"/>
              <w:jc w:val="start"/>
              <w:rPr>
                <w:rFonts w:ascii="Verdana" w:hAnsi="Verdana"/>
                <w:sz w:val="22"/>
                <w:szCs w:val="22"/>
              </w:rPr>
            </w:pPr>
            <w:r>
              <w:rPr>
                <w:rFonts w:ascii="Verdana" w:hAnsi="Verdana"/>
                <w:color w:val="000000"/>
                <w:sz w:val="22"/>
                <w:szCs w:val="22"/>
                <w:lang w:bidi="ru-RU"/>
              </w:rPr>
              <w:t>Коэффициент пульсаций, %</w:t>
            </w:r>
          </w:p>
        </w:tc>
        <w:tc>
          <w:tcPr>
            <w:tcW w:w="5808" w:type="dxa"/>
            <w:tcBorders>
              <w:top w:val="single" w:sz="4" w:space="0" w:color="000000"/>
              <w:start w:val="single" w:sz="4" w:space="0" w:color="000000"/>
              <w:end w:val="single" w:sz="4" w:space="0" w:color="000000"/>
            </w:tcBorders>
            <w:shd w:color="auto" w:fill="FFFFFF" w:val="clear"/>
            <w:vAlign w:val="center"/>
          </w:tcPr>
          <w:p>
            <w:pPr>
              <w:pStyle w:val="213"/>
              <w:shd w:val="clear" w:color="auto" w:fill="auto"/>
              <w:spacing w:lineRule="exact" w:line="240"/>
              <w:ind w:hanging="0"/>
              <w:rPr>
                <w:rFonts w:ascii="Verdana" w:hAnsi="Verdana"/>
                <w:sz w:val="22"/>
                <w:szCs w:val="22"/>
              </w:rPr>
            </w:pPr>
            <w:r>
              <w:rPr>
                <w:rFonts w:ascii="Verdana" w:hAnsi="Verdana"/>
                <w:color w:val="000000"/>
                <w:sz w:val="22"/>
                <w:szCs w:val="22"/>
                <w:lang w:bidi="ru-RU"/>
              </w:rPr>
              <w:t>Не более 5</w:t>
            </w:r>
          </w:p>
        </w:tc>
      </w:tr>
      <w:tr>
        <w:trPr>
          <w:trHeight w:val="453" w:hRule="exact"/>
        </w:trPr>
        <w:tc>
          <w:tcPr>
            <w:tcW w:w="4535" w:type="dxa"/>
            <w:tcBorders>
              <w:top w:val="single" w:sz="4" w:space="0" w:color="000000"/>
              <w:start w:val="single" w:sz="4" w:space="0" w:color="000000"/>
              <w:bottom w:val="single" w:sz="4" w:space="0" w:color="000000"/>
            </w:tcBorders>
            <w:shd w:color="auto" w:fill="FFFFFF" w:val="clear"/>
            <w:vAlign w:val="center"/>
          </w:tcPr>
          <w:p>
            <w:pPr>
              <w:pStyle w:val="213"/>
              <w:shd w:val="clear" w:color="auto" w:fill="auto"/>
              <w:spacing w:lineRule="exact" w:line="240"/>
              <w:ind w:hanging="0"/>
              <w:jc w:val="start"/>
              <w:rPr>
                <w:rFonts w:ascii="Verdana" w:hAnsi="Verdana"/>
                <w:sz w:val="22"/>
                <w:szCs w:val="22"/>
              </w:rPr>
            </w:pPr>
            <w:r>
              <w:rPr>
                <w:rFonts w:ascii="Verdana" w:hAnsi="Verdana"/>
                <w:color w:val="000000"/>
                <w:sz w:val="22"/>
                <w:szCs w:val="22"/>
                <w:lang w:bidi="ru-RU"/>
              </w:rPr>
              <w:t xml:space="preserve">Срок службы </w:t>
            </w:r>
            <w:r>
              <w:rPr>
                <w:rFonts w:ascii="Verdana" w:hAnsi="Verdana"/>
                <w:sz w:val="22"/>
                <w:szCs w:val="22"/>
              </w:rPr>
              <w:t>осветительного</w:t>
            </w:r>
            <w:r>
              <w:rPr>
                <w:rFonts w:ascii="Verdana" w:hAnsi="Verdana"/>
                <w:color w:val="000000"/>
                <w:sz w:val="22"/>
                <w:szCs w:val="22"/>
                <w:lang w:bidi="ru-RU"/>
              </w:rPr>
              <w:t xml:space="preserve"> прибора, часов</w:t>
            </w:r>
          </w:p>
        </w:tc>
        <w:tc>
          <w:tcPr>
            <w:tcW w:w="580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213"/>
              <w:shd w:val="clear" w:color="auto" w:fill="auto"/>
              <w:spacing w:lineRule="exact" w:line="240"/>
              <w:ind w:hanging="0"/>
              <w:rPr>
                <w:rFonts w:ascii="Verdana" w:hAnsi="Verdana"/>
                <w:sz w:val="22"/>
                <w:szCs w:val="22"/>
              </w:rPr>
            </w:pPr>
            <w:r>
              <w:rPr>
                <w:rFonts w:ascii="Verdana" w:hAnsi="Verdana"/>
                <w:color w:val="000000"/>
                <w:sz w:val="22"/>
                <w:szCs w:val="22"/>
                <w:lang w:bidi="ru-RU"/>
              </w:rPr>
              <w:t>Не менее 50 000</w:t>
            </w:r>
          </w:p>
        </w:tc>
      </w:tr>
      <w:tr>
        <w:trPr>
          <w:trHeight w:val="402" w:hRule="exact"/>
        </w:trPr>
        <w:tc>
          <w:tcPr>
            <w:tcW w:w="4535" w:type="dxa"/>
            <w:tcBorders>
              <w:top w:val="single" w:sz="4" w:space="0" w:color="000000"/>
              <w:start w:val="single" w:sz="4" w:space="0" w:color="000000"/>
              <w:bottom w:val="single" w:sz="4" w:space="0" w:color="000000"/>
            </w:tcBorders>
            <w:shd w:color="auto" w:fill="FFFFFF" w:val="clear"/>
            <w:vAlign w:val="center"/>
          </w:tcPr>
          <w:p>
            <w:pPr>
              <w:pStyle w:val="213"/>
              <w:shd w:val="clear" w:color="auto" w:fill="auto"/>
              <w:spacing w:lineRule="exact" w:line="270"/>
              <w:ind w:hanging="0"/>
              <w:jc w:val="start"/>
              <w:rPr>
                <w:rFonts w:ascii="Verdana" w:hAnsi="Verdana"/>
                <w:sz w:val="22"/>
                <w:szCs w:val="22"/>
              </w:rPr>
            </w:pPr>
            <w:r>
              <w:rPr>
                <w:rFonts w:ascii="Verdana" w:hAnsi="Verdana"/>
                <w:color w:val="000000"/>
                <w:sz w:val="22"/>
                <w:szCs w:val="22"/>
                <w:lang w:bidi="ru-RU"/>
              </w:rPr>
              <w:t xml:space="preserve">Степень защиты </w:t>
            </w:r>
            <w:r>
              <w:rPr>
                <w:rFonts w:ascii="Verdana" w:hAnsi="Verdana"/>
                <w:color w:val="000000"/>
                <w:sz w:val="22"/>
                <w:szCs w:val="22"/>
                <w:lang w:eastAsia="en-US" w:bidi="en-US"/>
              </w:rPr>
              <w:t>(</w:t>
            </w:r>
            <w:r>
              <w:rPr>
                <w:rFonts w:ascii="Verdana" w:hAnsi="Verdana"/>
                <w:color w:val="000000"/>
                <w:sz w:val="22"/>
                <w:szCs w:val="22"/>
                <w:lang w:val="en-US" w:eastAsia="en-US" w:bidi="en-US"/>
              </w:rPr>
              <w:t>IP</w:t>
            </w:r>
            <w:r>
              <w:rPr>
                <w:rFonts w:ascii="Verdana" w:hAnsi="Verdana"/>
                <w:color w:val="000000"/>
                <w:sz w:val="22"/>
                <w:szCs w:val="22"/>
                <w:lang w:eastAsia="en-US" w:bidi="en-US"/>
              </w:rPr>
              <w:t xml:space="preserve">) </w:t>
            </w:r>
            <w:r>
              <w:rPr>
                <w:rFonts w:ascii="Verdana" w:hAnsi="Verdana"/>
                <w:color w:val="000000"/>
                <w:sz w:val="22"/>
                <w:szCs w:val="22"/>
                <w:lang w:bidi="ru-RU"/>
              </w:rPr>
              <w:t xml:space="preserve">осветительного прибора </w:t>
            </w:r>
          </w:p>
        </w:tc>
        <w:tc>
          <w:tcPr>
            <w:tcW w:w="580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213"/>
              <w:shd w:val="clear" w:color="auto" w:fill="auto"/>
              <w:spacing w:lineRule="exact" w:line="240"/>
              <w:ind w:hanging="0"/>
              <w:rPr>
                <w:rFonts w:ascii="Verdana" w:hAnsi="Verdana"/>
                <w:sz w:val="22"/>
                <w:szCs w:val="22"/>
              </w:rPr>
            </w:pPr>
            <w:r>
              <w:rPr>
                <w:rFonts w:ascii="Verdana" w:hAnsi="Verdana"/>
                <w:color w:val="000000"/>
                <w:sz w:val="22"/>
                <w:szCs w:val="22"/>
                <w:lang w:bidi="ru-RU"/>
              </w:rPr>
              <w:t>Не менее 66</w:t>
            </w:r>
          </w:p>
        </w:tc>
      </w:tr>
      <w:tr>
        <w:trPr>
          <w:trHeight w:val="1840" w:hRule="exact"/>
        </w:trPr>
        <w:tc>
          <w:tcPr>
            <w:tcW w:w="4535" w:type="dxa"/>
            <w:tcBorders>
              <w:top w:val="single" w:sz="4" w:space="0" w:color="000000"/>
              <w:start w:val="single" w:sz="4" w:space="0" w:color="000000"/>
              <w:bottom w:val="single" w:sz="4" w:space="0" w:color="000000"/>
            </w:tcBorders>
            <w:shd w:color="auto" w:fill="FFFFFF" w:val="clear"/>
            <w:vAlign w:val="center"/>
          </w:tcPr>
          <w:p>
            <w:pPr>
              <w:pStyle w:val="213"/>
              <w:shd w:val="clear" w:color="auto" w:fill="auto"/>
              <w:ind w:hanging="0"/>
              <w:jc w:val="start"/>
              <w:rPr>
                <w:rFonts w:ascii="Verdana" w:hAnsi="Verdana"/>
                <w:color w:val="000000"/>
                <w:sz w:val="22"/>
                <w:szCs w:val="22"/>
              </w:rPr>
            </w:pPr>
            <w:r>
              <w:rPr>
                <w:rFonts w:ascii="Verdana" w:hAnsi="Verdana"/>
                <w:color w:val="000000"/>
                <w:sz w:val="22"/>
                <w:szCs w:val="22"/>
                <w:lang w:bidi="ru-RU"/>
              </w:rPr>
              <w:t>Эксплуатационная группа светильников (СП 52.13330-2016, приложение Д)</w:t>
            </w:r>
          </w:p>
        </w:tc>
        <w:tc>
          <w:tcPr>
            <w:tcW w:w="580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213"/>
              <w:shd w:val="clear" w:color="auto" w:fill="auto"/>
              <w:ind w:hanging="0"/>
              <w:jc w:val="start"/>
              <w:rPr>
                <w:rFonts w:ascii="Verdana" w:hAnsi="Verdana"/>
                <w:color w:val="000000"/>
                <w:sz w:val="22"/>
                <w:szCs w:val="22"/>
              </w:rPr>
            </w:pPr>
            <w:r>
              <w:rPr>
                <w:rFonts w:ascii="Verdana" w:hAnsi="Verdana"/>
                <w:color w:val="000000"/>
                <w:sz w:val="22"/>
                <w:szCs w:val="22"/>
                <w:lang w:bidi="ru-RU"/>
              </w:rPr>
              <w:t>Для систем общего освещения ЭСПЦ, Аглоцеха – не ниже VII.</w:t>
            </w:r>
          </w:p>
          <w:p>
            <w:pPr>
              <w:pStyle w:val="213"/>
              <w:shd w:val="clear" w:color="auto" w:fill="auto"/>
              <w:ind w:hanging="0"/>
              <w:jc w:val="start"/>
              <w:rPr>
                <w:rFonts w:ascii="Verdana" w:hAnsi="Verdana"/>
                <w:color w:val="000000"/>
                <w:sz w:val="22"/>
                <w:szCs w:val="22"/>
              </w:rPr>
            </w:pPr>
            <w:r>
              <w:rPr>
                <w:rFonts w:ascii="Verdana" w:hAnsi="Verdana"/>
                <w:color w:val="000000"/>
                <w:sz w:val="22"/>
                <w:szCs w:val="22"/>
                <w:lang w:bidi="ru-RU"/>
              </w:rPr>
              <w:t>Для систем общего освещения УПП, ЦПАШ, копрового – не ниже V.</w:t>
            </w:r>
          </w:p>
          <w:p>
            <w:pPr>
              <w:pStyle w:val="213"/>
              <w:shd w:val="clear" w:color="auto" w:fill="auto"/>
              <w:ind w:hanging="0"/>
              <w:jc w:val="start"/>
              <w:rPr>
                <w:rFonts w:ascii="Verdana" w:hAnsi="Verdana"/>
                <w:color w:val="000000"/>
                <w:sz w:val="22"/>
                <w:szCs w:val="22"/>
              </w:rPr>
            </w:pPr>
            <w:r>
              <w:rPr>
                <w:rFonts w:ascii="Verdana" w:hAnsi="Verdana"/>
                <w:color w:val="000000"/>
                <w:sz w:val="22"/>
                <w:szCs w:val="22"/>
                <w:lang w:bidi="ru-RU"/>
              </w:rPr>
              <w:t>Для наружного освещения ЭСПЦ, УПП, Копрового, ЦПАШ и ЦЖТ – не ниже VII.</w:t>
            </w:r>
          </w:p>
        </w:tc>
      </w:tr>
      <w:tr>
        <w:trPr>
          <w:trHeight w:val="578" w:hRule="exact"/>
        </w:trPr>
        <w:tc>
          <w:tcPr>
            <w:tcW w:w="4535" w:type="dxa"/>
            <w:tcBorders>
              <w:top w:val="single" w:sz="4" w:space="0" w:color="000000"/>
              <w:start w:val="single" w:sz="4" w:space="0" w:color="000000"/>
              <w:bottom w:val="single" w:sz="4" w:space="0" w:color="000000"/>
            </w:tcBorders>
            <w:shd w:color="auto" w:fill="FFFFFF" w:val="clear"/>
            <w:vAlign w:val="center"/>
          </w:tcPr>
          <w:p>
            <w:pPr>
              <w:pStyle w:val="213"/>
              <w:shd w:val="clear" w:color="auto" w:fill="auto"/>
              <w:ind w:hanging="0"/>
              <w:jc w:val="start"/>
              <w:rPr>
                <w:rFonts w:ascii="Verdana" w:hAnsi="Verdana"/>
                <w:color w:val="000000"/>
                <w:sz w:val="22"/>
                <w:szCs w:val="22"/>
              </w:rPr>
            </w:pPr>
            <w:r>
              <w:rPr>
                <w:rFonts w:ascii="Verdana" w:hAnsi="Verdana"/>
                <w:color w:val="000000"/>
                <w:sz w:val="22"/>
                <w:szCs w:val="22"/>
                <w:lang w:bidi="ru-RU"/>
              </w:rPr>
              <w:t>Класс защиты от поражения электрическим током</w:t>
            </w:r>
          </w:p>
        </w:tc>
        <w:tc>
          <w:tcPr>
            <w:tcW w:w="580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213"/>
              <w:shd w:val="clear" w:color="auto" w:fill="auto"/>
              <w:ind w:hanging="0"/>
              <w:jc w:val="start"/>
              <w:rPr>
                <w:rFonts w:ascii="Verdana" w:hAnsi="Verdana"/>
                <w:color w:val="000000"/>
                <w:sz w:val="22"/>
                <w:szCs w:val="22"/>
              </w:rPr>
            </w:pPr>
            <w:r>
              <w:rPr>
                <w:rFonts w:ascii="Verdana" w:hAnsi="Verdana"/>
                <w:color w:val="000000"/>
                <w:sz w:val="22"/>
                <w:szCs w:val="22"/>
                <w:lang w:bidi="ru-RU"/>
              </w:rPr>
              <w:t>В зависимости от высоты подвеса светильника, согласно требованию п.</w:t>
            </w:r>
            <w:r>
              <w:rPr>
                <w:sz w:val="22"/>
                <w:szCs w:val="22"/>
              </w:rPr>
              <w:t xml:space="preserve"> </w:t>
            </w:r>
            <w:r>
              <w:rPr>
                <w:rFonts w:ascii="Verdana" w:hAnsi="Verdana"/>
                <w:color w:val="000000"/>
                <w:sz w:val="22"/>
                <w:szCs w:val="22"/>
                <w:lang w:bidi="ru-RU"/>
              </w:rPr>
              <w:t xml:space="preserve">6.1.14 ПУЭ </w:t>
            </w:r>
          </w:p>
        </w:tc>
      </w:tr>
      <w:tr>
        <w:trPr>
          <w:trHeight w:val="578" w:hRule="exact"/>
        </w:trPr>
        <w:tc>
          <w:tcPr>
            <w:tcW w:w="4535" w:type="dxa"/>
            <w:tcBorders>
              <w:top w:val="single" w:sz="4" w:space="0" w:color="000000"/>
              <w:start w:val="single" w:sz="4" w:space="0" w:color="000000"/>
              <w:bottom w:val="single" w:sz="4" w:space="0" w:color="000000"/>
            </w:tcBorders>
            <w:shd w:color="auto" w:fill="FFFFFF" w:val="clear"/>
            <w:vAlign w:val="center"/>
          </w:tcPr>
          <w:p>
            <w:pPr>
              <w:pStyle w:val="213"/>
              <w:shd w:val="clear" w:color="auto" w:fill="auto"/>
              <w:ind w:hanging="0"/>
              <w:jc w:val="start"/>
              <w:rPr>
                <w:rFonts w:ascii="Verdana" w:hAnsi="Verdana"/>
                <w:sz w:val="22"/>
                <w:szCs w:val="22"/>
              </w:rPr>
            </w:pPr>
            <w:r>
              <w:rPr>
                <w:rFonts w:ascii="Verdana" w:hAnsi="Verdana"/>
                <w:color w:val="000000"/>
                <w:sz w:val="22"/>
                <w:szCs w:val="22"/>
                <w:lang w:bidi="ru-RU"/>
              </w:rPr>
              <w:t xml:space="preserve">Коэффициент мощности </w:t>
            </w:r>
            <w:r>
              <w:rPr>
                <w:rFonts w:ascii="Verdana" w:hAnsi="Verdana"/>
                <w:color w:val="000000"/>
                <w:sz w:val="22"/>
                <w:szCs w:val="22"/>
                <w:lang w:val="en-US" w:eastAsia="en-US" w:bidi="en-US"/>
              </w:rPr>
              <w:t>(PF</w:t>
            </w:r>
            <w:r>
              <w:rPr>
                <w:rFonts w:ascii="Verdana" w:hAnsi="Verdana"/>
                <w:color w:val="000000"/>
                <w:sz w:val="22"/>
                <w:szCs w:val="22"/>
                <w:lang w:bidi="ru-RU"/>
              </w:rPr>
              <w:t>)</w:t>
            </w:r>
          </w:p>
        </w:tc>
        <w:tc>
          <w:tcPr>
            <w:tcW w:w="580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213"/>
              <w:shd w:val="clear" w:color="auto" w:fill="auto"/>
              <w:ind w:hanging="0"/>
              <w:jc w:val="start"/>
              <w:rPr>
                <w:rFonts w:ascii="Verdana" w:hAnsi="Verdana"/>
                <w:sz w:val="22"/>
                <w:szCs w:val="22"/>
              </w:rPr>
            </w:pPr>
            <w:r>
              <w:rPr>
                <w:rFonts w:ascii="Verdana" w:hAnsi="Verdana"/>
                <w:color w:val="000000"/>
                <w:sz w:val="22"/>
                <w:szCs w:val="22"/>
                <w:lang w:bidi="ru-RU"/>
              </w:rPr>
              <w:t xml:space="preserve">В соответствии с требованиями постановления правительства РФ от 24.12.2020 №2255 (п.24)  </w:t>
            </w:r>
          </w:p>
        </w:tc>
      </w:tr>
      <w:tr>
        <w:trPr>
          <w:trHeight w:val="288" w:hRule="exact"/>
        </w:trPr>
        <w:tc>
          <w:tcPr>
            <w:tcW w:w="4535" w:type="dxa"/>
            <w:tcBorders>
              <w:top w:val="single" w:sz="4" w:space="0" w:color="000000"/>
              <w:start w:val="single" w:sz="4" w:space="0" w:color="000000"/>
              <w:bottom w:val="single" w:sz="4" w:space="0" w:color="000000"/>
            </w:tcBorders>
            <w:shd w:color="auto" w:fill="FFFFFF" w:val="clear"/>
            <w:vAlign w:val="center"/>
          </w:tcPr>
          <w:p>
            <w:pPr>
              <w:pStyle w:val="213"/>
              <w:shd w:val="clear" w:color="auto" w:fill="auto"/>
              <w:spacing w:lineRule="exact" w:line="270"/>
              <w:ind w:hanging="0"/>
              <w:jc w:val="start"/>
              <w:rPr>
                <w:rFonts w:ascii="Verdana" w:hAnsi="Verdana"/>
                <w:sz w:val="22"/>
                <w:szCs w:val="22"/>
              </w:rPr>
            </w:pPr>
            <w:r>
              <w:rPr>
                <w:rFonts w:ascii="Verdana" w:hAnsi="Verdana"/>
                <w:color w:val="000000"/>
                <w:sz w:val="22"/>
                <w:szCs w:val="22"/>
                <w:lang w:bidi="ru-RU"/>
              </w:rPr>
              <w:t>Тип крепления</w:t>
            </w:r>
          </w:p>
        </w:tc>
        <w:tc>
          <w:tcPr>
            <w:tcW w:w="580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213"/>
              <w:shd w:val="clear" w:color="auto" w:fill="auto"/>
              <w:spacing w:lineRule="exact" w:line="240"/>
              <w:ind w:hanging="0"/>
              <w:rPr>
                <w:rFonts w:ascii="Verdana" w:hAnsi="Verdana"/>
                <w:sz w:val="22"/>
                <w:szCs w:val="22"/>
              </w:rPr>
            </w:pPr>
            <w:r>
              <w:rPr>
                <w:rFonts w:ascii="Verdana" w:hAnsi="Verdana"/>
                <w:color w:val="000000"/>
                <w:sz w:val="22"/>
                <w:szCs w:val="22"/>
                <w:lang w:bidi="ru-RU"/>
              </w:rPr>
              <w:t>Согласно условиям, указанным в таблице 1</w:t>
            </w:r>
          </w:p>
        </w:tc>
      </w:tr>
      <w:tr>
        <w:trPr>
          <w:trHeight w:val="277" w:hRule="exact"/>
        </w:trPr>
        <w:tc>
          <w:tcPr>
            <w:tcW w:w="4535" w:type="dxa"/>
            <w:tcBorders>
              <w:top w:val="single" w:sz="4" w:space="0" w:color="000000"/>
              <w:start w:val="single" w:sz="4" w:space="0" w:color="000000"/>
              <w:bottom w:val="single" w:sz="4" w:space="0" w:color="000000"/>
            </w:tcBorders>
            <w:shd w:color="auto" w:fill="FFFFFF" w:val="clear"/>
            <w:vAlign w:val="center"/>
          </w:tcPr>
          <w:p>
            <w:pPr>
              <w:pStyle w:val="213"/>
              <w:shd w:val="clear" w:color="auto" w:fill="auto"/>
              <w:spacing w:lineRule="exact" w:line="240"/>
              <w:ind w:hanging="0"/>
              <w:jc w:val="start"/>
              <w:rPr>
                <w:rFonts w:ascii="Verdana" w:hAnsi="Verdana"/>
                <w:sz w:val="22"/>
                <w:szCs w:val="22"/>
              </w:rPr>
            </w:pPr>
            <w:r>
              <w:rPr>
                <w:rFonts w:ascii="Verdana" w:hAnsi="Verdana"/>
                <w:color w:val="000000"/>
                <w:sz w:val="22"/>
                <w:szCs w:val="22"/>
                <w:lang w:bidi="ru-RU"/>
              </w:rPr>
              <w:t xml:space="preserve">Требования к диапазону рабочих температур </w:t>
            </w:r>
          </w:p>
        </w:tc>
        <w:tc>
          <w:tcPr>
            <w:tcW w:w="580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213"/>
              <w:shd w:val="clear" w:color="auto" w:fill="auto"/>
              <w:ind w:hanging="0"/>
              <w:rPr>
                <w:rFonts w:ascii="Verdana" w:hAnsi="Verdana"/>
                <w:sz w:val="22"/>
                <w:szCs w:val="22"/>
              </w:rPr>
            </w:pPr>
            <w:r>
              <w:rPr>
                <w:rFonts w:ascii="Verdana" w:hAnsi="Verdana"/>
                <w:color w:val="000000"/>
                <w:sz w:val="22"/>
                <w:szCs w:val="22"/>
                <w:lang w:bidi="ru-RU"/>
              </w:rPr>
              <w:t>Согласно условиям, указанным в таблице 6</w:t>
            </w:r>
          </w:p>
        </w:tc>
      </w:tr>
      <w:tr>
        <w:trPr>
          <w:trHeight w:val="281" w:hRule="exact"/>
        </w:trPr>
        <w:tc>
          <w:tcPr>
            <w:tcW w:w="4535" w:type="dxa"/>
            <w:tcBorders>
              <w:top w:val="single" w:sz="4" w:space="0" w:color="000000"/>
              <w:start w:val="single" w:sz="4" w:space="0" w:color="000000"/>
              <w:bottom w:val="single" w:sz="4" w:space="0" w:color="000000"/>
            </w:tcBorders>
            <w:shd w:color="auto" w:fill="FFFFFF" w:val="clear"/>
            <w:vAlign w:val="center"/>
          </w:tcPr>
          <w:p>
            <w:pPr>
              <w:pStyle w:val="213"/>
              <w:shd w:val="clear" w:color="auto" w:fill="auto"/>
              <w:spacing w:lineRule="exact" w:line="263"/>
              <w:ind w:hanging="0"/>
              <w:jc w:val="start"/>
              <w:rPr>
                <w:rFonts w:ascii="Verdana" w:hAnsi="Verdana"/>
                <w:sz w:val="22"/>
                <w:szCs w:val="22"/>
              </w:rPr>
            </w:pPr>
            <w:r>
              <w:rPr>
                <w:rFonts w:ascii="Verdana" w:hAnsi="Verdana"/>
                <w:color w:val="000000"/>
                <w:sz w:val="22"/>
                <w:szCs w:val="22"/>
                <w:lang w:bidi="ru-RU"/>
              </w:rPr>
              <w:t>Индекс цветопередачи</w:t>
            </w:r>
          </w:p>
        </w:tc>
        <w:tc>
          <w:tcPr>
            <w:tcW w:w="580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213"/>
              <w:shd w:val="clear" w:color="auto" w:fill="auto"/>
              <w:ind w:hanging="0"/>
              <w:rPr>
                <w:rFonts w:ascii="Verdana" w:hAnsi="Verdana"/>
                <w:sz w:val="22"/>
                <w:szCs w:val="22"/>
              </w:rPr>
            </w:pPr>
            <w:r>
              <w:rPr>
                <w:rFonts w:ascii="Verdana" w:hAnsi="Verdana"/>
                <w:sz w:val="22"/>
                <w:szCs w:val="22"/>
              </w:rPr>
              <w:t>Не менее 70</w:t>
            </w:r>
          </w:p>
        </w:tc>
      </w:tr>
    </w:tbl>
    <w:p>
      <w:pPr>
        <w:pStyle w:val="Normal11"/>
        <w:shd w:val="clear" w:color="auto" w:fill="FFFFFF"/>
        <w:tabs>
          <w:tab w:val="clear" w:pos="369"/>
          <w:tab w:val="left" w:pos="1276" w:leader="none"/>
          <w:tab w:val="left" w:pos="1430" w:leader="none"/>
        </w:tabs>
        <w:ind w:start="709"/>
        <w:jc w:val="end"/>
        <w:rPr>
          <w:rFonts w:ascii="Verdana" w:hAnsi="Verdana"/>
          <w:sz w:val="22"/>
          <w:szCs w:val="22"/>
        </w:rPr>
      </w:pPr>
      <w:r>
        <w:rPr>
          <w:rFonts w:ascii="Verdana" w:hAnsi="Verdana"/>
          <w:sz w:val="22"/>
          <w:szCs w:val="22"/>
        </w:rPr>
      </w:r>
    </w:p>
    <w:p>
      <w:pPr>
        <w:pStyle w:val="Normal11"/>
        <w:shd w:val="clear" w:color="auto" w:fill="FFFFFF"/>
        <w:tabs>
          <w:tab w:val="clear" w:pos="369"/>
          <w:tab w:val="left" w:pos="1276" w:leader="none"/>
          <w:tab w:val="left" w:pos="1430" w:leader="none"/>
        </w:tabs>
        <w:ind w:firstLine="851" w:start="-142"/>
        <w:jc w:val="both"/>
        <w:rPr>
          <w:rFonts w:ascii="Verdana" w:hAnsi="Verdana" w:eastAsia="Verdana" w:cs="Verdana"/>
          <w:sz w:val="22"/>
          <w:szCs w:val="22"/>
        </w:rPr>
      </w:pPr>
      <w:r>
        <w:rPr>
          <w:rFonts w:eastAsia="Verdana" w:cs="Verdana" w:ascii="Verdana" w:hAnsi="Verdana"/>
          <w:sz w:val="22"/>
          <w:szCs w:val="22"/>
        </w:rPr>
        <w:t>1.2.2 Наименование осветительных приборов, применяемых в процессе выполнения работ по модернизации системы освещения в рамках энергосберегающих мероприятий (количество и отдельные типы светильников могут быть изменены по согласованию Сторон на стадии разработки проектной документации без изменения производителя оборудования и требований по достижению гарантированной величины экономии):</w:t>
      </w:r>
    </w:p>
    <w:p>
      <w:pPr>
        <w:pStyle w:val="Normal11"/>
        <w:shd w:val="clear" w:color="auto" w:fill="FFFFFF"/>
        <w:tabs>
          <w:tab w:val="clear" w:pos="369"/>
          <w:tab w:val="left" w:pos="1276" w:leader="none"/>
          <w:tab w:val="left" w:pos="1430" w:leader="none"/>
        </w:tabs>
        <w:ind w:start="709"/>
        <w:jc w:val="end"/>
        <w:rPr>
          <w:rFonts w:ascii="Verdana" w:hAnsi="Verdana"/>
          <w:sz w:val="22"/>
          <w:szCs w:val="22"/>
        </w:rPr>
      </w:pPr>
      <w:r>
        <w:rPr>
          <w:rFonts w:ascii="Verdana" w:hAnsi="Verdana"/>
          <w:sz w:val="22"/>
          <w:szCs w:val="22"/>
        </w:rPr>
        <w:t>Таблица 4</w:t>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830"/>
        <w:gridCol w:w="2337"/>
        <w:gridCol w:w="3299"/>
        <w:gridCol w:w="967"/>
        <w:gridCol w:w="823"/>
        <w:gridCol w:w="821"/>
        <w:gridCol w:w="986"/>
      </w:tblGrid>
      <w:tr>
        <w:trPr>
          <w:tblHeader w:val="true"/>
          <w:trHeight w:val="778"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8"/>
                <w:szCs w:val="18"/>
              </w:rPr>
            </w:pPr>
            <w:r>
              <w:rPr>
                <w:rFonts w:eastAsia="Verdana" w:cs="Verdana" w:ascii="Verdana" w:hAnsi="Verdana"/>
                <w:color w:val="000000"/>
                <w:sz w:val="18"/>
                <w:szCs w:val="18"/>
                <w:lang w:eastAsia="ru-RU"/>
              </w:rPr>
              <w:t xml:space="preserve">№ </w:t>
            </w:r>
            <w:r>
              <w:rPr>
                <w:rFonts w:eastAsia="Verdana" w:cs="Verdana" w:ascii="Verdana" w:hAnsi="Verdana"/>
                <w:color w:val="000000"/>
                <w:sz w:val="18"/>
                <w:szCs w:val="18"/>
                <w:lang w:eastAsia="ru-RU"/>
              </w:rPr>
              <w:t>п.п.</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8"/>
                <w:szCs w:val="18"/>
              </w:rPr>
            </w:pPr>
            <w:r>
              <w:rPr>
                <w:rFonts w:eastAsia="Verdana" w:cs="Verdana" w:ascii="Verdana" w:hAnsi="Verdana"/>
                <w:color w:val="000000"/>
                <w:sz w:val="18"/>
                <w:szCs w:val="18"/>
                <w:lang w:eastAsia="ru-RU"/>
              </w:rPr>
              <w:t>Отделение/Участок</w:t>
            </w:r>
          </w:p>
          <w:p>
            <w:pPr>
              <w:pStyle w:val="Normal"/>
              <w:jc w:val="center"/>
              <w:rPr>
                <w:rFonts w:ascii="Verdana" w:hAnsi="Verdana" w:cs="Verdana"/>
                <w:color w:val="000000"/>
                <w:sz w:val="18"/>
                <w:szCs w:val="18"/>
              </w:rPr>
            </w:pPr>
            <w:r>
              <w:rPr>
                <w:rFonts w:cs="Verdana" w:ascii="Verdana" w:hAnsi="Verdana"/>
                <w:color w:val="000000"/>
                <w:sz w:val="18"/>
                <w:szCs w:val="18"/>
              </w:rPr>
            </w:r>
          </w:p>
          <w:p>
            <w:pPr>
              <w:pStyle w:val="Normal"/>
              <w:jc w:val="center"/>
              <w:rPr>
                <w:rFonts w:ascii="Verdana" w:hAnsi="Verdana" w:cs="Verdana"/>
                <w:color w:val="000000"/>
                <w:sz w:val="18"/>
                <w:szCs w:val="18"/>
              </w:rPr>
            </w:pPr>
            <w:r>
              <w:rPr>
                <w:rFonts w:cs="Verdana" w:ascii="Verdana" w:hAnsi="Verdana"/>
                <w:color w:val="000000"/>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8"/>
                <w:szCs w:val="18"/>
              </w:rPr>
            </w:pPr>
            <w:r>
              <w:rPr>
                <w:rFonts w:eastAsia="Verdana" w:cs="Verdana" w:ascii="Verdana" w:hAnsi="Verdana"/>
                <w:color w:val="000000"/>
                <w:sz w:val="18"/>
                <w:szCs w:val="18"/>
                <w:lang w:eastAsia="ru-RU"/>
              </w:rPr>
              <w:t>Тип осветительного прибора</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8"/>
                <w:szCs w:val="18"/>
              </w:rPr>
            </w:pPr>
            <w:r>
              <w:rPr>
                <w:rFonts w:eastAsia="Verdana" w:cs="Verdana" w:ascii="Verdana" w:hAnsi="Verdana"/>
                <w:color w:val="000000"/>
                <w:sz w:val="18"/>
                <w:szCs w:val="18"/>
                <w:lang w:eastAsia="ru-RU"/>
              </w:rPr>
              <w:t>Мощность Pjном, кВт</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8"/>
                <w:szCs w:val="18"/>
              </w:rPr>
            </w:pPr>
            <w:r>
              <w:rPr>
                <w:rFonts w:eastAsia="Verdana" w:cs="Verdana" w:ascii="Verdana" w:hAnsi="Verdana"/>
                <w:color w:val="000000"/>
                <w:sz w:val="18"/>
                <w:szCs w:val="18"/>
                <w:lang w:eastAsia="ru-RU"/>
              </w:rPr>
              <w:t>Количество z, шт</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8"/>
                <w:szCs w:val="18"/>
              </w:rPr>
            </w:pPr>
            <w:r>
              <w:rPr>
                <w:rFonts w:eastAsia="Verdana" w:cs="Verdana" w:ascii="Verdana" w:hAnsi="Verdana"/>
                <w:color w:val="000000"/>
                <w:sz w:val="18"/>
                <w:szCs w:val="18"/>
                <w:lang w:eastAsia="ru-RU"/>
              </w:rPr>
              <w:t>Фонд рабочего времени Фi, часов</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8"/>
                <w:szCs w:val="18"/>
              </w:rPr>
            </w:pPr>
            <w:r>
              <w:rPr>
                <w:rFonts w:eastAsia="Verdana" w:cs="Verdana" w:ascii="Verdana" w:hAnsi="Verdana"/>
                <w:color w:val="000000"/>
                <w:sz w:val="18"/>
                <w:szCs w:val="18"/>
                <w:lang w:eastAsia="ru-RU"/>
              </w:rPr>
              <w:t>Количество часов работы в сутки Ti, часов</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tabs>
                <w:tab w:val="clear" w:pos="369"/>
                <w:tab w:val="left" w:pos="1226" w:leader="none"/>
              </w:tabs>
              <w:jc w:val="center"/>
              <w:rPr>
                <w:rFonts w:ascii="Verdana" w:hAnsi="Verdana" w:cs="Verdana"/>
                <w:sz w:val="18"/>
                <w:szCs w:val="18"/>
              </w:rPr>
            </w:pPr>
            <w:r>
              <w:rPr>
                <w:rFonts w:eastAsia="Verdana" w:cs="Verdana" w:ascii="Verdana" w:hAnsi="Verdana"/>
                <w:b/>
                <w:bCs/>
                <w:sz w:val="18"/>
                <w:szCs w:val="18"/>
              </w:rPr>
              <w:t>1 Аглоцех</w:t>
            </w:r>
            <w:r>
              <w:rPr>
                <w:rFonts w:eastAsia="Verdana" w:cs="Verdana" w:ascii="Verdana" w:hAnsi="Verdana"/>
                <w:sz w:val="18"/>
                <w:szCs w:val="18"/>
              </w:rPr>
              <w:tab/>
            </w:r>
          </w:p>
        </w:tc>
      </w:tr>
      <w:tr>
        <w:trPr>
          <w:trHeight w:val="49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color w:val="000000"/>
                <w:sz w:val="18"/>
                <w:szCs w:val="18"/>
              </w:rPr>
            </w:pPr>
            <w:r>
              <w:rPr>
                <w:rFonts w:eastAsia="Verdana" w:cs="Verdana" w:ascii="Verdana" w:hAnsi="Verdana"/>
                <w:color w:val="000000"/>
                <w:sz w:val="18"/>
                <w:szCs w:val="18"/>
                <w:lang w:eastAsia="ru-RU"/>
              </w:rPr>
              <w:t>1.1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Освещение над галереей СК-1</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EL.Led.Industry.M7.100.156.750.LAC120.L35W19.IP66.220AC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40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24</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color w:val="000000"/>
                <w:sz w:val="18"/>
                <w:szCs w:val="18"/>
              </w:rPr>
            </w:pPr>
            <w:r>
              <w:rPr>
                <w:rFonts w:eastAsia="Verdana" w:cs="Verdana" w:ascii="Verdana" w:hAnsi="Verdana"/>
                <w:color w:val="000000"/>
                <w:sz w:val="18"/>
                <w:szCs w:val="18"/>
                <w:lang w:eastAsia="ru-RU"/>
              </w:rPr>
              <w:t>1.2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Освещение над галереей СК-2</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EL.Led.Industry.M7.100.156.750.LAC120.L35W19.IP66.220AC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40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24</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1.3</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Освещение штабеля СК-1</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EL.Led.External.PRG.M6.240.394.750.LAC60.L35W52.IP66.220AC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40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24</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1.4</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Освещение штабеля СК-2</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EL.Led.External.PRG.M6.240.394.750.LAC60.L35W52.IP66.220AC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40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24</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1.5</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Боковое освещение СК-1</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EL.Led.Industry.M7.190.315.750.LAC60.L70W19.IP66.220AC(IPC)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0,19</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20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24</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1.6</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Боковое освещение СК-2</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EL.Led.Industry.M7.190.315.750.LAC60.L70W19.IP66.220AC(IPC)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0,19</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20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24</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1.7</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Fonts w:eastAsia="Verdana" w:cs="Verdana" w:ascii="Verdana" w:hAnsi="Verdana"/>
                <w:sz w:val="18"/>
                <w:szCs w:val="18"/>
              </w:rPr>
              <w:t>Освещение отм.+0,0 ось К</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EL.Led.Industry.M7.100.156.750.LAC120.L35W19.IP66.220AC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40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24</w:t>
            </w:r>
          </w:p>
        </w:tc>
      </w:tr>
      <w:tr>
        <w:trPr>
          <w:trHeight w:val="57" w:hRule="atLeast"/>
        </w:trPr>
        <w:tc>
          <w:tcPr>
            <w:tcW w:w="7433" w:type="dxa"/>
            <w:gridSpan w:val="4"/>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b/>
                <w:bCs/>
                <w:sz w:val="18"/>
                <w:szCs w:val="18"/>
              </w:rPr>
            </w:pPr>
            <w:r>
              <w:rPr>
                <w:rFonts w:eastAsia="Verdana" w:cs="Verdana" w:ascii="Verdana" w:hAnsi="Verdana"/>
                <w:b/>
                <w:bCs/>
                <w:sz w:val="18"/>
                <w:szCs w:val="18"/>
              </w:rPr>
              <w:t>Итого по аглоцеху</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b/>
                <w:bCs/>
                <w:sz w:val="18"/>
                <w:szCs w:val="18"/>
              </w:rPr>
              <w:t>240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cs="Verdana" w:ascii="Verdana" w:hAnsi="Verdana"/>
                <w:sz w:val="18"/>
                <w:szCs w:val="18"/>
              </w:rPr>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cs="Verdana" w:ascii="Verdana" w:hAnsi="Verdana"/>
                <w:sz w:val="18"/>
                <w:szCs w:val="18"/>
              </w:rPr>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b/>
                <w:bCs/>
                <w:sz w:val="18"/>
                <w:szCs w:val="18"/>
              </w:rPr>
            </w:pPr>
            <w:r>
              <w:rPr>
                <w:rFonts w:eastAsia="Verdana" w:cs="Verdana" w:ascii="Verdana" w:hAnsi="Verdana"/>
                <w:b/>
                <w:bCs/>
                <w:sz w:val="18"/>
                <w:szCs w:val="18"/>
              </w:rPr>
              <w:t>2 Копровый цех</w:t>
            </w:r>
          </w:p>
        </w:tc>
      </w:tr>
      <w:tr>
        <w:trPr>
          <w:trHeight w:val="207"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sz w:val="18"/>
                <w:szCs w:val="18"/>
              </w:rPr>
            </w:pPr>
            <w:r>
              <w:rPr>
                <w:rFonts w:eastAsia="Verdana" w:cs="Verdana" w:ascii="Verdana" w:hAnsi="Verdana"/>
                <w:color w:val="000000"/>
                <w:sz w:val="18"/>
                <w:szCs w:val="18"/>
              </w:rPr>
              <w:t>2.1 Участок №1</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2.1.1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Мачты освещения (южный блок)</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EL.Led.External.PRG.M6.240.394.750.LAC30.L35W52.IP66.220AC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30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color w:val="000000"/>
                <w:sz w:val="18"/>
                <w:szCs w:val="18"/>
              </w:rPr>
              <w:t>10,69</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2.1.2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Мачты освещения (северный блок)</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EL.Led.External.PRG.M6.240.394.750.LAC30.L35W52.IP66.220AC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18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color w:val="000000"/>
                <w:sz w:val="18"/>
                <w:szCs w:val="18"/>
              </w:rPr>
              <w:t>10,69</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2.1.3</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Мачты освещения (взрывное отделение, склад №23)</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EL.Led.External.PRG.M6.240.394.750.LAC30.L35W52.IP66.220AC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30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color w:val="000000"/>
                <w:sz w:val="18"/>
                <w:szCs w:val="18"/>
              </w:rPr>
              <w:t>10,69</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2.1.4</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СИТ (склад импортной техники)</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EL.Led.Industry.Line.110.167.750.DCC120.L150W8.IP66.230AC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0,11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15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color w:val="000000"/>
                <w:sz w:val="18"/>
                <w:szCs w:val="18"/>
              </w:rPr>
              <w:t>10,69</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2.1.5</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Колоннады №№1, 5, 6, 7, 8, 9, 10</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EL.Led.Industry.M7.160.272.750.LAC90.L70W19.IP66.220AC(IPC)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0,16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84</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color w:val="000000"/>
                <w:sz w:val="18"/>
                <w:szCs w:val="18"/>
              </w:rPr>
              <w:t>10,69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2.1.6</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Освещение участков огнерезной площадки</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color w:val="000000"/>
                <w:sz w:val="18"/>
                <w:szCs w:val="18"/>
              </w:rPr>
              <w:t>10,69</w:t>
            </w:r>
          </w:p>
        </w:tc>
      </w:tr>
      <w:tr>
        <w:trPr>
          <w:trHeight w:val="57"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2.1.7</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18"/>
                <w:szCs w:val="18"/>
              </w:rPr>
              <w:t>Пресса, пресс-ножницы</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80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8"/>
                <w:szCs w:val="18"/>
              </w:rPr>
            </w:pPr>
            <w:r>
              <w:rPr>
                <w:rFonts w:eastAsia="Verdana" w:cs="Verdana" w:ascii="Verdana" w:hAnsi="Verdana"/>
                <w:sz w:val="18"/>
                <w:szCs w:val="18"/>
              </w:rPr>
              <w:t>24</w:t>
            </w:r>
          </w:p>
        </w:tc>
      </w:tr>
      <w:tr>
        <w:trPr>
          <w:trHeight w:val="207"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sz w:val="18"/>
                <w:szCs w:val="18"/>
              </w:rPr>
            </w:pPr>
            <w:r>
              <w:rPr>
                <w:rFonts w:eastAsia="Verdana" w:cs="Verdana" w:ascii="Verdana" w:hAnsi="Verdana"/>
                <w:color w:val="000000"/>
                <w:sz w:val="18"/>
                <w:szCs w:val="18"/>
              </w:rPr>
              <w:t>2.2 Участок №2</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2.2.1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Мачты освещения</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EL.Led.External.PRG.M6.240.394.750.LAC60.L35W52.IP66.220AC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408"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2.2.2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Бойное отделение</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EL.Led.External.PRG.M6.440.668.750.LAC30.L67W52.IP66.220AC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2.2.3</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Колоннады №1, 2, 3, 4, 5</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EL.Led.Industry.M7.160.272.750.LAC90.L70W19.IP66.220AC(IPC)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EL.Led.Industry.M7.100.156.750.LAC156x59.L35W19.IP66.220AC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2.2.4</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Fonts w:eastAsia="Verdana" w:cs="Verdana" w:ascii="Verdana" w:hAnsi="Verdana"/>
                <w:sz w:val="18"/>
                <w:szCs w:val="18"/>
              </w:rPr>
              <w:t>Освещение участков огнерезной площадки</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7</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2.2.5</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Пресса, пресс-ножницы</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EL.Led.Industry.Line.110.167.750.DCC120.L150W8.IP66.230AC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EL.Led.Industry.Line.60.89.750.DCC120.L100W8.IP66.230AC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color w:val="000000"/>
                <w:sz w:val="18"/>
                <w:szCs w:val="18"/>
              </w:rPr>
              <w:t>2.3 Участок №3</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2.3.1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Мачты освещения</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EL.Led.External.PRG.M6.440.668.750.LAC60.L67W52.IP66.220AC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448"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2.3.2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Галерея щеточных машин</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2.3.3</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Пресс-ножницы</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EL.Led.Industry.Line.60.89.750.DCC120.L100W8.IP66.230AC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7</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7433" w:type="dxa"/>
            <w:gridSpan w:val="4"/>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bCs/>
                <w:sz w:val="18"/>
                <w:szCs w:val="18"/>
              </w:rPr>
            </w:pPr>
            <w:r>
              <w:rPr>
                <w:rFonts w:eastAsia="Verdana" w:cs="Verdana" w:ascii="Verdana" w:hAnsi="Verdana"/>
                <w:b/>
                <w:bCs/>
                <w:sz w:val="18"/>
                <w:szCs w:val="18"/>
              </w:rPr>
              <w:t>Итого по копровому цеху</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b/>
                <w:bCs/>
                <w:sz w:val="18"/>
                <w:szCs w:val="18"/>
              </w:rPr>
              <w:t>479</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b/>
                <w:bCs/>
                <w:sz w:val="18"/>
                <w:szCs w:val="18"/>
              </w:rPr>
            </w:pPr>
            <w:r>
              <w:rPr>
                <w:rFonts w:eastAsia="Verdana" w:cs="Verdana" w:ascii="Verdana" w:hAnsi="Verdana"/>
                <w:b/>
                <w:bCs/>
                <w:sz w:val="18"/>
                <w:szCs w:val="18"/>
              </w:rPr>
              <w:t>3 ЦПАШ</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3.1 Отделение №1</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3.1.1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Конвейер №2 (справа по ходу ленты)</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EL.Led.Industry.Line.40.58.750.DCC120.L50W8.IP66.230AC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37</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3.1.2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Конвейер №2 (слева по ходу ленты)</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EL.Led.Industry.Line.40.58.750.DCC120.L50W8.IP66.230AC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37</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3.1.3</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Конвейер №1 (справа по ходу ленты от ПУ-1 до ПУ-2)</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EL.Led.Industry.Line.40.58.750.DCC120.L50W8.IP66.230AC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37</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3.1.4</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Конвейер №3 (слева по ходу ленты от ПУ-1 до ПУ-2)</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EL.Led.Industry.Line.40.58.750.DCC120.L50W8.IP66.230AC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37</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3.1.5</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Конвейер №7</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EL.Led.Industry.Line.40.58.750.DCC120.L50W8.IP66.230AC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3.1.6</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Конвейер №8</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EL.Led.Industry.Line.40.58.750.DCC120.L50W8.IP66.230AC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3.2 Отделение №2</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ПУ-2 наружное освещение</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EL.Led.External.PRG.M6.440.668.750.LAC60.L67W52.IP66.220AC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ПУ-3 наружное освещение</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EL.Led.External.PRG.M6.440.668.750.LAC60.L67W52.IP66.220AC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3.2.3</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ПУ-4 наружное освещение</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EL.Led.External.PRG.M6.440.668.750.LAC60.L67W52.IP66.220AC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3.2.4</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Временный склад, ж/д тупик №35</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EL.Led.External.PRG.M6.440.668.750.LAC60.L67W52.IP66.220AC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3.2.5</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Автогараж. Наружное освещение</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EL.Led.Industry.M7.60.93.750.LAC90.L18W19.IP66.220AC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3.2.6</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КВО №5</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EL.Led.External.PRG.M6.440.668.750.LAC60.L67W52.IP66.220AC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3.2.7</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 xml:space="preserve">Конвейер №3 </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EL.Led.Industry.Line.40.58.750.DCC120.L50W8.IP66.230AC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3.2.8</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Конвейер №4</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EL.Led.Industry.Line.40.58.750.DCC120.L50W8.IP66.230AC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3.2.9</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Галерея ЛК №13 (справа по ходу ленты, боковое)</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EL.Led.Industry.Line.40.58.750.DCC120.L50W8.IP66.230AC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3.2.10</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Галерея ЛК №13 (потолочное)</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EL.Led.Industry.Line.80.121.750.DCC120.L100W8.IP66.230AC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0,08</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3.2.11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Галерея ЛК №14 (справа по ходу ленты, боковое)</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EL.Led.Industry.Line.40.58.750.DCC120.L50W8.IP66.230AC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3.2.12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Галерея ЛК №14 (потолочное)</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EL.Led.Industry.Line.80.121.750.DCC120.L100W8.IP66.230AC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0,08</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3.2.13</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ПУ-1 потолочное освещение</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EL.Led.Industry.Line.60.89.750.DCC120.L100W8.IP66.230AC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3.2.14</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ПУ-4 потолочное освещение</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3.2.15</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Мачты между ЦПАШ и аглофабрикой</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EL.Led.External.PRG.M6.440.668.750.LAC30.L67W52.IP66.220AC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7433" w:type="dxa"/>
            <w:gridSpan w:val="4"/>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bCs/>
                <w:sz w:val="18"/>
                <w:szCs w:val="18"/>
              </w:rPr>
            </w:pPr>
            <w:r>
              <w:rPr>
                <w:rFonts w:eastAsia="Verdana" w:cs="Verdana" w:ascii="Verdana" w:hAnsi="Verdana"/>
                <w:b/>
                <w:bCs/>
                <w:sz w:val="18"/>
                <w:szCs w:val="18"/>
              </w:rPr>
              <w:t>Итого по ЦПАШ</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b/>
                <w:bCs/>
                <w:sz w:val="18"/>
                <w:szCs w:val="18"/>
              </w:rPr>
              <w:t>560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b/>
                <w:bCs/>
                <w:sz w:val="18"/>
                <w:szCs w:val="18"/>
              </w:rPr>
            </w:pPr>
            <w:r>
              <w:rPr>
                <w:rFonts w:eastAsia="Verdana" w:cs="Verdana" w:ascii="Verdana" w:hAnsi="Verdana"/>
                <w:b/>
                <w:bCs/>
                <w:sz w:val="18"/>
                <w:szCs w:val="18"/>
              </w:rPr>
              <w:t>4 ЦЖТ</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4.1 Станция «Флюсовая»</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4.1.1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Пост №5</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4144</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11,35</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4.1.2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Пост №6</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4144</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11,35</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4.2 Станция «Доломитовая»</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4.2.1</w:t>
            </w:r>
          </w:p>
          <w:p>
            <w:pPr>
              <w:pStyle w:val="Normal"/>
              <w:rPr>
                <w:rFonts w:ascii="Verdana" w:hAnsi="Verdana" w:eastAsia="Verdana" w:cs="Verdana"/>
                <w:sz w:val="18"/>
                <w:szCs w:val="18"/>
              </w:rPr>
            </w:pPr>
            <w:r>
              <w:rPr>
                <w:rFonts w:eastAsia="Verdana" w:cs="Verdana" w:ascii="Verdana" w:hAnsi="Verdana"/>
                <w:sz w:val="18"/>
                <w:szCs w:val="18"/>
              </w:rPr>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Ст. Доломитовая</w:t>
            </w:r>
          </w:p>
          <w:p>
            <w:pPr>
              <w:pStyle w:val="Normal"/>
              <w:rPr>
                <w:rFonts w:ascii="Verdana" w:hAnsi="Verdana" w:eastAsia="Verdana" w:cs="Verdana"/>
                <w:sz w:val="18"/>
                <w:szCs w:val="18"/>
              </w:rPr>
            </w:pPr>
            <w:r>
              <w:rPr>
                <w:rFonts w:eastAsia="Verdana" w:cs="Verdana" w:ascii="Verdana" w:hAnsi="Verdana"/>
                <w:sz w:val="18"/>
                <w:szCs w:val="18"/>
              </w:rPr>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EL.Led.External.PRG.M6.440.668.750.LAC60.L67W52.IP66.220AC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4144</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11,35</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7</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4144</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11,35</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EL.Led.External.PRG.M6.440.668.750.LAC30.L67W52.IP66.220AC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4144</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11,35</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4.3 Станция «Лисья гора»</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4.3.1</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Ст. Лисья гора</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4144</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11,35</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EL.Led.External.PRG.M6.440.668.750.LAC60.L67W52.IP66.220AC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4144</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11,35</w:t>
            </w:r>
          </w:p>
        </w:tc>
      </w:tr>
      <w:tr>
        <w:trPr>
          <w:trHeight w:val="219" w:hRule="atLeast"/>
        </w:trPr>
        <w:tc>
          <w:tcPr>
            <w:tcW w:w="7433" w:type="dxa"/>
            <w:gridSpan w:val="4"/>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bCs/>
                <w:sz w:val="18"/>
                <w:szCs w:val="18"/>
              </w:rPr>
            </w:pPr>
            <w:r>
              <w:rPr>
                <w:rFonts w:eastAsia="Verdana" w:cs="Verdana" w:ascii="Verdana" w:hAnsi="Verdana"/>
                <w:b/>
                <w:bCs/>
                <w:sz w:val="18"/>
                <w:szCs w:val="18"/>
              </w:rPr>
              <w:t>Итого по ЦЖТ</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b/>
                <w:bCs/>
                <w:sz w:val="18"/>
                <w:szCs w:val="18"/>
              </w:rPr>
              <w:t>49</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b/>
                <w:bCs/>
                <w:sz w:val="18"/>
                <w:szCs w:val="18"/>
              </w:rPr>
              <w:t>5 ЭСПЦ</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color w:val="000000"/>
                <w:sz w:val="18"/>
                <w:szCs w:val="18"/>
              </w:rPr>
              <w:t>5.1 Загрузочный пролет Д-Е</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5.1.1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Д-Е оси (1- 17)</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EL.Led.Industry.M7.190.315.750.LAC60.L70W19.IP66.220AC(IPC)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0,19</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5.1.2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Д-Е оси (17- 35)</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EL.Led.External.PRG.M6.240.394.750.LAC30.L35W52.IP66.220AC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33</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5.1.3</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Д-Е оси (35- 64)</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EL.Led.Industry.M7.160.272.750.LAC90.L70W19.IP66.220AC(IPC)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112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color w:val="000000"/>
                <w:sz w:val="18"/>
                <w:szCs w:val="18"/>
              </w:rPr>
              <w:t>5.2 Печной пролет Г-Д</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5.2.1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Fonts w:eastAsia="Verdana" w:cs="Verdana" w:ascii="Verdana" w:hAnsi="Verdana"/>
                <w:sz w:val="18"/>
                <w:szCs w:val="18"/>
              </w:rPr>
              <w:t>Пролет Г-Д оси 1-17 Ремонт ковшей</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EL.Led.External.PRG.M6.440.668.750.LAC90.L67W52.IP66.220AC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31</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5.2.2</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Г-д  оси 17- 37 ДСП №1, 2</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EL.Led.External.PRG.M6.440.668.750.LAC30.L67W52.IP66.220AC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El.Led.Term.M5.560.728.750.LGC.30.L150W20.IP66.230AC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0,56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5.2.3</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Г-Д оси 37- 64 МНЛ3 №5</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EL.Led.External.PRG.M6.240.394.750.LAC30.L35W52.IP66.220AC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41</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5.2.4</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Г-Д оси 64- 69 Миксер №5</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EL.Led.External.PRG.M6.240.394.750.LAC30.L35W52.IP66.220AC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color w:val="000000"/>
                <w:sz w:val="18"/>
                <w:szCs w:val="18"/>
              </w:rPr>
              <w:t>5.3 Пролет В-Г</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5.3.1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МНЛЗ №1, 2   оси 0-14</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EL.Led.External.PRG.M6.440.668.750.LAC30.L67W52.IP66.220AC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5.3.2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Fonts w:eastAsia="Verdana" w:cs="Verdana" w:ascii="Verdana" w:hAnsi="Verdana"/>
                <w:sz w:val="18"/>
                <w:szCs w:val="18"/>
              </w:rPr>
              <w:t>Участок ковшей оси</w:t>
            </w:r>
          </w:p>
          <w:p>
            <w:pPr>
              <w:pStyle w:val="Normal"/>
              <w:rPr>
                <w:rFonts w:ascii="Verdana" w:hAnsi="Verdana" w:eastAsia="Verdana" w:cs="Verdana"/>
                <w:sz w:val="18"/>
                <w:szCs w:val="18"/>
              </w:rPr>
            </w:pPr>
            <w:r>
              <w:rPr>
                <w:rFonts w:eastAsia="Verdana" w:cs="Verdana" w:ascii="Verdana" w:hAnsi="Verdana"/>
                <w:sz w:val="18"/>
                <w:szCs w:val="18"/>
              </w:rPr>
              <w:t>14-48</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EL.Led.External.PRG.M6.240.394.750.LAC30.L35W52.IP66.220AC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112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5.3.3</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МНЛ3 №5 оси 48-69</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EL.Led.External.PRG.M6.240.394.750.LAC30.L35W52.IP66.220AC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color w:val="000000"/>
                <w:sz w:val="18"/>
                <w:szCs w:val="18"/>
              </w:rPr>
              <w:t>5.4 Пролет В-В’’</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5.4.1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Fonts w:eastAsia="Verdana" w:cs="Verdana" w:ascii="Verdana" w:hAnsi="Verdana"/>
                <w:sz w:val="18"/>
                <w:szCs w:val="18"/>
              </w:rPr>
              <w:t>Оси 24-40 Ремонт</w:t>
            </w:r>
          </w:p>
          <w:p>
            <w:pPr>
              <w:pStyle w:val="Normal"/>
              <w:rPr>
                <w:rFonts w:ascii="Verdana" w:hAnsi="Verdana" w:eastAsia="Verdana" w:cs="Verdana"/>
                <w:sz w:val="18"/>
                <w:szCs w:val="18"/>
              </w:rPr>
            </w:pPr>
            <w:r>
              <w:rPr>
                <w:rFonts w:eastAsia="Verdana" w:cs="Verdana" w:ascii="Verdana" w:hAnsi="Verdana"/>
                <w:sz w:val="18"/>
                <w:szCs w:val="18"/>
              </w:rPr>
              <w:t>промковшей</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EL.Led.Industry.M7.190.315.750.LAC60.L70W19.IP66.220AC(IPC)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0,19</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color w:val="000000"/>
                <w:sz w:val="18"/>
                <w:szCs w:val="18"/>
              </w:rPr>
              <w:t>5.5 Пролет Б-В</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5.5.1</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Оси 10-23</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EL.Led.Industry.M7.190.315.750.LAC60.L70W19.IP66.220AC(IPC)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0,19</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19</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El.Led.Term.M5.560.728.750.LGC.30.L150W20.IP66.230AC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0,56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color w:val="000000"/>
                <w:sz w:val="18"/>
                <w:szCs w:val="18"/>
              </w:rPr>
              <w:t>5.6 Пролет А-Б</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5.6.1</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Оси 0-27 Склад готовой продукции</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EL.Led.Industry.M7.190.315.750.LAC90.L70W19.IP66.220AC(IPC)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0,19</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EL.Led.Industry.Term.300.434.750.DGC120.L44W21.IP66.220AC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0,3</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color w:val="000000"/>
                <w:sz w:val="18"/>
                <w:szCs w:val="18"/>
              </w:rPr>
              <w:t>5.7 Дворы</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5.7.1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Двор сыпучих Поолет А-Б оси 1-23</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EL.Led.External.PRG.M6.240.394.750.LAC90.L35W52.IP66.220AC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5.7.2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Двор металла Пролет И-К  оси 1 -27</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EL.Led.External.PRG.M6.240.394.750.LAC90.L35W52.IP66.220AC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37</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5.7.3</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Наружное освещение</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EL.Led.External.PRG.M6.240.394.750.LAC60.L35W52.IP66.220AC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EL.Led.Industry.M7.100.156.750.LAC120.L35W19.IP66.220AC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color w:val="000000"/>
                <w:sz w:val="18"/>
                <w:szCs w:val="18"/>
              </w:rPr>
              <w:t>5.8 Автопроезды</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5.8.1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Д-С оси 1-2</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EL.Led.Industry.M7.100.156.750.LAC120.L35W19.IP66.220AC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5.8.2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С-Е оси 1-14</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EL.Led.Industry.M7.100.156.750.LAC120.L35W19.IP66.220AC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5.8.3</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С-Е оси  17-29</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EL.Led.Industry.M7.100.156.750.LAC120.L35W19.IP66.220AC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5.8.4</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С-Е оси 29-37</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EL.Led.Industry.M7.100.156.750.LAC120.L35W19.IP66.220AC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5.8.5</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Д-Е оси 37- 64</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EL.Led.Industry.M7.100.156.750.LAC120.L35W19.IP66.220AC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5.8.6</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Пролет Б/1-В оси 13-22</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EL.Led.Industry.M7.100.156.750.LAC120.L35W19.IP66.220AC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color w:val="000000"/>
                <w:sz w:val="18"/>
                <w:szCs w:val="18"/>
              </w:rPr>
              <w:t>5.9 Пролет А-Б (отдельно стоящее здание)</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5.9.1</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Миксер №1 оси 1-8</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EL.Led.External.PRG.M6.440.668.750.LAC30.L67W52.IP66.220AC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EL.Led.External.PRG.M6.440.668.750.LAC90.L67W52.IP66.220AC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color w:val="000000"/>
                <w:sz w:val="18"/>
                <w:szCs w:val="18"/>
              </w:rPr>
              <w:t>5.10 Пролет А-Б (отдельно стоящее здание)</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5.10.1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 xml:space="preserve">Оси 1-7   НФС АПК-3 </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EL.Led.Industry.M7.100.156.750.LAC120.L35W19.IP66.220AC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14</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7433" w:type="dxa"/>
            <w:gridSpan w:val="4"/>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bCs/>
                <w:sz w:val="18"/>
                <w:szCs w:val="18"/>
              </w:rPr>
            </w:pPr>
            <w:r>
              <w:rPr>
                <w:rFonts w:eastAsia="Verdana" w:cs="Verdana" w:ascii="Verdana" w:hAnsi="Verdana"/>
                <w:b/>
                <w:bCs/>
                <w:sz w:val="18"/>
                <w:szCs w:val="18"/>
              </w:rPr>
              <w:t>Итого по ЭСПЦ</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b/>
                <w:bCs/>
                <w:sz w:val="18"/>
                <w:szCs w:val="18"/>
              </w:rPr>
              <w:t>982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b/>
                <w:bCs/>
                <w:sz w:val="18"/>
                <w:szCs w:val="18"/>
              </w:rPr>
              <w:t>6 УПП</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6.1 Участок оборудования №1</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6.1.1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№77</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EL.Led.External.PRG.M6.440.668.750.LAC90.L67W52.IP66.220AC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6.1.2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№82</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EL.Led.External.PRG.M6.240.394.750.LAC90.L35W52.IP66.220AC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90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6.1.3</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№80</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EL.Led.Industry.M7.100.156.750.LAC60.L35W19.IP66.220AC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19</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6.1.4</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Мачта №1</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EL.Led.External.PRG.M6.440.668.750.LAC60.L67W52.IP66.220AC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6.1.5</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Мачта №2</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EL.Led.External.PRG.M6.440.668.750.LAC60.L67W52.IP66.220AC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436"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6.1.6</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Мачта №3</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EL.Led.External.PRG.M6.440.668.750.LAC60.L67W52.IP66.220AC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6.2 Участок №1</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6.2.1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№43</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EL.Led.Industry.Line.60.89.750.DCC120.L100W8.IP66.230AC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6.2.2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№20(13)</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EL.Led.Industry.M7.60.93.750.LAC90.L18W19.IP66.220AC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6.2.3</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№16</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EL.Led.Industry.M7.60.93.750.LAC90.L18W19.IP66.220AC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6.2.4</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№5 (холодный)</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EL.Led.Industry.M7.160.272.750.LAC90.L70W19.IP66.220AC(IPC)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6.2.5</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Ремонтный бокс</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EL.Led.Industry.M7.100.156.750.LAC156x59.L35W19.IP66.220AC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EL.Led.Industry.Line.60.89.750.DCC120.L100W8.IP66.230AC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9</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6.2.6</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№32</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EL.Led.Industry.M7.190.315.750.LAC90.L70W19.IP66.220AC(IPC)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0,19</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76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6.2.7</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Мачта освещения №1</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EL.Led.External.PRG.M6.240.394.750.LAC30.L35W52.IP66.220AC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6.2.8</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Мачта освещения №2</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EL.Led.External.PRG.M6.240.394.750.LAC30.L35W52.IP66.220AC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3901</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10,69</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6.3 Участок Погрузки-выгрузки</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6.3.1</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№45</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EL.Led.External.PRG.M6.240.394.750.LAC90.L35W52.IP66.220AC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33</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EL.Led.Industry.M7.160.272.750.LAC90.L70W19.IP66.220AC(IPC)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99</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6.3.2</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№33</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EL.Led.Industry.M7.190.315.750.LAC90.L70W19.IP66.220AC(IPC)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0,19</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180</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EL.Led.Industry.M7.160.272.750.LAC90.L70W19.IP66.220AC(IPC)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0,16</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41</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6.3.3</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№30</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EL.Led.Industry.M7.100.156.750.LAC90.L35W19.IP66.220AC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76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10063"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6.3 Участок ШДФ и НФП</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6.4.1</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№35</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ДСП 3НП 30-012</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0,03</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377</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6.4.2</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№34</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ДСП 3НП 70-012</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0,07</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73</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83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6.4.3</w:t>
            </w:r>
          </w:p>
          <w:p>
            <w:pPr>
              <w:pStyle w:val="Normal"/>
              <w:rPr>
                <w:rFonts w:ascii="Verdana" w:hAnsi="Verdana" w:eastAsia="Verdana" w:cs="Verdana"/>
                <w:sz w:val="18"/>
                <w:szCs w:val="18"/>
              </w:rPr>
            </w:pPr>
            <w:r>
              <w:rPr>
                <w:rFonts w:eastAsia="Verdana" w:cs="Verdana" w:ascii="Verdana" w:hAnsi="Verdana"/>
                <w:sz w:val="18"/>
                <w:szCs w:val="18"/>
              </w:rPr>
            </w:r>
          </w:p>
        </w:tc>
        <w:tc>
          <w:tcPr>
            <w:tcW w:w="233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№50</w:t>
            </w:r>
          </w:p>
          <w:p>
            <w:pPr>
              <w:pStyle w:val="Normal"/>
              <w:rPr>
                <w:rFonts w:ascii="Verdana" w:hAnsi="Verdana" w:eastAsia="Verdana" w:cs="Verdana"/>
                <w:sz w:val="18"/>
                <w:szCs w:val="18"/>
              </w:rPr>
            </w:pPr>
            <w:r>
              <w:rPr>
                <w:rFonts w:eastAsia="Verdana" w:cs="Verdana" w:ascii="Verdana" w:hAnsi="Verdana"/>
                <w:sz w:val="18"/>
                <w:szCs w:val="18"/>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EL.Led.External.PRG.M6.240.394.750.LAC90.L35W52.IP66.220AC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0,24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34</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76" w:hRule="atLeast"/>
        </w:trPr>
        <w:tc>
          <w:tcPr>
            <w:tcW w:w="830"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2337"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EL.Led.Industry.M7.190.315.750.LAC90.L70W19.IP66.220AC(IPC)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0,19</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68</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6.4.4</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№56</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EL.Led.External.PRG.M6.440.668.750.LAC90.L67W52.IP66.220AC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36</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8760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24</w:t>
            </w:r>
          </w:p>
        </w:tc>
      </w:tr>
      <w:tr>
        <w:trPr>
          <w:trHeight w:val="219" w:hRule="atLeast"/>
        </w:trPr>
        <w:tc>
          <w:tcPr>
            <w:tcW w:w="83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6.4.5</w:t>
            </w:r>
          </w:p>
        </w:tc>
        <w:tc>
          <w:tcPr>
            <w:tcW w:w="233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t>Склад №54</w:t>
            </w:r>
          </w:p>
        </w:tc>
        <w:tc>
          <w:tcPr>
            <w:tcW w:w="329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18"/>
                <w:szCs w:val="18"/>
                <w:lang w:val="en-US"/>
              </w:rPr>
              <w:t>EL.Led.External.PRG.M6.440.668.750.LAC90.L67W52.IP66.220AC</w:t>
            </w:r>
          </w:p>
        </w:tc>
        <w:tc>
          <w:tcPr>
            <w:tcW w:w="96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0,44</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2150</w:t>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sz w:val="18"/>
                <w:szCs w:val="18"/>
              </w:rPr>
              <w:t>5,89</w:t>
            </w:r>
          </w:p>
        </w:tc>
      </w:tr>
      <w:tr>
        <w:trPr>
          <w:trHeight w:val="219" w:hRule="atLeast"/>
        </w:trPr>
        <w:tc>
          <w:tcPr>
            <w:tcW w:w="7433" w:type="dxa"/>
            <w:gridSpan w:val="4"/>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b/>
                <w:bCs/>
                <w:sz w:val="18"/>
                <w:szCs w:val="18"/>
              </w:rPr>
              <w:t>Итого по УПП</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bCs/>
                <w:sz w:val="18"/>
                <w:szCs w:val="18"/>
              </w:rPr>
            </w:pPr>
            <w:r>
              <w:rPr>
                <w:rFonts w:eastAsia="Verdana" w:cs="Verdana" w:ascii="Verdana" w:hAnsi="Verdana"/>
                <w:b/>
                <w:bCs/>
                <w:sz w:val="18"/>
                <w:szCs w:val="18"/>
              </w:rPr>
              <w:t>1422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r>
      <w:tr>
        <w:trPr>
          <w:trHeight w:val="219" w:hRule="atLeast"/>
        </w:trPr>
        <w:tc>
          <w:tcPr>
            <w:tcW w:w="7433" w:type="dxa"/>
            <w:gridSpan w:val="4"/>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b/>
                <w:bCs/>
                <w:sz w:val="18"/>
                <w:szCs w:val="18"/>
              </w:rPr>
              <w:t>Всего по всем объектам разработки</w:t>
            </w:r>
          </w:p>
        </w:tc>
        <w:tc>
          <w:tcPr>
            <w:tcW w:w="82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b/>
                <w:bCs/>
                <w:sz w:val="18"/>
                <w:szCs w:val="18"/>
              </w:rPr>
              <w:t>3732</w:t>
            </w:r>
          </w:p>
        </w:tc>
        <w:tc>
          <w:tcPr>
            <w:tcW w:w="82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c>
          <w:tcPr>
            <w:tcW w:w="986"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18"/>
                <w:szCs w:val="18"/>
              </w:rPr>
            </w:r>
          </w:p>
        </w:tc>
      </w:tr>
    </w:tbl>
    <w:p>
      <w:pPr>
        <w:pStyle w:val="Normal11"/>
        <w:shd w:val="clear" w:color="auto" w:fill="FFFFFF"/>
        <w:tabs>
          <w:tab w:val="clear" w:pos="369"/>
          <w:tab w:val="left" w:pos="1276" w:leader="none"/>
          <w:tab w:val="left" w:pos="1430" w:leader="none"/>
        </w:tabs>
        <w:ind w:firstLine="709"/>
        <w:jc w:val="both"/>
        <w:rPr>
          <w:rFonts w:ascii="Verdana" w:hAnsi="Verdana" w:cs="Verdana"/>
          <w:sz w:val="22"/>
          <w:szCs w:val="22"/>
        </w:rPr>
      </w:pPr>
      <w:r>
        <w:rPr>
          <w:rFonts w:cs="Verdana" w:ascii="Verdana" w:hAnsi="Verdana"/>
          <w:sz w:val="22"/>
          <w:szCs w:val="22"/>
        </w:rPr>
      </w:r>
    </w:p>
    <w:p>
      <w:pPr>
        <w:pStyle w:val="Normal11"/>
        <w:shd w:val="clear" w:color="auto" w:fill="FFFFFF"/>
        <w:tabs>
          <w:tab w:val="clear" w:pos="369"/>
          <w:tab w:val="left" w:pos="1276" w:leader="none"/>
          <w:tab w:val="left" w:pos="1430" w:leader="none"/>
        </w:tabs>
        <w:ind w:firstLine="709"/>
        <w:jc w:val="both"/>
        <w:rPr>
          <w:rFonts w:ascii="Verdana" w:hAnsi="Verdana" w:eastAsia="Verdana" w:cs="Verdana"/>
          <w:sz w:val="22"/>
          <w:szCs w:val="22"/>
        </w:rPr>
      </w:pPr>
      <w:r>
        <w:rPr>
          <w:rFonts w:eastAsia="Verdana" w:cs="Verdana" w:ascii="Verdana" w:hAnsi="Verdana"/>
          <w:sz w:val="22"/>
          <w:szCs w:val="22"/>
        </w:rPr>
        <w:t>Фонд рабочего времени, указанный в настоящем Техническом задании, является фиксированным и не подлежит изменению в течение срока действия Договора. В случае изменения Заказчиком часов работы, расчет платы за экономию осуществляется исходя из согласованного сторонами режима работы Объектов и не зависит от произведенных изменений.</w:t>
      </w:r>
    </w:p>
    <w:p>
      <w:pPr>
        <w:pStyle w:val="Normal11"/>
        <w:shd w:val="clear" w:color="auto" w:fill="FFFFFF"/>
        <w:tabs>
          <w:tab w:val="clear" w:pos="369"/>
          <w:tab w:val="left" w:pos="0" w:leader="none"/>
          <w:tab w:val="left" w:pos="1276" w:leader="none"/>
        </w:tabs>
        <w:ind w:start="480"/>
        <w:jc w:val="both"/>
        <w:rPr>
          <w:rFonts w:ascii="Verdana" w:hAnsi="Verdana"/>
          <w:sz w:val="22"/>
          <w:szCs w:val="22"/>
        </w:rPr>
      </w:pPr>
      <w:r>
        <w:rPr>
          <w:rFonts w:ascii="Verdana" w:hAnsi="Verdana"/>
          <w:sz w:val="22"/>
          <w:szCs w:val="22"/>
        </w:rPr>
        <w:t>1.2.3 Конструктивные требования к оборудованию.</w:t>
      </w:r>
    </w:p>
    <w:p>
      <w:pPr>
        <w:pStyle w:val="Normal11"/>
        <w:shd w:val="clear" w:color="auto" w:fill="FFFFFF"/>
        <w:tabs>
          <w:tab w:val="clear" w:pos="369"/>
          <w:tab w:val="left" w:pos="1276" w:leader="none"/>
          <w:tab w:val="left" w:pos="1430" w:leader="none"/>
        </w:tabs>
        <w:ind w:firstLine="709"/>
        <w:jc w:val="both"/>
        <w:rPr>
          <w:rFonts w:ascii="Verdana" w:hAnsi="Verdana"/>
          <w:sz w:val="22"/>
          <w:szCs w:val="22"/>
        </w:rPr>
      </w:pPr>
      <w:r>
        <w:rPr>
          <w:rFonts w:ascii="Verdana" w:hAnsi="Verdana"/>
          <w:sz w:val="22"/>
          <w:szCs w:val="22"/>
        </w:rPr>
        <w:t>- оборудовать каждый осветительный прибор электроустановочными изделиями позволяющим оперативный вывод оборудования из работы для обслуживания и ремонта;</w:t>
      </w:r>
    </w:p>
    <w:p>
      <w:pPr>
        <w:pStyle w:val="Normal11"/>
        <w:shd w:val="clear" w:color="auto" w:fill="FFFFFF"/>
        <w:tabs>
          <w:tab w:val="clear" w:pos="369"/>
          <w:tab w:val="left" w:pos="1276" w:leader="none"/>
          <w:tab w:val="left" w:pos="1430" w:leader="none"/>
        </w:tabs>
        <w:ind w:firstLine="709"/>
        <w:jc w:val="both"/>
        <w:rPr>
          <w:rFonts w:ascii="Verdana" w:hAnsi="Verdana"/>
          <w:sz w:val="22"/>
          <w:szCs w:val="22"/>
        </w:rPr>
      </w:pPr>
      <w:r>
        <w:rPr>
          <w:rFonts w:ascii="Verdana" w:hAnsi="Verdana"/>
          <w:sz w:val="22"/>
          <w:szCs w:val="22"/>
        </w:rPr>
        <w:t>- установить по необходимости устройства защиты питающей сети от коммутационных и грозовых помех.</w:t>
      </w:r>
    </w:p>
    <w:p>
      <w:pPr>
        <w:pStyle w:val="44"/>
        <w:shd w:val="clear" w:color="auto" w:fill="FFFFFF"/>
        <w:tabs>
          <w:tab w:val="clear" w:pos="369"/>
          <w:tab w:val="left" w:pos="0" w:leader="none"/>
          <w:tab w:val="left" w:pos="1276" w:leader="none"/>
        </w:tabs>
        <w:ind w:firstLine="480"/>
        <w:jc w:val="both"/>
        <w:rPr>
          <w:rFonts w:ascii="Verdana" w:hAnsi="Verdana" w:eastAsia="Verdana" w:cs="Verdana"/>
          <w:sz w:val="22"/>
          <w:szCs w:val="22"/>
        </w:rPr>
      </w:pPr>
      <w:r>
        <w:rPr>
          <w:rFonts w:eastAsia="Verdana" w:cs="Verdana" w:ascii="Verdana" w:hAnsi="Verdana"/>
          <w:sz w:val="22"/>
          <w:szCs w:val="22"/>
        </w:rPr>
        <w:t>1.2.4 Количество контрольных осветительных приборов с одинаковыми техническими характеристиками определяется с учетом п.п. 2.1. и 2.2. Приложения №3 к Техническому заданию и может быть скорректировано после разработки проектной документации при корректировке п.п. 1.2.2. настоящего Технического задания.</w:t>
      </w:r>
    </w:p>
    <w:p>
      <w:pPr>
        <w:pStyle w:val="44"/>
        <w:shd w:val="clear" w:color="auto" w:fill="FFFFFF"/>
        <w:tabs>
          <w:tab w:val="clear" w:pos="369"/>
          <w:tab w:val="left" w:pos="0" w:leader="none"/>
          <w:tab w:val="left" w:pos="1276" w:leader="none"/>
        </w:tabs>
        <w:ind w:firstLine="480"/>
        <w:jc w:val="end"/>
        <w:rPr>
          <w:rFonts w:ascii="Verdana" w:hAnsi="Verdana" w:eastAsia="Verdana" w:cs="Verdana"/>
          <w:sz w:val="22"/>
          <w:szCs w:val="22"/>
        </w:rPr>
      </w:pPr>
      <w:r>
        <w:rPr>
          <w:rFonts w:eastAsia="Verdana" w:cs="Verdana" w:ascii="Verdana" w:hAnsi="Verdana"/>
          <w:sz w:val="22"/>
          <w:szCs w:val="22"/>
        </w:rPr>
      </w:r>
    </w:p>
    <w:p>
      <w:pPr>
        <w:pStyle w:val="44"/>
        <w:shd w:val="clear" w:color="auto" w:fill="FFFFFF"/>
        <w:tabs>
          <w:tab w:val="clear" w:pos="369"/>
          <w:tab w:val="left" w:pos="0" w:leader="none"/>
          <w:tab w:val="left" w:pos="1276" w:leader="none"/>
        </w:tabs>
        <w:ind w:firstLine="480"/>
        <w:jc w:val="end"/>
        <w:rPr>
          <w:rFonts w:ascii="Verdana" w:hAnsi="Verdana" w:eastAsia="Verdana" w:cs="Verdana"/>
          <w:sz w:val="22"/>
          <w:szCs w:val="22"/>
        </w:rPr>
      </w:pPr>
      <w:r>
        <w:rPr>
          <w:rFonts w:eastAsia="Verdana" w:cs="Verdana" w:ascii="Verdana" w:hAnsi="Verdana"/>
          <w:sz w:val="22"/>
          <w:szCs w:val="22"/>
        </w:rPr>
        <w:t>Таблица 5</w:t>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6198"/>
        <w:gridCol w:w="1935"/>
        <w:gridCol w:w="1930"/>
      </w:tblGrid>
      <w:tr>
        <w:trPr>
          <w:tblHeader w:val="true"/>
          <w:trHeight w:val="45" w:hRule="atLeast"/>
        </w:trPr>
        <w:tc>
          <w:tcPr>
            <w:tcW w:w="6198"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b/>
                <w:color w:val="000000"/>
              </w:rPr>
            </w:pPr>
            <w:r>
              <w:rPr>
                <w:rFonts w:eastAsia="Verdana" w:cs="Verdana" w:ascii="Verdana" w:hAnsi="Verdana"/>
                <w:color w:val="000000"/>
                <w:sz w:val="22"/>
                <w:szCs w:val="22"/>
                <w:lang w:eastAsia="ru-RU"/>
              </w:rPr>
              <w:t>Тип светильника</w:t>
            </w:r>
          </w:p>
        </w:tc>
        <w:tc>
          <w:tcPr>
            <w:tcW w:w="1935"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b/>
                <w:color w:val="000000"/>
              </w:rPr>
            </w:pPr>
            <w:r>
              <w:rPr>
                <w:rFonts w:eastAsia="Verdana" w:cs="Verdana" w:ascii="Verdana" w:hAnsi="Verdana"/>
                <w:color w:val="000000"/>
                <w:sz w:val="22"/>
                <w:szCs w:val="22"/>
                <w:lang w:eastAsia="ru-RU"/>
              </w:rPr>
              <w:t>Всего светильников, шт.</w:t>
            </w:r>
          </w:p>
        </w:tc>
        <w:tc>
          <w:tcPr>
            <w:tcW w:w="1930"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b/>
                <w:color w:val="000000"/>
              </w:rPr>
            </w:pPr>
            <w:r>
              <w:rPr>
                <w:rFonts w:eastAsia="Verdana" w:cs="Verdana" w:ascii="Verdana" w:hAnsi="Verdana"/>
                <w:color w:val="000000"/>
                <w:sz w:val="22"/>
                <w:szCs w:val="22"/>
                <w:lang w:eastAsia="ru-RU"/>
              </w:rPr>
              <w:t>Количество контрольных светильников, шт.</w:t>
            </w:r>
          </w:p>
        </w:tc>
      </w:tr>
      <w:tr>
        <w:trPr>
          <w:trHeight w:val="267" w:hRule="atLeast"/>
        </w:trPr>
        <w:tc>
          <w:tcPr>
            <w:tcW w:w="10063"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22"/>
                <w:szCs w:val="22"/>
              </w:rPr>
            </w:pPr>
            <w:r>
              <w:rPr>
                <w:rFonts w:eastAsia="Verdana" w:cs="Verdana" w:ascii="Verdana" w:hAnsi="Verdana"/>
                <w:b/>
                <w:bCs/>
                <w:sz w:val="22"/>
                <w:szCs w:val="22"/>
              </w:rPr>
              <w:t>1 Аглоцех</w:t>
            </w:r>
          </w:p>
        </w:tc>
      </w:tr>
      <w:tr>
        <w:trPr>
          <w:trHeight w:val="45"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22"/>
                <w:szCs w:val="22"/>
              </w:rPr>
              <w:t>EL.Led.Industry.M7.100.156.750</w:t>
            </w:r>
          </w:p>
        </w:tc>
        <w:tc>
          <w:tcPr>
            <w:tcW w:w="1935" w:type="dxa"/>
            <w:tcBorders>
              <w:bottom w:val="single" w:sz="4" w:space="0" w:color="000000"/>
              <w:end w:val="single" w:sz="4" w:space="0" w:color="000000"/>
            </w:tcBorders>
            <w:shd w:color="FFFFFF" w:fill="FFFFFF" w:val="clear"/>
            <w:vAlign w:val="center"/>
          </w:tcPr>
          <w:p>
            <w:pPr>
              <w:pStyle w:val="Normal"/>
              <w:jc w:val="end"/>
              <w:rPr/>
            </w:pPr>
            <w:r>
              <w:rPr/>
              <w:t>120</w:t>
            </w:r>
          </w:p>
        </w:tc>
        <w:tc>
          <w:tcPr>
            <w:tcW w:w="1930" w:type="dxa"/>
            <w:tcBorders>
              <w:bottom w:val="single" w:sz="4" w:space="0" w:color="000000"/>
              <w:end w:val="single" w:sz="4" w:space="0" w:color="000000"/>
            </w:tcBorders>
            <w:shd w:color="FFFFFF" w:fill="FFFFFF" w:val="clear"/>
            <w:vAlign w:val="center"/>
          </w:tcPr>
          <w:p>
            <w:pPr>
              <w:pStyle w:val="Normal"/>
              <w:jc w:val="end"/>
              <w:rPr/>
            </w:pPr>
            <w:r>
              <w:rPr/>
              <w:t>12</w:t>
            </w:r>
          </w:p>
        </w:tc>
      </w:tr>
      <w:tr>
        <w:trPr>
          <w:trHeight w:val="45"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lang w:val="en-US"/>
              </w:rPr>
            </w:pPr>
            <w:r>
              <w:rPr>
                <w:rFonts w:eastAsia="Verdana" w:cs="Verdana" w:ascii="Verdana" w:hAnsi="Verdana"/>
                <w:sz w:val="22"/>
                <w:szCs w:val="22"/>
                <w:lang w:val="en-US"/>
              </w:rPr>
              <w:t>EL.Led.External.PRG.M6.240.394.750</w:t>
            </w:r>
          </w:p>
        </w:tc>
        <w:tc>
          <w:tcPr>
            <w:tcW w:w="1935" w:type="dxa"/>
            <w:tcBorders>
              <w:bottom w:val="single" w:sz="4" w:space="0" w:color="000000"/>
              <w:end w:val="single" w:sz="4" w:space="0" w:color="000000"/>
            </w:tcBorders>
            <w:shd w:color="FFFFFF" w:fill="FFFFFF" w:val="clear"/>
            <w:vAlign w:val="center"/>
          </w:tcPr>
          <w:p>
            <w:pPr>
              <w:pStyle w:val="Normal"/>
              <w:jc w:val="end"/>
              <w:rPr/>
            </w:pPr>
            <w:r>
              <w:rPr/>
              <w:t>80</w:t>
            </w:r>
          </w:p>
        </w:tc>
        <w:tc>
          <w:tcPr>
            <w:tcW w:w="1930" w:type="dxa"/>
            <w:tcBorders>
              <w:bottom w:val="single" w:sz="4" w:space="0" w:color="000000"/>
              <w:end w:val="single" w:sz="4" w:space="0" w:color="000000"/>
            </w:tcBorders>
            <w:shd w:color="FFFFFF" w:fill="FFFFFF" w:val="clear"/>
            <w:vAlign w:val="center"/>
          </w:tcPr>
          <w:p>
            <w:pPr>
              <w:pStyle w:val="Normal"/>
              <w:jc w:val="end"/>
              <w:rPr/>
            </w:pPr>
            <w:r>
              <w:rPr/>
              <w:t>8</w:t>
            </w:r>
          </w:p>
        </w:tc>
      </w:tr>
      <w:tr>
        <w:trPr>
          <w:trHeight w:val="45"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sz w:val="18"/>
                <w:szCs w:val="18"/>
              </w:rPr>
            </w:pPr>
            <w:r>
              <w:rPr>
                <w:rFonts w:eastAsia="Verdana" w:cs="Verdana" w:ascii="Verdana" w:hAnsi="Verdana"/>
                <w:sz w:val="22"/>
                <w:szCs w:val="22"/>
              </w:rPr>
              <w:t>EL.Led.Industry.M7.190.315.750</w:t>
            </w:r>
          </w:p>
        </w:tc>
        <w:tc>
          <w:tcPr>
            <w:tcW w:w="1935" w:type="dxa"/>
            <w:tcBorders>
              <w:bottom w:val="single" w:sz="4" w:space="0" w:color="000000"/>
              <w:end w:val="single" w:sz="4" w:space="0" w:color="000000"/>
            </w:tcBorders>
            <w:shd w:color="FFFFFF" w:fill="FFFFFF" w:val="clear"/>
            <w:vAlign w:val="center"/>
          </w:tcPr>
          <w:p>
            <w:pPr>
              <w:pStyle w:val="Normal"/>
              <w:jc w:val="end"/>
              <w:rPr/>
            </w:pPr>
            <w:r>
              <w:rPr/>
              <w:t>40</w:t>
            </w:r>
          </w:p>
        </w:tc>
        <w:tc>
          <w:tcPr>
            <w:tcW w:w="1930" w:type="dxa"/>
            <w:tcBorders>
              <w:bottom w:val="single" w:sz="4" w:space="0" w:color="000000"/>
              <w:end w:val="single" w:sz="4" w:space="0" w:color="000000"/>
            </w:tcBorders>
            <w:shd w:color="FFFFFF" w:fill="FFFFFF" w:val="clear"/>
            <w:vAlign w:val="center"/>
          </w:tcPr>
          <w:p>
            <w:pPr>
              <w:pStyle w:val="Normal"/>
              <w:jc w:val="end"/>
              <w:rPr/>
            </w:pPr>
            <w:r>
              <w:rPr/>
              <w:t>4</w:t>
            </w:r>
          </w:p>
        </w:tc>
      </w:tr>
      <w:tr>
        <w:trPr>
          <w:trHeight w:val="539"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b/>
                <w:color w:val="000000"/>
              </w:rPr>
            </w:pPr>
            <w:r>
              <w:rPr>
                <w:rFonts w:eastAsia="Verdana" w:cs="Verdana" w:ascii="Verdana" w:hAnsi="Verdana"/>
                <w:b/>
                <w:color w:val="000000"/>
                <w:sz w:val="22"/>
                <w:szCs w:val="22"/>
                <w:lang w:eastAsia="ru-RU"/>
              </w:rPr>
              <w:t>Итого по аглоцеху</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cs="Verdana"/>
                <w:b/>
                <w:color w:val="000000"/>
              </w:rPr>
            </w:pPr>
            <w:r>
              <w:rPr>
                <w:rFonts w:eastAsia="Verdana" w:cs="Verdana" w:ascii="Verdana" w:hAnsi="Verdana"/>
                <w:b/>
                <w:color w:val="000000"/>
                <w:sz w:val="22"/>
                <w:szCs w:val="22"/>
                <w:lang w:eastAsia="ru-RU"/>
              </w:rPr>
              <w:t>240</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cs="Verdana"/>
                <w:b/>
                <w:color w:val="000000"/>
              </w:rPr>
            </w:pPr>
            <w:r>
              <w:rPr>
                <w:rFonts w:eastAsia="Verdana" w:cs="Verdana" w:ascii="Verdana" w:hAnsi="Verdana"/>
                <w:b/>
                <w:color w:val="000000"/>
                <w:sz w:val="22"/>
                <w:szCs w:val="22"/>
                <w:lang w:eastAsia="ru-RU"/>
              </w:rPr>
              <w:t>24</w:t>
            </w:r>
          </w:p>
        </w:tc>
      </w:tr>
      <w:tr>
        <w:trPr>
          <w:trHeight w:val="267" w:hRule="atLeast"/>
        </w:trPr>
        <w:tc>
          <w:tcPr>
            <w:tcW w:w="10063"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b/>
                <w:color w:val="000000"/>
                <w:sz w:val="22"/>
                <w:szCs w:val="22"/>
              </w:rPr>
            </w:pPr>
            <w:r>
              <w:rPr>
                <w:rFonts w:eastAsia="Verdana" w:cs="Verdana" w:ascii="Verdana" w:hAnsi="Verdana"/>
                <w:b/>
                <w:bCs/>
                <w:sz w:val="22"/>
                <w:szCs w:val="22"/>
              </w:rPr>
              <w:t>2 Копровый цех</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lang w:val="en-US"/>
              </w:rPr>
            </w:pPr>
            <w:r>
              <w:rPr>
                <w:rFonts w:eastAsia="Verdana" w:cs="Verdana" w:ascii="Verdana" w:hAnsi="Verdana"/>
                <w:sz w:val="22"/>
                <w:szCs w:val="22"/>
                <w:lang w:val="en-US"/>
              </w:rPr>
              <w:t>EL.Led.External.PRG.M6.240.394.750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rPr>
            </w:pPr>
            <w:r>
              <w:rPr>
                <w:rFonts w:eastAsia="Verdana" w:cs="Verdana" w:ascii="Verdana" w:hAnsi="Verdana"/>
                <w:color w:val="000000"/>
                <w:sz w:val="22"/>
                <w:szCs w:val="22"/>
                <w:lang w:eastAsia="ru-RU"/>
              </w:rPr>
              <w:t>94</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rPr>
            </w:pPr>
            <w:r>
              <w:rPr>
                <w:rFonts w:eastAsia="Verdana" w:cs="Verdana" w:ascii="Verdana" w:hAnsi="Verdana"/>
                <w:color w:val="000000"/>
                <w:sz w:val="22"/>
                <w:szCs w:val="22"/>
                <w:lang w:eastAsia="ru-RU"/>
              </w:rPr>
              <w:t>9</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22"/>
                <w:szCs w:val="22"/>
              </w:rPr>
            </w:pPr>
            <w:r>
              <w:rPr>
                <w:rFonts w:eastAsia="Verdana" w:cs="Verdana" w:ascii="Verdana" w:hAnsi="Verdana"/>
                <w:sz w:val="22"/>
                <w:szCs w:val="22"/>
              </w:rPr>
              <w:t>EL.Led.Industry.Line.110.167.750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rPr>
            </w:pPr>
            <w:r>
              <w:rPr>
                <w:rFonts w:eastAsia="Verdana" w:cs="Verdana" w:ascii="Verdana" w:hAnsi="Verdana"/>
                <w:color w:val="000000"/>
                <w:sz w:val="22"/>
                <w:szCs w:val="22"/>
                <w:lang w:eastAsia="ru-RU"/>
              </w:rPr>
              <w:t>41</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rPr>
            </w:pPr>
            <w:r>
              <w:rPr>
                <w:rFonts w:eastAsia="Verdana" w:cs="Verdana" w:ascii="Verdana" w:hAnsi="Verdana"/>
                <w:color w:val="000000"/>
                <w:sz w:val="22"/>
                <w:szCs w:val="22"/>
                <w:lang w:eastAsia="ru-RU"/>
              </w:rPr>
              <w:t>4</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EL.Led.Industry.M7.160.272.750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rPr>
            </w:pPr>
            <w:r>
              <w:rPr>
                <w:rFonts w:eastAsia="Verdana" w:cs="Verdana" w:ascii="Verdana" w:hAnsi="Verdana"/>
                <w:color w:val="000000"/>
                <w:sz w:val="22"/>
                <w:szCs w:val="22"/>
                <w:lang w:eastAsia="ru-RU"/>
              </w:rPr>
              <w:t>164</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rPr>
            </w:pPr>
            <w:r>
              <w:rPr>
                <w:rFonts w:eastAsia="Verdana" w:cs="Verdana" w:ascii="Verdana" w:hAnsi="Verdana"/>
                <w:color w:val="000000"/>
                <w:sz w:val="22"/>
                <w:szCs w:val="22"/>
                <w:lang w:eastAsia="ru-RU"/>
              </w:rPr>
              <w:t>16</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EL.Led.Industry.M7.100.156.750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rPr>
            </w:pPr>
            <w:r>
              <w:rPr>
                <w:rFonts w:eastAsia="Verdana" w:cs="Verdana" w:ascii="Verdana" w:hAnsi="Verdana"/>
                <w:color w:val="000000"/>
                <w:sz w:val="22"/>
                <w:szCs w:val="22"/>
                <w:lang w:eastAsia="ru-RU"/>
              </w:rPr>
              <w:t>133</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rPr>
            </w:pPr>
            <w:r>
              <w:rPr>
                <w:rFonts w:eastAsia="Verdana" w:cs="Verdana" w:ascii="Verdana" w:hAnsi="Verdana"/>
                <w:color w:val="000000"/>
                <w:sz w:val="22"/>
                <w:szCs w:val="22"/>
                <w:lang w:eastAsia="ru-RU"/>
              </w:rPr>
              <w:t>13</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lang w:val="en-US"/>
              </w:rPr>
            </w:pPr>
            <w:r>
              <w:rPr>
                <w:rFonts w:eastAsia="Verdana" w:cs="Verdana" w:ascii="Verdana" w:hAnsi="Verdana"/>
                <w:sz w:val="22"/>
                <w:szCs w:val="22"/>
                <w:lang w:val="en-US"/>
              </w:rPr>
              <w:t>EL.Led.External.PRG.M6.440.668.750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rPr>
            </w:pPr>
            <w:r>
              <w:rPr>
                <w:rFonts w:eastAsia="Verdana" w:cs="Verdana" w:ascii="Verdana" w:hAnsi="Verdana"/>
                <w:color w:val="000000"/>
                <w:sz w:val="22"/>
                <w:szCs w:val="22"/>
                <w:lang w:eastAsia="ru-RU"/>
              </w:rPr>
              <w:t>22</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rPr>
            </w:pPr>
            <w:r>
              <w:rPr>
                <w:rFonts w:eastAsia="Verdana" w:cs="Verdana" w:ascii="Verdana" w:hAnsi="Verdana"/>
                <w:color w:val="000000"/>
                <w:sz w:val="22"/>
                <w:szCs w:val="22"/>
                <w:lang w:eastAsia="ru-RU"/>
              </w:rPr>
              <w:t>2</w:t>
            </w:r>
          </w:p>
        </w:tc>
      </w:tr>
      <w:tr>
        <w:trPr>
          <w:trHeight w:val="219"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22"/>
                <w:szCs w:val="22"/>
              </w:rPr>
              <w:t>EL.Led.Industry.Line.60.89.750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25</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3</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lang w:eastAsia="ru-RU"/>
              </w:rPr>
            </w:pPr>
            <w:r>
              <w:rPr>
                <w:rFonts w:eastAsia="Verdana" w:cs="Verdana" w:ascii="Verdana" w:hAnsi="Verdana"/>
                <w:b/>
                <w:color w:val="000000"/>
                <w:sz w:val="22"/>
                <w:szCs w:val="22"/>
                <w:lang w:eastAsia="ru-RU"/>
              </w:rPr>
              <w:t>Итого по копровому цеху</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b/>
                <w:bCs/>
                <w:color w:val="000000"/>
                <w:sz w:val="22"/>
                <w:szCs w:val="22"/>
              </w:rPr>
            </w:pPr>
            <w:r>
              <w:rPr>
                <w:rFonts w:eastAsia="Verdana" w:cs="Verdana" w:ascii="Verdana" w:hAnsi="Verdana"/>
                <w:b/>
                <w:bCs/>
                <w:color w:val="000000"/>
                <w:sz w:val="22"/>
                <w:szCs w:val="22"/>
                <w:lang w:eastAsia="ru-RU"/>
              </w:rPr>
              <w:t>479</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b/>
                <w:bCs/>
                <w:color w:val="000000"/>
                <w:sz w:val="22"/>
                <w:szCs w:val="22"/>
              </w:rPr>
            </w:pPr>
            <w:r>
              <w:rPr>
                <w:rFonts w:eastAsia="Verdana" w:cs="Verdana" w:ascii="Verdana" w:hAnsi="Verdana"/>
                <w:b/>
                <w:bCs/>
                <w:color w:val="000000"/>
                <w:sz w:val="22"/>
                <w:szCs w:val="22"/>
                <w:lang w:eastAsia="ru-RU"/>
              </w:rPr>
              <w:t>47</w:t>
            </w:r>
          </w:p>
        </w:tc>
      </w:tr>
      <w:tr>
        <w:trPr>
          <w:trHeight w:val="219" w:hRule="atLeast"/>
        </w:trPr>
        <w:tc>
          <w:tcPr>
            <w:tcW w:w="10063"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b/>
                <w:bCs/>
                <w:sz w:val="18"/>
                <w:szCs w:val="18"/>
              </w:rPr>
            </w:pPr>
            <w:r>
              <w:rPr>
                <w:rFonts w:eastAsia="Verdana" w:cs="Verdana" w:ascii="Verdana" w:hAnsi="Verdana"/>
                <w:b/>
                <w:bCs/>
                <w:sz w:val="22"/>
                <w:szCs w:val="22"/>
              </w:rPr>
              <w:t>3 ЦПАШ</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EL.Led.Industry.Line.40.58.750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364</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36</w:t>
            </w:r>
          </w:p>
        </w:tc>
      </w:tr>
      <w:tr>
        <w:trPr>
          <w:trHeight w:val="219"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lang w:val="en-US"/>
              </w:rPr>
            </w:pPr>
            <w:r>
              <w:rPr>
                <w:rFonts w:eastAsia="Verdana" w:cs="Verdana" w:ascii="Verdana" w:hAnsi="Verdana"/>
                <w:sz w:val="22"/>
                <w:szCs w:val="22"/>
                <w:lang w:val="en-US"/>
              </w:rPr>
              <w:t>EL.Led.External.PRG.M6.440.668.750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53</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5</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EL.Led.Industry.M7.60.93.750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17</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2</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EL.Led.Industry.Line.80.121.750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110</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11</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EL.Led.Industry.M7.100.156.750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16</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2</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lang w:eastAsia="ru-RU"/>
              </w:rPr>
            </w:pPr>
            <w:r>
              <w:rPr>
                <w:rFonts w:eastAsia="Verdana" w:cs="Verdana" w:ascii="Verdana" w:hAnsi="Verdana"/>
                <w:b/>
                <w:color w:val="000000"/>
                <w:sz w:val="22"/>
                <w:szCs w:val="22"/>
                <w:lang w:eastAsia="ru-RU"/>
              </w:rPr>
              <w:t>Итого по ЦПАШ</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b/>
                <w:bCs/>
                <w:color w:val="000000"/>
                <w:sz w:val="22"/>
                <w:szCs w:val="22"/>
              </w:rPr>
            </w:pPr>
            <w:r>
              <w:rPr>
                <w:rFonts w:eastAsia="Verdana" w:cs="Verdana" w:ascii="Verdana" w:hAnsi="Verdana"/>
                <w:b/>
                <w:bCs/>
                <w:color w:val="000000"/>
                <w:sz w:val="22"/>
                <w:szCs w:val="22"/>
                <w:lang w:eastAsia="ru-RU"/>
              </w:rPr>
              <w:t>560</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b/>
                <w:bCs/>
                <w:color w:val="000000"/>
                <w:sz w:val="22"/>
                <w:szCs w:val="22"/>
              </w:rPr>
            </w:pPr>
            <w:r>
              <w:rPr>
                <w:rFonts w:eastAsia="Verdana" w:cs="Verdana" w:ascii="Verdana" w:hAnsi="Verdana"/>
                <w:b/>
                <w:bCs/>
                <w:color w:val="000000"/>
                <w:sz w:val="22"/>
                <w:szCs w:val="22"/>
                <w:lang w:eastAsia="ru-RU"/>
              </w:rPr>
              <w:t>56</w:t>
            </w:r>
          </w:p>
        </w:tc>
      </w:tr>
      <w:tr>
        <w:trPr>
          <w:trHeight w:val="219" w:hRule="atLeast"/>
        </w:trPr>
        <w:tc>
          <w:tcPr>
            <w:tcW w:w="10063"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b/>
                <w:bCs/>
                <w:sz w:val="18"/>
                <w:szCs w:val="18"/>
              </w:rPr>
            </w:pPr>
            <w:r>
              <w:rPr>
                <w:rFonts w:eastAsia="Verdana" w:cs="Verdana" w:ascii="Verdana" w:hAnsi="Verdana"/>
                <w:b/>
                <w:bCs/>
                <w:sz w:val="22"/>
                <w:szCs w:val="22"/>
              </w:rPr>
              <w:t>4 ЦЖТ</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EL.Led.Industry.M7.100.156.750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29</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3</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lang w:val="en-US"/>
              </w:rPr>
            </w:pPr>
            <w:r>
              <w:rPr>
                <w:rFonts w:eastAsia="Verdana" w:cs="Verdana" w:ascii="Verdana" w:hAnsi="Verdana"/>
                <w:sz w:val="22"/>
                <w:szCs w:val="22"/>
                <w:lang w:val="en-US"/>
              </w:rPr>
              <w:t>EL.Led.External.PRG.M6.440.668.750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20</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2</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lang w:eastAsia="ru-RU"/>
              </w:rPr>
            </w:pPr>
            <w:r>
              <w:rPr>
                <w:rFonts w:eastAsia="Verdana" w:cs="Verdana" w:ascii="Verdana" w:hAnsi="Verdana"/>
                <w:b/>
                <w:color w:val="000000"/>
                <w:sz w:val="22"/>
                <w:szCs w:val="22"/>
                <w:lang w:eastAsia="ru-RU"/>
              </w:rPr>
              <w:t>Итого по ЦЖТ</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b/>
                <w:bCs/>
                <w:color w:val="000000"/>
                <w:sz w:val="22"/>
                <w:szCs w:val="22"/>
              </w:rPr>
            </w:pPr>
            <w:r>
              <w:rPr>
                <w:rFonts w:eastAsia="Verdana" w:cs="Verdana" w:ascii="Verdana" w:hAnsi="Verdana"/>
                <w:b/>
                <w:bCs/>
                <w:color w:val="000000"/>
                <w:sz w:val="22"/>
                <w:szCs w:val="22"/>
                <w:lang w:eastAsia="ru-RU"/>
              </w:rPr>
              <w:t>49</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b/>
                <w:bCs/>
                <w:color w:val="000000"/>
                <w:sz w:val="22"/>
                <w:szCs w:val="22"/>
              </w:rPr>
            </w:pPr>
            <w:r>
              <w:rPr>
                <w:rFonts w:eastAsia="Verdana" w:cs="Verdana" w:ascii="Verdana" w:hAnsi="Verdana"/>
                <w:b/>
                <w:bCs/>
                <w:color w:val="000000"/>
                <w:sz w:val="22"/>
                <w:szCs w:val="22"/>
                <w:lang w:eastAsia="ru-RU"/>
              </w:rPr>
              <w:t>5</w:t>
            </w:r>
          </w:p>
        </w:tc>
      </w:tr>
      <w:tr>
        <w:trPr>
          <w:trHeight w:val="219" w:hRule="atLeast"/>
        </w:trPr>
        <w:tc>
          <w:tcPr>
            <w:tcW w:w="10063"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8"/>
                <w:szCs w:val="18"/>
              </w:rPr>
            </w:pPr>
            <w:r>
              <w:rPr>
                <w:rFonts w:eastAsia="Verdana" w:cs="Verdana" w:ascii="Verdana" w:hAnsi="Verdana"/>
                <w:b/>
                <w:bCs/>
                <w:sz w:val="22"/>
                <w:szCs w:val="22"/>
              </w:rPr>
              <w:t>5 ЭСПЦ</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EL.Led.Industry.M7.190.315.750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173</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17</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lang w:val="en-US"/>
              </w:rPr>
            </w:pPr>
            <w:r>
              <w:rPr>
                <w:rFonts w:eastAsia="Verdana" w:cs="Verdana" w:ascii="Verdana" w:hAnsi="Verdana"/>
                <w:sz w:val="22"/>
                <w:szCs w:val="22"/>
                <w:lang w:val="en-US"/>
              </w:rPr>
              <w:t>EL.Led.External.PRG.M6.240.394.750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377</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38</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EL.Led.Industry.M7.160.272.750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112</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11</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lang w:val="en-US"/>
              </w:rPr>
            </w:pPr>
            <w:r>
              <w:rPr>
                <w:rFonts w:eastAsia="Verdana" w:cs="Verdana" w:ascii="Verdana" w:hAnsi="Verdana"/>
                <w:sz w:val="22"/>
                <w:szCs w:val="22"/>
                <w:lang w:val="en-US"/>
              </w:rPr>
              <w:t>EL.Led.External.PRG.M6.440.668.750</w:t>
            </w:r>
          </w:p>
        </w:tc>
        <w:tc>
          <w:tcPr>
            <w:tcW w:w="1935" w:type="dxa"/>
            <w:tcBorders>
              <w:bottom w:val="single" w:sz="4" w:space="0" w:color="000000"/>
              <w:end w:val="single" w:sz="4" w:space="0" w:color="000000"/>
            </w:tcBorders>
            <w:shd w:color="FFFFFF" w:fill="FFFFFF" w:val="clear"/>
            <w:vAlign w:val="center"/>
          </w:tcPr>
          <w:p>
            <w:pPr>
              <w:pStyle w:val="Normal"/>
              <w:jc w:val="end"/>
              <w:rPr/>
            </w:pPr>
            <w:r>
              <w:rPr/>
              <w:t>92</w:t>
            </w:r>
          </w:p>
        </w:tc>
        <w:tc>
          <w:tcPr>
            <w:tcW w:w="1930" w:type="dxa"/>
            <w:tcBorders>
              <w:bottom w:val="single" w:sz="4" w:space="0" w:color="000000"/>
              <w:end w:val="single" w:sz="4" w:space="0" w:color="000000"/>
            </w:tcBorders>
            <w:shd w:color="FFFFFF" w:fill="FFFFFF" w:val="clear"/>
            <w:vAlign w:val="center"/>
          </w:tcPr>
          <w:p>
            <w:pPr>
              <w:pStyle w:val="Normal"/>
              <w:jc w:val="end"/>
              <w:rPr/>
            </w:pPr>
            <w:r>
              <w:rPr/>
              <w:t>9</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El.Led.Term.M5.560.728.750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16</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2</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EL.Led.Industry.Term.300.434.750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46</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5</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EL.Led.Industry.M7.100.156.750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166</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17</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lang w:eastAsia="ru-RU"/>
              </w:rPr>
            </w:pPr>
            <w:r>
              <w:rPr>
                <w:rFonts w:eastAsia="Verdana" w:cs="Verdana" w:ascii="Verdana" w:hAnsi="Verdana"/>
                <w:b/>
                <w:color w:val="000000"/>
                <w:sz w:val="22"/>
                <w:szCs w:val="22"/>
                <w:lang w:eastAsia="ru-RU"/>
              </w:rPr>
              <w:t>Итого по ЭСПЦ</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b/>
                <w:bCs/>
                <w:color w:val="000000"/>
                <w:sz w:val="22"/>
                <w:szCs w:val="22"/>
              </w:rPr>
            </w:pPr>
            <w:r>
              <w:rPr>
                <w:rFonts w:eastAsia="Verdana" w:cs="Verdana" w:ascii="Verdana" w:hAnsi="Verdana"/>
                <w:b/>
                <w:bCs/>
                <w:color w:val="000000"/>
                <w:sz w:val="22"/>
                <w:szCs w:val="22"/>
                <w:lang w:eastAsia="ru-RU"/>
              </w:rPr>
              <w:t>982</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b/>
                <w:bCs/>
                <w:color w:val="000000"/>
                <w:sz w:val="22"/>
                <w:szCs w:val="22"/>
              </w:rPr>
            </w:pPr>
            <w:r>
              <w:rPr>
                <w:rFonts w:eastAsia="Verdana" w:cs="Verdana" w:ascii="Verdana" w:hAnsi="Verdana"/>
                <w:b/>
                <w:bCs/>
                <w:color w:val="000000"/>
                <w:sz w:val="22"/>
                <w:szCs w:val="22"/>
                <w:lang w:eastAsia="ru-RU"/>
              </w:rPr>
              <w:t>99</w:t>
            </w:r>
          </w:p>
        </w:tc>
      </w:tr>
      <w:tr>
        <w:trPr>
          <w:trHeight w:val="267" w:hRule="atLeast"/>
        </w:trPr>
        <w:tc>
          <w:tcPr>
            <w:tcW w:w="10063"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22"/>
                <w:szCs w:val="22"/>
                <w:lang w:eastAsia="ru-RU"/>
              </w:rPr>
            </w:pPr>
            <w:r>
              <w:rPr>
                <w:rFonts w:eastAsia="Verdana" w:cs="Verdana" w:ascii="Verdana" w:hAnsi="Verdana"/>
                <w:b/>
                <w:bCs/>
                <w:sz w:val="22"/>
                <w:szCs w:val="22"/>
              </w:rPr>
              <w:t>6 УПП</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lang w:val="en-US"/>
              </w:rPr>
            </w:pPr>
            <w:r>
              <w:rPr>
                <w:rFonts w:eastAsia="Verdana" w:cs="Verdana" w:ascii="Verdana" w:hAnsi="Verdana"/>
                <w:sz w:val="22"/>
                <w:szCs w:val="22"/>
                <w:lang w:val="en-US"/>
              </w:rPr>
              <w:t>EL.Led.External.PRG.M6.440.668.750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98</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10</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lang w:val="en-US"/>
              </w:rPr>
            </w:pPr>
            <w:r>
              <w:rPr>
                <w:rFonts w:eastAsia="Verdana" w:cs="Verdana" w:ascii="Verdana" w:hAnsi="Verdana"/>
                <w:sz w:val="22"/>
                <w:szCs w:val="22"/>
                <w:lang w:val="en-US"/>
              </w:rPr>
              <w:t>EL.Led.External.PRG.M6.240.394.750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163</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16</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EL.Led.Industry.M7.100.156.750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139</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14</w:t>
            </w:r>
          </w:p>
        </w:tc>
      </w:tr>
      <w:tr>
        <w:trPr>
          <w:trHeight w:val="219"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22"/>
                <w:szCs w:val="22"/>
              </w:rPr>
              <w:t>EL.Led.Industry.Line.60.89.750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48</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5</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EL.Led.Industry.M7.60.93.750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44</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4</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EL.Led.Industry.M7.160.272.750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156</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16</w:t>
            </w:r>
          </w:p>
        </w:tc>
      </w:tr>
      <w:tr>
        <w:trPr>
          <w:trHeight w:val="219"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8"/>
                <w:szCs w:val="18"/>
              </w:rPr>
            </w:pPr>
            <w:r>
              <w:rPr>
                <w:rFonts w:eastAsia="Verdana" w:cs="Verdana" w:ascii="Verdana" w:hAnsi="Verdana"/>
                <w:sz w:val="22"/>
                <w:szCs w:val="22"/>
              </w:rPr>
              <w:t>EL.Led.Industry.M7.190.315.750</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324</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32</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ДСП 3НП 30-012</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377</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38</w:t>
            </w:r>
          </w:p>
        </w:tc>
      </w:tr>
      <w:tr>
        <w:trPr>
          <w:trHeight w:val="267"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b/>
                <w:color w:val="000000"/>
                <w:sz w:val="22"/>
                <w:szCs w:val="22"/>
              </w:rPr>
            </w:pPr>
            <w:r>
              <w:rPr>
                <w:rFonts w:eastAsia="Verdana" w:cs="Verdana" w:ascii="Verdana" w:hAnsi="Verdana"/>
                <w:sz w:val="22"/>
                <w:szCs w:val="22"/>
              </w:rPr>
              <w:t>ДСП 3НП 70-012</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73</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color w:val="000000"/>
                <w:sz w:val="22"/>
                <w:szCs w:val="22"/>
                <w:lang w:eastAsia="ru-RU"/>
              </w:rPr>
            </w:pPr>
            <w:r>
              <w:rPr>
                <w:rFonts w:eastAsia="Verdana" w:cs="Verdana" w:ascii="Verdana" w:hAnsi="Verdana"/>
                <w:color w:val="000000"/>
                <w:sz w:val="22"/>
                <w:szCs w:val="22"/>
                <w:lang w:eastAsia="ru-RU"/>
              </w:rPr>
              <w:t>7</w:t>
            </w:r>
          </w:p>
        </w:tc>
      </w:tr>
      <w:tr>
        <w:trPr>
          <w:trHeight w:val="276" w:hRule="atLeast"/>
        </w:trPr>
        <w:tc>
          <w:tcPr>
            <w:tcW w:w="6198" w:type="dxa"/>
            <w:tcBorders>
              <w:start w:val="single" w:sz="4" w:space="0" w:color="000000"/>
              <w:bottom w:val="single" w:sz="4" w:space="0" w:color="000000"/>
              <w:end w:val="single" w:sz="4" w:space="0" w:color="000000"/>
            </w:tcBorders>
            <w:shd w:color="FFFFFF" w:fill="FFFFFF" w:val="clear"/>
            <w:vAlign w:val="center"/>
          </w:tcPr>
          <w:p>
            <w:pPr>
              <w:pStyle w:val="Normal"/>
              <w:rPr/>
            </w:pPr>
            <w:r>
              <w:rPr>
                <w:rFonts w:eastAsia="Verdana" w:cs="Verdana" w:ascii="Verdana" w:hAnsi="Verdana"/>
                <w:b/>
                <w:color w:val="000000"/>
                <w:sz w:val="22"/>
                <w:szCs w:val="22"/>
                <w:lang w:eastAsia="ru-RU"/>
              </w:rPr>
              <w:t>Итого по УПП</w:t>
            </w:r>
          </w:p>
        </w:tc>
        <w:tc>
          <w:tcPr>
            <w:tcW w:w="1935"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b/>
                <w:bCs/>
                <w:color w:val="000000"/>
                <w:sz w:val="22"/>
                <w:szCs w:val="22"/>
              </w:rPr>
            </w:pPr>
            <w:r>
              <w:rPr>
                <w:rFonts w:eastAsia="Verdana" w:cs="Verdana" w:ascii="Verdana" w:hAnsi="Verdana"/>
                <w:b/>
                <w:bCs/>
                <w:color w:val="000000"/>
                <w:sz w:val="22"/>
                <w:szCs w:val="22"/>
                <w:lang w:eastAsia="ru-RU"/>
              </w:rPr>
              <w:t>1422</w:t>
            </w:r>
          </w:p>
        </w:tc>
        <w:tc>
          <w:tcPr>
            <w:tcW w:w="1930" w:type="dxa"/>
            <w:tcBorders>
              <w:bottom w:val="single" w:sz="4" w:space="0" w:color="000000"/>
              <w:end w:val="single" w:sz="4" w:space="0" w:color="000000"/>
            </w:tcBorders>
            <w:shd w:color="FFFFFF" w:fill="FFFFFF" w:val="clear"/>
            <w:vAlign w:val="center"/>
          </w:tcPr>
          <w:p>
            <w:pPr>
              <w:pStyle w:val="Normal"/>
              <w:jc w:val="end"/>
              <w:rPr>
                <w:rFonts w:ascii="Verdana" w:hAnsi="Verdana" w:eastAsia="Verdana" w:cs="Verdana"/>
                <w:b/>
                <w:bCs/>
                <w:color w:val="000000"/>
                <w:sz w:val="22"/>
                <w:szCs w:val="22"/>
              </w:rPr>
            </w:pPr>
            <w:r>
              <w:rPr>
                <w:rFonts w:eastAsia="Verdana" w:cs="Verdana" w:ascii="Verdana" w:hAnsi="Verdana"/>
                <w:b/>
                <w:bCs/>
                <w:color w:val="000000"/>
                <w:sz w:val="22"/>
                <w:szCs w:val="22"/>
                <w:lang w:eastAsia="ru-RU"/>
              </w:rPr>
              <w:t>142</w:t>
            </w:r>
          </w:p>
        </w:tc>
      </w:tr>
    </w:tbl>
    <w:p>
      <w:pPr>
        <w:pStyle w:val="Normal11"/>
        <w:shd w:val="clear" w:color="auto" w:fill="FFFFFF"/>
        <w:tabs>
          <w:tab w:val="clear" w:pos="369"/>
          <w:tab w:val="left" w:pos="1276" w:leader="none"/>
          <w:tab w:val="left" w:pos="1430" w:leader="none"/>
        </w:tabs>
        <w:ind w:firstLine="709"/>
        <w:jc w:val="both"/>
        <w:rPr>
          <w:rFonts w:ascii="Verdana" w:hAnsi="Verdana"/>
          <w:sz w:val="22"/>
          <w:szCs w:val="22"/>
        </w:rPr>
      </w:pPr>
      <w:r>
        <w:rPr>
          <w:rFonts w:ascii="Verdana" w:hAnsi="Verdana"/>
          <w:sz w:val="22"/>
          <w:szCs w:val="22"/>
        </w:rPr>
      </w:r>
    </w:p>
    <w:p>
      <w:pPr>
        <w:pStyle w:val="Normal11"/>
        <w:shd w:val="clear" w:color="auto" w:fill="FFFFFF"/>
        <w:tabs>
          <w:tab w:val="clear" w:pos="369"/>
          <w:tab w:val="left" w:pos="0" w:leader="none"/>
          <w:tab w:val="left" w:pos="1276" w:leader="none"/>
        </w:tabs>
        <w:ind w:start="480"/>
        <w:jc w:val="both"/>
        <w:rPr>
          <w:rFonts w:ascii="Verdana" w:hAnsi="Verdana"/>
          <w:sz w:val="22"/>
          <w:szCs w:val="22"/>
        </w:rPr>
      </w:pPr>
      <w:r>
        <w:rPr>
          <w:rFonts w:ascii="Verdana" w:hAnsi="Verdana"/>
          <w:sz w:val="22"/>
          <w:szCs w:val="22"/>
        </w:rPr>
        <w:t>1.2.5 Исходные данные по энергоносителям:</w:t>
      </w:r>
    </w:p>
    <w:p>
      <w:pPr>
        <w:pStyle w:val="Normal11"/>
        <w:shd w:val="clear" w:color="auto" w:fill="FFFFFF"/>
        <w:tabs>
          <w:tab w:val="clear" w:pos="369"/>
          <w:tab w:val="left" w:pos="1276" w:leader="none"/>
          <w:tab w:val="left" w:pos="1430" w:leader="none"/>
        </w:tabs>
        <w:ind w:start="709"/>
        <w:jc w:val="both"/>
        <w:rPr>
          <w:rFonts w:ascii="Verdana" w:hAnsi="Verdana"/>
          <w:sz w:val="22"/>
          <w:szCs w:val="22"/>
        </w:rPr>
      </w:pPr>
      <w:r>
        <w:rPr>
          <w:rFonts w:ascii="Verdana" w:hAnsi="Verdana"/>
          <w:sz w:val="22"/>
          <w:szCs w:val="22"/>
        </w:rPr>
        <w:t>Напряжение сети:400 В ± 5 %    ÷ ± 10 %</w:t>
      </w:r>
    </w:p>
    <w:p>
      <w:pPr>
        <w:pStyle w:val="Normal11"/>
        <w:shd w:val="clear" w:color="auto" w:fill="FFFFFF"/>
        <w:tabs>
          <w:tab w:val="clear" w:pos="369"/>
          <w:tab w:val="left" w:pos="1276" w:leader="none"/>
          <w:tab w:val="left" w:pos="1430" w:leader="none"/>
        </w:tabs>
        <w:ind w:start="709"/>
        <w:jc w:val="both"/>
        <w:rPr>
          <w:rFonts w:ascii="Verdana" w:hAnsi="Verdana"/>
          <w:sz w:val="22"/>
          <w:szCs w:val="22"/>
        </w:rPr>
      </w:pPr>
      <w:r>
        <w:rPr>
          <w:rFonts w:ascii="Verdana" w:hAnsi="Verdana"/>
          <w:sz w:val="22"/>
          <w:szCs w:val="22"/>
        </w:rPr>
        <w:t>Частота сети:      50 Гц ± 0,2 Гц ÷ ± 0,4 Гц</w:t>
      </w:r>
    </w:p>
    <w:p>
      <w:pPr>
        <w:pStyle w:val="Normal11"/>
        <w:shd w:val="clear" w:color="auto" w:fill="FFFFFF"/>
        <w:tabs>
          <w:tab w:val="clear" w:pos="369"/>
          <w:tab w:val="left" w:pos="1276" w:leader="none"/>
          <w:tab w:val="left" w:pos="1430" w:leader="none"/>
        </w:tabs>
        <w:ind w:start="709"/>
        <w:jc w:val="both"/>
        <w:rPr>
          <w:rFonts w:ascii="Verdana" w:hAnsi="Verdana"/>
          <w:sz w:val="22"/>
          <w:szCs w:val="22"/>
        </w:rPr>
      </w:pPr>
      <w:r>
        <w:rPr>
          <w:rFonts w:ascii="Verdana" w:hAnsi="Verdana"/>
          <w:sz w:val="22"/>
          <w:szCs w:val="22"/>
        </w:rPr>
        <w:t xml:space="preserve">                                 </w:t>
      </w:r>
      <w:r>
        <w:rPr>
          <w:rFonts w:ascii="Verdana" w:hAnsi="Verdana"/>
          <w:sz w:val="22"/>
          <w:szCs w:val="22"/>
        </w:rPr>
        <w:t>(норма)</w:t>
        <w:tab/>
        <w:t xml:space="preserve">       (предел)</w:t>
      </w:r>
    </w:p>
    <w:p>
      <w:pPr>
        <w:pStyle w:val="44"/>
        <w:shd w:val="clear" w:color="auto" w:fill="FFFFFF"/>
        <w:tabs>
          <w:tab w:val="clear" w:pos="369"/>
          <w:tab w:val="left" w:pos="0" w:leader="none"/>
          <w:tab w:val="left" w:pos="1276" w:leader="none"/>
        </w:tabs>
        <w:ind w:firstLine="480"/>
        <w:jc w:val="both"/>
        <w:rPr>
          <w:rFonts w:ascii="Verdana" w:hAnsi="Verdana" w:cs="Verdana"/>
          <w:sz w:val="24"/>
          <w:szCs w:val="24"/>
        </w:rPr>
      </w:pPr>
      <w:r>
        <w:rPr>
          <w:rFonts w:ascii="Verdana" w:hAnsi="Verdana"/>
          <w:sz w:val="22"/>
          <w:szCs w:val="22"/>
        </w:rPr>
        <w:t xml:space="preserve">1.2.6 </w:t>
      </w:r>
      <w:r>
        <w:rPr>
          <w:sz w:val="24"/>
          <w:szCs w:val="24"/>
        </w:rPr>
        <w:t>  </w:t>
      </w:r>
      <w:r>
        <w:rPr>
          <w:rFonts w:eastAsia="Verdana" w:cs="Verdana" w:ascii="Verdana" w:hAnsi="Verdana"/>
          <w:sz w:val="22"/>
          <w:szCs w:val="22"/>
        </w:rPr>
        <w:t>Условия эксплуатации установленных до реализации работ по модернизации системы освещения в рамках энергосберегающих мероприятий осветительных приборов (режимы работы осветительных приборов, виды обслуживания, параметры климатических условий, внешние воздействующие факторы, продолжительность и интенсивность их воздействия):</w:t>
      </w:r>
    </w:p>
    <w:p>
      <w:pPr>
        <w:pStyle w:val="44"/>
        <w:numPr>
          <w:ilvl w:val="0"/>
          <w:numId w:val="11"/>
        </w:numPr>
        <w:shd w:val="clear" w:color="auto" w:fill="FFFFFF"/>
        <w:ind w:firstLine="284" w:start="0"/>
        <w:jc w:val="both"/>
        <w:rPr>
          <w:rFonts w:ascii="Verdana" w:hAnsi="Verdana" w:cs="Verdana"/>
          <w:sz w:val="24"/>
          <w:szCs w:val="24"/>
        </w:rPr>
      </w:pPr>
      <w:r>
        <w:rPr>
          <w:rFonts w:eastAsia="Verdana" w:cs="Verdana" w:ascii="Verdana" w:hAnsi="Verdana"/>
          <w:sz w:val="22"/>
          <w:szCs w:val="22"/>
        </w:rPr>
        <w:t>Внутреннее освещение промышленных предприятий в помещениях без естественного освещения (рабочее освещение, непрерывная работа предприятия) с фондом рабочего времени – 8760 часов в год.</w:t>
      </w:r>
    </w:p>
    <w:p>
      <w:pPr>
        <w:pStyle w:val="44"/>
        <w:numPr>
          <w:ilvl w:val="0"/>
          <w:numId w:val="11"/>
        </w:numPr>
        <w:shd w:val="clear" w:color="auto" w:fill="FFFFFF"/>
        <w:ind w:firstLine="284" w:start="0"/>
        <w:jc w:val="both"/>
        <w:rPr>
          <w:rFonts w:ascii="Verdana" w:hAnsi="Verdana" w:cs="Verdana"/>
          <w:sz w:val="24"/>
          <w:szCs w:val="24"/>
        </w:rPr>
      </w:pPr>
      <w:r>
        <w:rPr>
          <w:rFonts w:eastAsia="Verdana" w:cs="Verdana" w:ascii="Verdana" w:hAnsi="Verdana"/>
          <w:sz w:val="22"/>
          <w:szCs w:val="22"/>
        </w:rPr>
        <w:t>Наружное освещение территории промышленных предприятий, включается ежедневно всю ночь, с фондом рабочего времени – 3901 часов в год.</w:t>
      </w:r>
    </w:p>
    <w:p>
      <w:pPr>
        <w:pStyle w:val="44"/>
        <w:numPr>
          <w:ilvl w:val="0"/>
          <w:numId w:val="11"/>
        </w:numPr>
        <w:shd w:val="clear" w:color="auto" w:fill="FFFFFF"/>
        <w:ind w:firstLine="284" w:start="0"/>
        <w:jc w:val="both"/>
        <w:rPr>
          <w:rFonts w:ascii="Verdana" w:hAnsi="Verdana" w:cs="Verdana"/>
          <w:sz w:val="22"/>
          <w:szCs w:val="22"/>
        </w:rPr>
      </w:pPr>
      <w:r>
        <w:rPr>
          <w:rFonts w:eastAsia="Verdana" w:cs="Verdana" w:ascii="Verdana" w:hAnsi="Verdana"/>
          <w:sz w:val="22"/>
          <w:szCs w:val="22"/>
        </w:rPr>
        <w:t>Освещение объектов железнодорожного транспорта - 4144 часов в год.</w:t>
      </w:r>
    </w:p>
    <w:p>
      <w:pPr>
        <w:pStyle w:val="44"/>
        <w:numPr>
          <w:ilvl w:val="0"/>
          <w:numId w:val="11"/>
        </w:numPr>
        <w:shd w:val="clear" w:color="auto" w:fill="FFFFFF"/>
        <w:ind w:firstLine="284" w:start="0"/>
        <w:jc w:val="both"/>
        <w:rPr>
          <w:rFonts w:ascii="Verdana" w:hAnsi="Verdana" w:cs="Verdana"/>
          <w:sz w:val="24"/>
          <w:szCs w:val="24"/>
        </w:rPr>
      </w:pPr>
      <w:r>
        <w:rPr>
          <w:rFonts w:eastAsia="Verdana" w:cs="Verdana" w:ascii="Verdana" w:hAnsi="Verdana"/>
          <w:sz w:val="22"/>
          <w:szCs w:val="22"/>
        </w:rPr>
        <w:t>Климатические условия:</w:t>
      </w:r>
    </w:p>
    <w:p>
      <w:pPr>
        <w:pStyle w:val="Normal11"/>
        <w:shd w:val="clear" w:color="auto" w:fill="FFFFFF"/>
        <w:tabs>
          <w:tab w:val="clear" w:pos="369"/>
          <w:tab w:val="left" w:pos="0" w:leader="none"/>
          <w:tab w:val="left" w:pos="1276" w:leader="none"/>
        </w:tabs>
        <w:ind w:start="480"/>
        <w:jc w:val="both"/>
        <w:rPr>
          <w:rFonts w:ascii="Verdana" w:hAnsi="Verdana" w:cs="Verdana"/>
          <w:sz w:val="22"/>
          <w:szCs w:val="22"/>
        </w:rPr>
      </w:pPr>
      <w:r>
        <w:rPr>
          <w:rFonts w:cs="Verdana" w:ascii="Verdana" w:hAnsi="Verdana"/>
          <w:sz w:val="22"/>
          <w:szCs w:val="22"/>
        </w:rPr>
      </w:r>
    </w:p>
    <w:p>
      <w:pPr>
        <w:pStyle w:val="Normal11"/>
        <w:shd w:val="clear" w:color="auto" w:fill="FFFFFF"/>
        <w:tabs>
          <w:tab w:val="clear" w:pos="369"/>
          <w:tab w:val="left" w:pos="1276" w:leader="none"/>
          <w:tab w:val="left" w:pos="1430" w:leader="none"/>
        </w:tabs>
        <w:ind w:start="709"/>
        <w:jc w:val="end"/>
        <w:rPr>
          <w:rFonts w:ascii="Verdana" w:hAnsi="Verdana"/>
          <w:sz w:val="22"/>
          <w:szCs w:val="22"/>
        </w:rPr>
      </w:pPr>
      <w:r>
        <w:rPr>
          <w:rFonts w:ascii="Verdana" w:hAnsi="Verdana"/>
          <w:sz w:val="22"/>
          <w:szCs w:val="22"/>
        </w:rPr>
        <w:t>Таблица 6</w:t>
      </w:r>
    </w:p>
    <w:tbl>
      <w:tblPr>
        <w:tblW w:w="10519" w:type="dxa"/>
        <w:jc w:val="start"/>
        <w:tblInd w:w="-176" w:type="dxa"/>
        <w:tblLayout w:type="fixed"/>
        <w:tblCellMar>
          <w:top w:w="0" w:type="dxa"/>
          <w:start w:w="108" w:type="dxa"/>
          <w:bottom w:w="0" w:type="dxa"/>
          <w:end w:w="108" w:type="dxa"/>
        </w:tblCellMar>
        <w:tblLook w:val="04a0" w:noHBand="0" w:noVBand="1" w:firstColumn="1" w:lastRow="0" w:lastColumn="0" w:firstRow="1"/>
      </w:tblPr>
      <w:tblGrid>
        <w:gridCol w:w="739"/>
        <w:gridCol w:w="1954"/>
        <w:gridCol w:w="1417"/>
        <w:gridCol w:w="1417"/>
        <w:gridCol w:w="1419"/>
        <w:gridCol w:w="1132"/>
        <w:gridCol w:w="2441"/>
      </w:tblGrid>
      <w:tr>
        <w:trPr>
          <w:trHeight w:val="660" w:hRule="atLeast"/>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 xml:space="preserve">№ </w:t>
            </w:r>
            <w:r>
              <w:rPr>
                <w:rFonts w:eastAsia="Verdana" w:cs="Verdana" w:ascii="Verdana" w:hAnsi="Verdana"/>
                <w:color w:val="000000"/>
                <w:sz w:val="16"/>
                <w:szCs w:val="16"/>
              </w:rPr>
              <w:t>п/п</w:t>
            </w:r>
          </w:p>
        </w:tc>
        <w:tc>
          <w:tcPr>
            <w:tcW w:w="1954" w:type="dxa"/>
            <w:tcBorders>
              <w:top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Отделение</w:t>
            </w:r>
          </w:p>
        </w:tc>
        <w:tc>
          <w:tcPr>
            <w:tcW w:w="1417" w:type="dxa"/>
            <w:tcBorders>
              <w:top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Освещенность, лк</w:t>
            </w:r>
          </w:p>
        </w:tc>
        <w:tc>
          <w:tcPr>
            <w:tcW w:w="1417" w:type="dxa"/>
            <w:tcBorders>
              <w:top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Требования к диапазону рабочих температур, ℃</w:t>
            </w:r>
          </w:p>
        </w:tc>
        <w:tc>
          <w:tcPr>
            <w:tcW w:w="1419" w:type="dxa"/>
            <w:tcBorders>
              <w:top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Содержание пыли, мг/м</w:t>
            </w:r>
            <w:r>
              <w:rPr>
                <w:rFonts w:eastAsia="Verdana" w:cs="Verdana" w:ascii="Verdana" w:hAnsi="Verdana"/>
                <w:color w:val="000000"/>
                <w:sz w:val="16"/>
                <w:szCs w:val="16"/>
                <w:vertAlign w:val="superscript"/>
              </w:rPr>
              <w:t>3</w:t>
            </w:r>
          </w:p>
        </w:tc>
        <w:tc>
          <w:tcPr>
            <w:tcW w:w="1132" w:type="dxa"/>
            <w:tcBorders>
              <w:top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Влажность, %</w:t>
            </w:r>
          </w:p>
        </w:tc>
        <w:tc>
          <w:tcPr>
            <w:tcW w:w="2441" w:type="dxa"/>
            <w:tcBorders>
              <w:top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Коэф.эксплуатации MF</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b/>
                <w:bCs/>
                <w:color w:val="000000"/>
                <w:sz w:val="16"/>
                <w:szCs w:val="16"/>
              </w:rPr>
              <w:t>1 Аглоцех</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Освещение над галереей СК-1</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-25/+60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Освещение над галереей СК-2</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-25/+60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Освещение штабеля СК-1</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-25/+60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1.4</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Освещение штабеля СК-2</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-25/+60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1.5</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Боковое освещение СК-1</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-25/+60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1.6</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Боковое освещение СК-2</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-25/+60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1.7</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Освещение отм. +0,0 ось К</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-25/+60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rPr>
              <w:t>2 Копровый цех</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 Участок №1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Мачты освещения (южный блок)</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Мачты освещения (северный блок)</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40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Мачты освещения (взрывное отделение, склад №23)</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2.1.4</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СИТ (склад импортной техники)</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2.1.5</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Колоннады №№1, 5, 6, 7, 8, 9, 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40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2.1.6</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Освещение участков огнерезной площадки</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2.1.7</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Пресса, пресс-ножницы</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2.2 Участок №2</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2.2.1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 xml:space="preserve">Мачты освещения </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2.2.2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Бойное отделение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2.2.3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Колоннады №1, 2, 3, 4 ,5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40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2.2.4</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Освещение участков огнерезной площадки</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2.2.5</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Пресса, пресс-ножницы</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2.3 Участок №3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2.3.1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 xml:space="preserve">Мачты освещения </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2.3.2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 xml:space="preserve">Галерея щеточных машин </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2.3.3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Пресс-ножницы</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rPr>
              <w:t>3 ЦПАШ</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3.1 Отделение №1</w:t>
            </w:r>
          </w:p>
        </w:tc>
      </w:tr>
      <w:tr>
        <w:trPr>
          <w:trHeight w:val="40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3.1.1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Конвейер №2 (справа по ходу ленты)</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3.1.2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Конвейер №2 (слева по ходу ленты)</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40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3.1.3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Конвейер №1 (справа по ходу ленты от ПУ-1 до ПУ-2)</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40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3.1.4</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Конвейер №3 (слева по ходу ленты от ПУ-1 до ПУ-2)</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3.1.5</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Конвейер №7</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3.1.6</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Конвейер №8</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 Отделение №2</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ПУ-2 наружное освещение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ПУ-3 наружное освещение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ПУ-4 наружное освещение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40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3.2.4</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Временный склад, ж/д тупик №35. Мачты наружного освещения-7 шт.</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3.2.5</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Автогараж. Наружное освещение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0,67/4</w:t>
            </w:r>
          </w:p>
        </w:tc>
      </w:tr>
      <w:tr>
        <w:trPr>
          <w:trHeight w:val="40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3.2.6</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КВО №5. Мачты наружного освещения -12 шт.</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3.2.7</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Конвейер №3</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3.2.8</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Конвейер №4</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40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3.2.9</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Галерея ЛК №13 (справа по ходу ленты, боковое)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3.2.10</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Галерея ЛК №13 (потолочное)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40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3.2.11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Галерея ЛК №14 (справа по ходу ленты, боковое)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3.2.12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Галерея ЛК №14 (потолочное)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3.2.13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ПУ-1 потолочное освещение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0,63/4</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3.2.14</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ПУ-4 потолочное освещение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300"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3.2.15</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Мачты между цап и аглофабрикой 4 шт</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rPr>
              <w:t>4 ЦЖТ</w:t>
            </w:r>
          </w:p>
        </w:tc>
      </w:tr>
      <w:tr>
        <w:trPr>
          <w:trHeight w:val="1152" w:hRule="atLeast"/>
        </w:trPr>
        <w:tc>
          <w:tcPr>
            <w:tcW w:w="739"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Пост №5 (в составе ст. Флюсовая)</w:t>
            </w:r>
          </w:p>
        </w:tc>
        <w:tc>
          <w:tcPr>
            <w:tcW w:w="1417"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Уровень освещенности на ж/д объектах каждой станции в соответствии с ГОСТ 34935-2023 (для ж/д переездов – Приказ Мин. Транспорта РФ от 31.07.2015 №237) *</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1056" w:hRule="atLeast"/>
        </w:trPr>
        <w:tc>
          <w:tcPr>
            <w:tcW w:w="739" w:type="dxa"/>
            <w:vMerge w:val="continue"/>
            <w:tcBorders>
              <w:start w:val="single" w:sz="4" w:space="0" w:color="000000"/>
              <w:bottom w:val="single" w:sz="4" w:space="0" w:color="000000"/>
              <w:end w:val="single" w:sz="4" w:space="0" w:color="000000"/>
            </w:tcBorders>
            <w:vAlign w:val="center"/>
          </w:tcPr>
          <w:p>
            <w:pPr>
              <w:pStyle w:val="Normal"/>
              <w:rPr>
                <w:rFonts w:ascii="Verdana" w:hAnsi="Verdana" w:cs="Calibri"/>
                <w:color w:val="000000"/>
                <w:sz w:val="16"/>
                <w:szCs w:val="16"/>
              </w:rPr>
            </w:pPr>
            <w:r>
              <w:rPr>
                <w:rFonts w:cs="Calibri" w:ascii="Verdana" w:hAnsi="Verdana"/>
                <w:color w:val="000000"/>
                <w:sz w:val="16"/>
                <w:szCs w:val="16"/>
              </w:rPr>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Пост №6 (в составе ст. Флюсовая)</w:t>
            </w:r>
          </w:p>
        </w:tc>
        <w:tc>
          <w:tcPr>
            <w:tcW w:w="1417" w:type="dxa"/>
            <w:vMerge w:val="continue"/>
            <w:tcBorders>
              <w:start w:val="single" w:sz="4" w:space="0" w:color="000000"/>
              <w:bottom w:val="single" w:sz="4" w:space="0" w:color="000000"/>
              <w:end w:val="single" w:sz="4" w:space="0" w:color="000000"/>
            </w:tcBorders>
            <w:vAlign w:val="center"/>
          </w:tcPr>
          <w:p>
            <w:pPr>
              <w:pStyle w:val="Normal"/>
              <w:rPr>
                <w:rFonts w:ascii="Calibri" w:hAnsi="Calibri" w:cs="Calibri"/>
                <w:color w:val="000000"/>
                <w:sz w:val="22"/>
                <w:szCs w:val="22"/>
              </w:rPr>
            </w:pPr>
            <w:r>
              <w:rPr>
                <w:rFonts w:cs="Calibri" w:ascii="Calibri" w:hAnsi="Calibri"/>
                <w:color w:val="000000"/>
                <w:sz w:val="22"/>
                <w:szCs w:val="22"/>
              </w:rPr>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912"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Ст. Доломитовая</w:t>
            </w:r>
          </w:p>
        </w:tc>
        <w:tc>
          <w:tcPr>
            <w:tcW w:w="1417" w:type="dxa"/>
            <w:vMerge w:val="continue"/>
            <w:tcBorders>
              <w:start w:val="single" w:sz="4" w:space="0" w:color="000000"/>
              <w:bottom w:val="single" w:sz="4" w:space="0" w:color="000000"/>
              <w:end w:val="single" w:sz="4" w:space="0" w:color="000000"/>
            </w:tcBorders>
            <w:vAlign w:val="center"/>
          </w:tcPr>
          <w:p>
            <w:pPr>
              <w:pStyle w:val="Normal"/>
              <w:rPr>
                <w:rFonts w:ascii="Calibri" w:hAnsi="Calibri" w:cs="Calibri"/>
                <w:color w:val="000000"/>
                <w:sz w:val="22"/>
                <w:szCs w:val="22"/>
              </w:rPr>
            </w:pPr>
            <w:r>
              <w:rPr>
                <w:rFonts w:cs="Calibri" w:ascii="Calibri" w:hAnsi="Calibri"/>
                <w:color w:val="000000"/>
                <w:sz w:val="22"/>
                <w:szCs w:val="22"/>
              </w:rPr>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912"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Ст. Лисья гора</w:t>
            </w:r>
          </w:p>
        </w:tc>
        <w:tc>
          <w:tcPr>
            <w:tcW w:w="1417" w:type="dxa"/>
            <w:vMerge w:val="continue"/>
            <w:tcBorders>
              <w:start w:val="single" w:sz="4" w:space="0" w:color="000000"/>
              <w:bottom w:val="single" w:sz="4" w:space="0" w:color="000000"/>
              <w:end w:val="single" w:sz="4" w:space="0" w:color="000000"/>
            </w:tcBorders>
            <w:vAlign w:val="center"/>
          </w:tcPr>
          <w:p>
            <w:pPr>
              <w:pStyle w:val="Normal"/>
              <w:rPr>
                <w:rFonts w:ascii="Calibri" w:hAnsi="Calibri" w:cs="Calibri"/>
                <w:color w:val="000000"/>
                <w:sz w:val="22"/>
                <w:szCs w:val="22"/>
              </w:rPr>
            </w:pPr>
            <w:r>
              <w:rPr>
                <w:rFonts w:cs="Calibri" w:ascii="Calibri" w:hAnsi="Calibri"/>
                <w:color w:val="000000"/>
                <w:sz w:val="22"/>
                <w:szCs w:val="22"/>
              </w:rPr>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rPr>
              <w:t>5 ЭСПЦ</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5.1 Загрузочный пролет Д-Е</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5.1.1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Пролет Д-Е оси (1-17)</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5.1.2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 xml:space="preserve">Пролет Д-Е оси (17-35) </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5.1.3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Пролет Д-Е оси (35-64)</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150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5.2 Печной пролет Г-Д</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5.2.1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Пролет Г-Д оси 1-17 Ремонт ковшей</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5.2.2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 xml:space="preserve">Пролет Г-Д оси 17-23 </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5.2.3</w:t>
            </w:r>
          </w:p>
        </w:tc>
        <w:tc>
          <w:tcPr>
            <w:tcW w:w="1954" w:type="dxa"/>
            <w:tcBorders>
              <w:bottom w:val="single" w:sz="4" w:space="0" w:color="000000"/>
              <w:end w:val="single" w:sz="4" w:space="0" w:color="000000"/>
            </w:tcBorders>
            <w:vAlign w:val="center"/>
          </w:tcPr>
          <w:p>
            <w:pPr>
              <w:pStyle w:val="Normal"/>
              <w:rPr>
                <w:rFonts w:ascii="Verdana" w:hAnsi="Verdana" w:eastAsia="Verdana" w:cs="Verdana"/>
                <w:color w:val="000000"/>
                <w:sz w:val="16"/>
                <w:szCs w:val="16"/>
              </w:rPr>
            </w:pPr>
            <w:r>
              <w:rPr>
                <w:rFonts w:eastAsia="Verdana" w:cs="Verdana" w:ascii="Verdana" w:hAnsi="Verdana"/>
                <w:color w:val="000000"/>
                <w:sz w:val="16"/>
                <w:szCs w:val="16"/>
              </w:rPr>
              <w:t>Пролет Г-Д оси 23-26 ДСП 1</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-40/+100</w:t>
            </w:r>
          </w:p>
        </w:tc>
        <w:tc>
          <w:tcPr>
            <w:tcW w:w="1419"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5.2.4</w:t>
            </w:r>
          </w:p>
        </w:tc>
        <w:tc>
          <w:tcPr>
            <w:tcW w:w="1954" w:type="dxa"/>
            <w:tcBorders>
              <w:bottom w:val="single" w:sz="4" w:space="0" w:color="000000"/>
              <w:end w:val="single" w:sz="4" w:space="0" w:color="000000"/>
            </w:tcBorders>
            <w:vAlign w:val="center"/>
          </w:tcPr>
          <w:p>
            <w:pPr>
              <w:pStyle w:val="Normal"/>
              <w:rPr>
                <w:rFonts w:ascii="Verdana" w:hAnsi="Verdana" w:eastAsia="Verdana" w:cs="Verdana"/>
                <w:color w:val="000000"/>
                <w:sz w:val="16"/>
                <w:szCs w:val="16"/>
              </w:rPr>
            </w:pPr>
            <w:r>
              <w:rPr>
                <w:rFonts w:eastAsia="Verdana" w:cs="Verdana" w:ascii="Verdana" w:hAnsi="Verdana"/>
                <w:color w:val="000000"/>
                <w:sz w:val="16"/>
                <w:szCs w:val="16"/>
              </w:rPr>
              <w:t>Пролет Г-Д оси 26-31</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5.2.5</w:t>
            </w:r>
          </w:p>
        </w:tc>
        <w:tc>
          <w:tcPr>
            <w:tcW w:w="1954" w:type="dxa"/>
            <w:tcBorders>
              <w:bottom w:val="single" w:sz="4" w:space="0" w:color="000000"/>
              <w:end w:val="single" w:sz="4" w:space="0" w:color="000000"/>
            </w:tcBorders>
            <w:vAlign w:val="center"/>
          </w:tcPr>
          <w:p>
            <w:pPr>
              <w:pStyle w:val="Normal"/>
              <w:rPr>
                <w:rFonts w:ascii="Verdana" w:hAnsi="Verdana" w:eastAsia="Verdana" w:cs="Verdana"/>
                <w:color w:val="000000"/>
                <w:sz w:val="16"/>
                <w:szCs w:val="16"/>
              </w:rPr>
            </w:pPr>
            <w:r>
              <w:rPr>
                <w:rFonts w:eastAsia="Verdana" w:cs="Verdana" w:ascii="Verdana" w:hAnsi="Verdana"/>
                <w:color w:val="000000"/>
                <w:sz w:val="16"/>
                <w:szCs w:val="16"/>
              </w:rPr>
              <w:t>Пролет Г-Д оси 31-34 ДСП 2</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-40/+100</w:t>
            </w:r>
          </w:p>
        </w:tc>
        <w:tc>
          <w:tcPr>
            <w:tcW w:w="1419"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5.2.6</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 xml:space="preserve">Пролет Г-Д оси 37-64 МНЛЗ №5 </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5.2.7</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 xml:space="preserve">Пролет Г-Д оси 64-69 Миксер №5 </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5.3 Пролет В-Г</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5.3.1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МНЛЗ №1, 2 оси 0-4</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5.3.2</w:t>
            </w:r>
          </w:p>
        </w:tc>
        <w:tc>
          <w:tcPr>
            <w:tcW w:w="1954" w:type="dxa"/>
            <w:tcBorders>
              <w:bottom w:val="single" w:sz="4" w:space="0" w:color="000000"/>
              <w:end w:val="single" w:sz="4" w:space="0" w:color="000000"/>
            </w:tcBorders>
            <w:vAlign w:val="center"/>
          </w:tcPr>
          <w:p>
            <w:pPr>
              <w:pStyle w:val="Normal"/>
              <w:rPr>
                <w:rFonts w:ascii="Verdana" w:hAnsi="Verdana" w:eastAsia="Verdana" w:cs="Verdana"/>
                <w:color w:val="000000"/>
                <w:sz w:val="16"/>
                <w:szCs w:val="16"/>
              </w:rPr>
            </w:pPr>
            <w:r>
              <w:rPr>
                <w:rFonts w:eastAsia="Verdana" w:cs="Verdana" w:ascii="Verdana" w:hAnsi="Verdana"/>
                <w:color w:val="000000"/>
                <w:sz w:val="16"/>
                <w:szCs w:val="16"/>
              </w:rPr>
              <w:t>МНЛЗ №1, 2 оси 4-11</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-40/+60</w:t>
            </w:r>
          </w:p>
        </w:tc>
        <w:tc>
          <w:tcPr>
            <w:tcW w:w="1419"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5.3.3</w:t>
            </w:r>
          </w:p>
        </w:tc>
        <w:tc>
          <w:tcPr>
            <w:tcW w:w="1954" w:type="dxa"/>
            <w:tcBorders>
              <w:bottom w:val="single" w:sz="4" w:space="0" w:color="000000"/>
              <w:end w:val="single" w:sz="4" w:space="0" w:color="000000"/>
            </w:tcBorders>
            <w:vAlign w:val="center"/>
          </w:tcPr>
          <w:p>
            <w:pPr>
              <w:pStyle w:val="Normal"/>
              <w:rPr>
                <w:rFonts w:ascii="Verdana" w:hAnsi="Verdana" w:eastAsia="Verdana" w:cs="Verdana"/>
                <w:color w:val="000000"/>
                <w:sz w:val="16"/>
                <w:szCs w:val="16"/>
              </w:rPr>
            </w:pPr>
            <w:r>
              <w:rPr>
                <w:rFonts w:eastAsia="Verdana" w:cs="Verdana" w:ascii="Verdana" w:hAnsi="Verdana"/>
                <w:color w:val="000000"/>
                <w:sz w:val="16"/>
                <w:szCs w:val="16"/>
              </w:rPr>
              <w:t>МНЛЗ №1, 2 ряды В- Б1 оси 5-6</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-40/+80</w:t>
            </w:r>
          </w:p>
        </w:tc>
        <w:tc>
          <w:tcPr>
            <w:tcW w:w="1419"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5.3.4</w:t>
            </w:r>
          </w:p>
        </w:tc>
        <w:tc>
          <w:tcPr>
            <w:tcW w:w="1954" w:type="dxa"/>
            <w:tcBorders>
              <w:bottom w:val="single" w:sz="4" w:space="0" w:color="000000"/>
              <w:end w:val="single" w:sz="4" w:space="0" w:color="000000"/>
            </w:tcBorders>
            <w:vAlign w:val="center"/>
          </w:tcPr>
          <w:p>
            <w:pPr>
              <w:pStyle w:val="Normal"/>
              <w:rPr>
                <w:rFonts w:ascii="Verdana" w:hAnsi="Verdana" w:eastAsia="Verdana" w:cs="Verdana"/>
                <w:color w:val="000000"/>
                <w:sz w:val="16"/>
                <w:szCs w:val="16"/>
              </w:rPr>
            </w:pPr>
            <w:r>
              <w:rPr>
                <w:rFonts w:eastAsia="Verdana" w:cs="Verdana" w:ascii="Verdana" w:hAnsi="Verdana"/>
                <w:color w:val="000000"/>
                <w:sz w:val="16"/>
                <w:szCs w:val="16"/>
              </w:rPr>
              <w:t>МНЛЗ №1, 2 ряды В- Б1 оси 9-10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-40/+80</w:t>
            </w:r>
          </w:p>
        </w:tc>
        <w:tc>
          <w:tcPr>
            <w:tcW w:w="1419"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5.3.5</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Участок ковшей оси 11-51</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5.3.6</w:t>
            </w:r>
          </w:p>
        </w:tc>
        <w:tc>
          <w:tcPr>
            <w:tcW w:w="1954" w:type="dxa"/>
            <w:tcBorders>
              <w:bottom w:val="single" w:sz="4" w:space="0" w:color="000000"/>
              <w:end w:val="single" w:sz="4" w:space="0" w:color="000000"/>
            </w:tcBorders>
            <w:vAlign w:val="center"/>
          </w:tcPr>
          <w:p>
            <w:pPr>
              <w:pStyle w:val="Normal"/>
              <w:rPr>
                <w:rFonts w:ascii="Verdana" w:hAnsi="Verdana" w:eastAsia="Verdana" w:cs="Verdana"/>
                <w:color w:val="000000"/>
                <w:sz w:val="16"/>
                <w:szCs w:val="16"/>
              </w:rPr>
            </w:pPr>
            <w:r>
              <w:rPr>
                <w:rFonts w:eastAsia="Verdana" w:cs="Verdana" w:ascii="Verdana" w:hAnsi="Verdana"/>
                <w:color w:val="000000"/>
                <w:sz w:val="16"/>
                <w:szCs w:val="16"/>
              </w:rPr>
              <w:t>МНЛЗ №5 оси 51-54</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-40/+60</w:t>
            </w:r>
          </w:p>
        </w:tc>
        <w:tc>
          <w:tcPr>
            <w:tcW w:w="1419"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5.3.7</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bookmarkStart w:id="2" w:name="undefined"/>
            <w:r>
              <w:rPr>
                <w:rFonts w:eastAsia="Verdana" w:cs="Verdana" w:ascii="Verdana" w:hAnsi="Verdana"/>
                <w:color w:val="000000"/>
                <w:sz w:val="16"/>
                <w:szCs w:val="16"/>
              </w:rPr>
              <w:t xml:space="preserve">МНЛЗ </w:t>
            </w:r>
            <w:bookmarkEnd w:id="2"/>
            <w:r>
              <w:rPr>
                <w:rFonts w:eastAsia="Verdana" w:cs="Verdana" w:ascii="Verdana" w:hAnsi="Verdana"/>
                <w:color w:val="000000"/>
                <w:sz w:val="16"/>
                <w:szCs w:val="16"/>
              </w:rPr>
              <w:t>№5 оси 54-59</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5.3.8</w:t>
            </w:r>
          </w:p>
        </w:tc>
        <w:tc>
          <w:tcPr>
            <w:tcW w:w="1954" w:type="dxa"/>
            <w:tcBorders>
              <w:bottom w:val="single" w:sz="4" w:space="0" w:color="000000"/>
              <w:end w:val="single" w:sz="4" w:space="0" w:color="000000"/>
            </w:tcBorders>
            <w:vAlign w:val="center"/>
          </w:tcPr>
          <w:p>
            <w:pPr>
              <w:pStyle w:val="Normal"/>
              <w:rPr>
                <w:rFonts w:ascii="Verdana" w:hAnsi="Verdana" w:eastAsia="Verdana" w:cs="Verdana"/>
                <w:color w:val="000000"/>
                <w:sz w:val="16"/>
                <w:szCs w:val="16"/>
              </w:rPr>
            </w:pPr>
            <w:r>
              <w:rPr>
                <w:rFonts w:eastAsia="Verdana" w:cs="Verdana" w:ascii="Verdana" w:hAnsi="Verdana"/>
                <w:color w:val="000000"/>
                <w:sz w:val="16"/>
                <w:szCs w:val="16"/>
              </w:rPr>
              <w:t>МНЛЗ №5 оси 59-69</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-40/+60</w:t>
            </w:r>
          </w:p>
        </w:tc>
        <w:tc>
          <w:tcPr>
            <w:tcW w:w="1419"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0,63</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5.4 Пролет В-В"</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5.4.1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Оси 24-40 Ремонт промковшей</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5.5 Пролет Б-В</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5.5.1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 xml:space="preserve">Оси 10-23 </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5.6 Пролет А-Б</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5.6.1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Оси 0-2 Склад готовой продукции</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5.6.2</w:t>
            </w:r>
          </w:p>
        </w:tc>
        <w:tc>
          <w:tcPr>
            <w:tcW w:w="1954" w:type="dxa"/>
            <w:tcBorders>
              <w:bottom w:val="single" w:sz="4" w:space="0" w:color="000000"/>
              <w:end w:val="single" w:sz="4" w:space="0" w:color="000000"/>
            </w:tcBorders>
            <w:vAlign w:val="center"/>
          </w:tcPr>
          <w:p>
            <w:pPr>
              <w:pStyle w:val="Normal"/>
              <w:rPr>
                <w:rFonts w:ascii="Verdana" w:hAnsi="Verdana" w:eastAsia="Verdana" w:cs="Verdana"/>
                <w:color w:val="000000"/>
                <w:sz w:val="16"/>
                <w:szCs w:val="16"/>
              </w:rPr>
            </w:pPr>
            <w:r>
              <w:rPr>
                <w:rFonts w:eastAsia="Verdana" w:cs="Verdana" w:ascii="Verdana" w:hAnsi="Verdana"/>
                <w:color w:val="000000"/>
                <w:sz w:val="16"/>
                <w:szCs w:val="16"/>
              </w:rPr>
              <w:t>Оси 2-10 Склад готовой продукции</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-40/+60</w:t>
            </w:r>
          </w:p>
        </w:tc>
        <w:tc>
          <w:tcPr>
            <w:tcW w:w="1419"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5.6.3</w:t>
            </w:r>
          </w:p>
        </w:tc>
        <w:tc>
          <w:tcPr>
            <w:tcW w:w="1954" w:type="dxa"/>
            <w:tcBorders>
              <w:bottom w:val="single" w:sz="4" w:space="0" w:color="000000"/>
              <w:end w:val="single" w:sz="4" w:space="0" w:color="000000"/>
            </w:tcBorders>
            <w:vAlign w:val="center"/>
          </w:tcPr>
          <w:p>
            <w:pPr>
              <w:pStyle w:val="Normal"/>
              <w:rPr>
                <w:rFonts w:ascii="Verdana" w:hAnsi="Verdana" w:eastAsia="Verdana" w:cs="Verdana"/>
                <w:color w:val="000000"/>
                <w:sz w:val="16"/>
                <w:szCs w:val="16"/>
              </w:rPr>
            </w:pPr>
            <w:r>
              <w:rPr>
                <w:rFonts w:eastAsia="Verdana" w:cs="Verdana" w:ascii="Verdana" w:hAnsi="Verdana"/>
                <w:color w:val="000000"/>
                <w:sz w:val="16"/>
                <w:szCs w:val="16"/>
              </w:rPr>
              <w:t>Оси 10-20 МНЛЗ №1, 2</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-40/+100</w:t>
            </w:r>
          </w:p>
        </w:tc>
        <w:tc>
          <w:tcPr>
            <w:tcW w:w="1419"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5.6.4</w:t>
            </w:r>
          </w:p>
        </w:tc>
        <w:tc>
          <w:tcPr>
            <w:tcW w:w="1954" w:type="dxa"/>
            <w:tcBorders>
              <w:bottom w:val="single" w:sz="4" w:space="0" w:color="000000"/>
              <w:end w:val="single" w:sz="4" w:space="0" w:color="000000"/>
            </w:tcBorders>
            <w:vAlign w:val="center"/>
          </w:tcPr>
          <w:p>
            <w:pPr>
              <w:pStyle w:val="Normal"/>
              <w:rPr>
                <w:rFonts w:ascii="Verdana" w:hAnsi="Verdana" w:eastAsia="Verdana" w:cs="Verdana"/>
                <w:color w:val="000000"/>
                <w:sz w:val="16"/>
                <w:szCs w:val="16"/>
              </w:rPr>
            </w:pPr>
            <w:r>
              <w:rPr>
                <w:rFonts w:eastAsia="Verdana" w:cs="Verdana" w:ascii="Verdana" w:hAnsi="Verdana"/>
                <w:color w:val="000000"/>
                <w:sz w:val="16"/>
                <w:szCs w:val="16"/>
              </w:rPr>
              <w:t>Оси 20-27 Склад готовой продукции</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-40/+60</w:t>
            </w:r>
          </w:p>
        </w:tc>
        <w:tc>
          <w:tcPr>
            <w:tcW w:w="1419"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rPr>
              <w:t>0,63</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5.7 Дворы</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5.7.1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Двор сыпучих Пролет А-Б оси 1-23</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5.7.2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Двор металла Пролет И-К оси 1 -27</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5.7.3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Наружное освещение</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5.8 Автопроезды</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5.8.1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Пролет Д-С оси 1-2.</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превышает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5.8.2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Пролет С-Е оси 1-14</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превышает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5.8.3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Пролет С-Е оси 17-29</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превышает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5.8.4</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Пролет С-Е оси 29-37</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превышает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5.8.5</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Пролет Д-Е оси 37-64</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превышает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5.8.6</w:t>
            </w:r>
          </w:p>
        </w:tc>
        <w:tc>
          <w:tcPr>
            <w:tcW w:w="1954" w:type="dxa"/>
            <w:tcBorders>
              <w:top w:val="single" w:sz="4" w:space="0" w:color="000000"/>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Пролет Б/1-В оси 13-22</w:t>
            </w:r>
          </w:p>
        </w:tc>
        <w:tc>
          <w:tcPr>
            <w:tcW w:w="1417" w:type="dxa"/>
            <w:tcBorders>
              <w:top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w:t>
            </w:r>
          </w:p>
        </w:tc>
        <w:tc>
          <w:tcPr>
            <w:tcW w:w="1417" w:type="dxa"/>
            <w:tcBorders>
              <w:top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top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top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превышает 75</w:t>
            </w:r>
          </w:p>
        </w:tc>
        <w:tc>
          <w:tcPr>
            <w:tcW w:w="2441" w:type="dxa"/>
            <w:tcBorders>
              <w:top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5.9 Пролет А-Б (отдельно стоящее здание)</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5.9.1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Миксер №1 оси 1-8</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свыше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5.10 Пролет А-Б (отдельно стоящее здание)</w:t>
            </w:r>
          </w:p>
        </w:tc>
      </w:tr>
      <w:tr>
        <w:trPr>
          <w:trHeight w:val="288" w:hRule="atLeast"/>
        </w:trPr>
        <w:tc>
          <w:tcPr>
            <w:tcW w:w="739" w:type="dxa"/>
            <w:tcBorders>
              <w:start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5.10.1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Оси 1-7 НФС АПК-3 (отм. 0.000)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75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-40/+50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1 до 5</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от 65 до 75</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rPr>
              <w:t>6 УПП</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6.1 Участок оборудования №1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6.1.1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№77</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6.1.2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№82</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6.1.3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№80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6.1.4</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Мачта №1</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6.1.5</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Мачта №2</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6.1.6</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Мачта №3</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6.2 Участок №1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2.16</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№43</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2.17</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№20(13)</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2.18</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№16</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2.19</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№5 (холодный)</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2.20</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Ремонтный бокс</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2.21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№32</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2.22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Мачта освещения №1</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2.23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Мачта освещения №2</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-40/+40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близка к 100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0,67</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6.3 Участок Погрузка-выгрузка</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6.3.1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№45</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6.3.2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№33</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6.3.3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№30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1051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6.4 Участок ШДФ и НФП</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6.4.1</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 xml:space="preserve">Склад №35 </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6.4.2</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№34</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100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6.4.3</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 xml:space="preserve">Склад №50 </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6.4.4</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№56</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r>
        <w:trPr>
          <w:trHeight w:val="288" w:hRule="atLeast"/>
        </w:trPr>
        <w:tc>
          <w:tcPr>
            <w:tcW w:w="73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6.4.5</w:t>
            </w:r>
          </w:p>
        </w:tc>
        <w:tc>
          <w:tcPr>
            <w:tcW w:w="1954" w:type="dxa"/>
            <w:tcBorders>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rPr>
              <w:t>Склад №54</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200</w:t>
            </w:r>
          </w:p>
        </w:tc>
        <w:tc>
          <w:tcPr>
            <w:tcW w:w="1417"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-25/+40</w:t>
            </w:r>
          </w:p>
        </w:tc>
        <w:tc>
          <w:tcPr>
            <w:tcW w:w="1419"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до 1</w:t>
            </w:r>
          </w:p>
        </w:tc>
        <w:tc>
          <w:tcPr>
            <w:tcW w:w="1132"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менее 60</w:t>
            </w:r>
          </w:p>
        </w:tc>
        <w:tc>
          <w:tcPr>
            <w:tcW w:w="2441" w:type="dxa"/>
            <w:tcBorders>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0,71</w:t>
            </w:r>
          </w:p>
        </w:tc>
      </w:tr>
    </w:tbl>
    <w:p>
      <w:pPr>
        <w:pStyle w:val="Normal11"/>
        <w:shd w:val="clear" w:color="auto" w:fill="FFFFFF"/>
        <w:tabs>
          <w:tab w:val="clear" w:pos="369"/>
          <w:tab w:val="left" w:pos="0" w:leader="none"/>
          <w:tab w:val="left" w:pos="1276" w:leader="none"/>
        </w:tabs>
        <w:ind w:start="710"/>
        <w:jc w:val="both"/>
        <w:rPr>
          <w:rFonts w:ascii="Verdana" w:hAnsi="Verdana" w:cs="Verdana"/>
          <w:sz w:val="22"/>
          <w:szCs w:val="22"/>
        </w:rPr>
      </w:pPr>
      <w:r>
        <w:rPr>
          <w:rFonts w:eastAsia="Verdana" w:cs="Verdana" w:ascii="Verdana" w:hAnsi="Verdana"/>
          <w:sz w:val="22"/>
          <w:szCs w:val="22"/>
        </w:rPr>
        <w:t>1.2.7 Требования к патентной чистоте.</w:t>
      </w:r>
    </w:p>
    <w:p>
      <w:pPr>
        <w:pStyle w:val="Normal11"/>
        <w:shd w:val="clear" w:color="auto" w:fill="FFFFFF"/>
        <w:tabs>
          <w:tab w:val="clear" w:pos="369"/>
          <w:tab w:val="left" w:pos="1276" w:leader="none"/>
          <w:tab w:val="left" w:pos="1430" w:leader="none"/>
        </w:tabs>
        <w:ind w:firstLine="709"/>
        <w:jc w:val="both"/>
        <w:rPr>
          <w:rFonts w:ascii="Verdana" w:hAnsi="Verdana" w:cs="Verdana"/>
          <w:sz w:val="22"/>
          <w:szCs w:val="22"/>
        </w:rPr>
      </w:pPr>
      <w:r>
        <w:rPr>
          <w:rFonts w:eastAsia="Verdana" w:cs="Verdana" w:ascii="Verdana" w:hAnsi="Verdana"/>
          <w:sz w:val="22"/>
          <w:szCs w:val="22"/>
        </w:rPr>
        <w:t>По условиям законодательства РФ. Покупатель не имеет финансовых обязательств по применяемым в установке патентным разработкам.</w:t>
      </w:r>
    </w:p>
    <w:p>
      <w:pPr>
        <w:pStyle w:val="Normal11"/>
        <w:shd w:val="clear" w:color="auto" w:fill="FFFFFF"/>
        <w:tabs>
          <w:tab w:val="clear" w:pos="369"/>
          <w:tab w:val="left" w:pos="567" w:leader="none"/>
          <w:tab w:val="left" w:pos="1276" w:leader="none"/>
        </w:tabs>
        <w:ind w:firstLine="709"/>
        <w:jc w:val="center"/>
        <w:rPr>
          <w:sz w:val="24"/>
          <w:szCs w:val="24"/>
        </w:rPr>
      </w:pPr>
      <w:r>
        <w:rPr>
          <w:sz w:val="24"/>
          <w:szCs w:val="24"/>
        </w:rPr>
      </w:r>
    </w:p>
    <w:p>
      <w:pPr>
        <w:pStyle w:val="Normal11"/>
        <w:shd w:val="clear" w:color="auto" w:fill="FFFFFF"/>
        <w:spacing w:before="0" w:after="240"/>
        <w:ind w:firstLine="709"/>
        <w:rPr>
          <w:rFonts w:ascii="Verdana" w:hAnsi="Verdana" w:cs="Verdana"/>
          <w:b/>
          <w:sz w:val="22"/>
          <w:szCs w:val="22"/>
        </w:rPr>
      </w:pPr>
      <w:r>
        <w:rPr>
          <w:rFonts w:eastAsia="Verdana" w:cs="Verdana" w:ascii="Verdana" w:hAnsi="Verdana"/>
          <w:b/>
          <w:sz w:val="22"/>
          <w:szCs w:val="22"/>
        </w:rPr>
        <w:t>2 Технические требования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2.1</w:t>
        <w:tab/>
        <w:t>Требования к надежности оборудования:</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2.1.1 Гарантия на осветительный прибор в течении срока действия энергосервисного контракта, но не менее:</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w:t>
        <w:tab/>
        <w:t>не менее 60 месяцев для светодиодных светильников.</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2.1.2</w:t>
        <w:tab/>
        <w:t>Срок службы оборудования не менее 50 000 часов.</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2.1.3</w:t>
        <w:tab/>
        <w:t>Оборудование должно допускать длительную безотказную работу без снижения эксплуатационных характеристик.</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2.2</w:t>
        <w:tab/>
        <w:t>Требования к эксплуатационной безопасности:</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 xml:space="preserve">- соответствие требованиям ТР ЕАЭС 037/2016 «Об ограничении применения опасных веществ в изделиях электротехники и радиоэлектроники», ТР ТС 012/2011 «О безопасности оборудования для работы во взрывоопасных средах», ТР ТС 004/2011 «О безопасности низковольтного оборудования», ТР ТС 020/2011 «Электромагнитная совместимость технических средств». </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 xml:space="preserve">2.3 </w:t>
        <w:tab/>
        <w:t>Требования охраны труда для поставляемого оборудования: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 xml:space="preserve"> </w:t>
      </w:r>
      <w:r>
        <w:rPr>
          <w:rFonts w:eastAsia="Verdana" w:cs="Verdana" w:ascii="Verdana" w:hAnsi="Verdana"/>
          <w:sz w:val="22"/>
          <w:szCs w:val="22"/>
        </w:rPr>
        <w:t>- соответствие требованиям ГОСТ IEC 60598-1-2017 «Светильники. Общие технические условия», ГОСТ Р МЭК 60598-1-20011 «Светильники. Часть 1. Общие требования и методы испытаний», ГОСТ Р 54350-2015 «Приборы осветительные. Светотехнические требования и методы испытаний»;</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 уровень пульсаций светового потока, освещенность на рабочих поверхностях в соответствии с СП 52.13330.2016, СанПиН 1.2.3685-21 «Гигиенические нормативы и требования к обеспечению безопасности и (или) безвредности для человека факторов среды обитания», ГОСТ 34935-2023 «Освещение наружное объектов железнодорожного транспорта. Нормы и методы контроля».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2.4</w:t>
        <w:tab/>
        <w:t>Требования к метрологическому обеспечению.</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Не требуются.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2.5</w:t>
        <w:tab/>
        <w:t xml:space="preserve">Требования к электротехническому оборудованию: </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2.5.1</w:t>
        <w:tab/>
        <w:t>Электрооборудование (осветительные приборы), установленное в местах подверженных тепловому облучению или подверженных иным факторам воздействия должно быть рассчитано на работу в этих условиях либо защищено от воздействия этих факторов.</w:t>
      </w:r>
    </w:p>
    <w:p>
      <w:pPr>
        <w:pStyle w:val="Normal11"/>
        <w:shd w:val="clear" w:color="auto" w:fill="FFFFFF"/>
        <w:ind w:firstLine="709"/>
        <w:jc w:val="both"/>
        <w:rPr>
          <w:rFonts w:ascii="Verdana" w:hAnsi="Verdana" w:eastAsia="Verdana" w:cs="Verdana"/>
          <w:sz w:val="22"/>
          <w:szCs w:val="22"/>
        </w:rPr>
      </w:pPr>
      <w:r>
        <w:rPr>
          <w:rFonts w:eastAsia="Verdana" w:cs="Verdana" w:ascii="Verdana" w:hAnsi="Verdana"/>
          <w:sz w:val="22"/>
          <w:szCs w:val="22"/>
        </w:rPr>
        <w:t>2.5.2</w:t>
        <w:tab/>
        <w:t xml:space="preserve">Каждый осветительный прибор оборудовать электроустановочными изделиями, обеспечивающими надежную коммутацию, безопасное и быстрое соединение/разъединение осветительного прибора от электрической сети. </w:t>
      </w:r>
    </w:p>
    <w:p>
      <w:pPr>
        <w:pStyle w:val="Normal11"/>
        <w:shd w:val="clear" w:color="auto" w:fill="FFFFFF"/>
        <w:ind w:firstLine="709"/>
        <w:jc w:val="both"/>
        <w:rPr>
          <w:rFonts w:ascii="Verdana" w:hAnsi="Verdana" w:cs="Verdana"/>
          <w:sz w:val="22"/>
          <w:szCs w:val="22"/>
        </w:rPr>
      </w:pPr>
      <w:r>
        <w:rPr>
          <w:rFonts w:ascii="Verdana" w:hAnsi="Verdana"/>
          <w:sz w:val="22"/>
          <w:szCs w:val="22"/>
        </w:rPr>
        <w:t>Установить устройства защиты питающей сети от коммутационных и грозовых помех.</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2.6 Требования безопасности критической информационной инфраструктуры (согласно категории значимости, с учетом имеющихся или уточненных в ходе проектирования данных о критических процессах ПАО «ММК»).</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Не требуется.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2.7</w:t>
        <w:tab/>
        <w:t>Требования к поставке оборудования, в том числе по включению в комплект поставки:</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2.7.1</w:t>
        <w:tab/>
        <w:t>Электрооборудования: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Полный комплект оборудования.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Паспорт на изделие, содержащий информацию:</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назначение;</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тип источника света;</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напряжение питания;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световой поток;</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угол излучения;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цветовая температура;</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степень защиты (IP);</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класс защиты от поражения эл. током;</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коэффициент мощности;</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индекс светопередачи;</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тип рассеивателя;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наличие ПРА/драйвера (тип и способ его установки)</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возможность использования в системе управления освещением (тип управления);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диапазон рабочих температур;</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гарантийный срок;</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срок службы;</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способ крепления;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габаритные размеры;</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масса.</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Для осветительного оборудования, информация о котором не доступна в открытом доступе, обязательно предоставление протоколов испытания независимой аккредитованной испытательной лаборатории (центра) для подтверждения следующих параметров:</w:t>
      </w:r>
    </w:p>
    <w:p>
      <w:pPr>
        <w:pStyle w:val="Normal11"/>
        <w:shd w:val="clear" w:color="auto" w:fill="FFFFFF"/>
        <w:ind w:start="709"/>
        <w:jc w:val="both"/>
        <w:rPr>
          <w:rFonts w:ascii="Verdana" w:hAnsi="Verdana" w:cs="Verdana"/>
          <w:sz w:val="22"/>
          <w:szCs w:val="22"/>
        </w:rPr>
      </w:pPr>
      <w:r>
        <w:rPr>
          <w:rFonts w:eastAsia="Verdana" w:cs="Verdana" w:ascii="Verdana" w:hAnsi="Verdana"/>
          <w:sz w:val="22"/>
          <w:szCs w:val="22"/>
        </w:rPr>
        <w:t>Электротехнических</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мощность;</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напряжение питания;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частота сети;</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коэффициент мощности;</w:t>
      </w:r>
    </w:p>
    <w:p>
      <w:pPr>
        <w:pStyle w:val="Normal11"/>
        <w:shd w:val="clear" w:color="auto" w:fill="FFFFFF"/>
        <w:ind w:start="709"/>
        <w:jc w:val="both"/>
        <w:rPr>
          <w:rFonts w:ascii="Verdana" w:hAnsi="Verdana" w:cs="Verdana"/>
          <w:sz w:val="22"/>
          <w:szCs w:val="22"/>
        </w:rPr>
      </w:pPr>
      <w:r>
        <w:rPr>
          <w:rFonts w:eastAsia="Verdana" w:cs="Verdana" w:ascii="Verdana" w:hAnsi="Verdana"/>
          <w:sz w:val="22"/>
          <w:szCs w:val="22"/>
        </w:rPr>
        <w:t>-</w:t>
        <w:tab/>
        <w:t>класс защиты светильника от поражения электрическим током. Светотехнических</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световой поток светильника;</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цветовая температура;</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индекс цветопередачи;</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тип кривой силы света (угол излучения).</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Эксплуатационных</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степень защиты светильника (IP);</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диапазон рабочих температур;</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климатическое исполнение по ГОСТ 15150-69;</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w:t>
        <w:tab/>
        <w:t>вид взрывозащиты.</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 xml:space="preserve">Сертификаты соответствия </w:t>
      </w:r>
      <w:bookmarkStart w:id="3" w:name="_Hlk212031336"/>
      <w:r>
        <w:rPr>
          <w:rFonts w:eastAsia="Verdana" w:cs="Verdana" w:ascii="Verdana" w:hAnsi="Verdana"/>
          <w:sz w:val="22"/>
          <w:szCs w:val="22"/>
        </w:rPr>
        <w:t>требованиям ТР ТС и ТР ЕАЭС, в соответствие с пунктом 2.2, заверенный должным образом.</w:t>
      </w:r>
      <w:bookmarkEnd w:id="3"/>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2.8 Требования к упаковке и маркировке производимой продукции.</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Не требуется.</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2.9 Требования по охране окружающей среды должны содержать информацию об уровне воздействия на окружающую среду, мероприятия по утилизации и обезвреживанию отходов.</w:t>
      </w:r>
    </w:p>
    <w:p>
      <w:pPr>
        <w:pStyle w:val="44"/>
        <w:tabs>
          <w:tab w:val="clear" w:pos="369"/>
          <w:tab w:val="left" w:pos="567" w:leader="none"/>
          <w:tab w:val="left" w:pos="1276" w:leader="none"/>
        </w:tabs>
        <w:ind w:firstLine="709"/>
        <w:jc w:val="both"/>
        <w:rPr>
          <w:rFonts w:ascii="Verdana" w:hAnsi="Verdana" w:cs="Verdana"/>
          <w:sz w:val="24"/>
          <w:szCs w:val="24"/>
        </w:rPr>
      </w:pPr>
      <w:r>
        <w:rPr>
          <w:rFonts w:eastAsia="Verdana" w:cs="Verdana" w:ascii="Verdana" w:hAnsi="Verdana"/>
          <w:sz w:val="22"/>
          <w:szCs w:val="22"/>
        </w:rPr>
        <w:t>В соответствии с требованиями природоохранного законодательства и нормативных документов. Машины и (или) оборудование должны соответствовать Решению Комиссии Таможенного союза от 18.10.2011 № 823 (ред. от 16.05.2016) «О принятии технического регламента Таможенного союза «О безопасности машин и оборудования» (вместе с ТР ТС 010/2011. Технический регламент Таможенного союза. О безопасности машин и оборудования»).</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2.10 Требования по оснащению оборудования и агрегатов противопожарной защитой.</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Не требуется.</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2.11. Требования к параметрам, применяемым при светотехническом расчете:</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 актуальные планы помещений и территорий;</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 места установки и высоты подвеса светильников в соответствии с существующими на момент предпроектного обследования;</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 коэффициент эксплуатации в соответствии с данными указанными в таблице 6;</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eastAsia="Verdana" w:cs="Verdana" w:ascii="Verdana" w:hAnsi="Verdana"/>
          <w:sz w:val="22"/>
          <w:szCs w:val="22"/>
        </w:rPr>
        <w:t>- коэффициенты отражения поверхностей: пол - 0, стены - 0, потолок – 0;</w:t>
      </w:r>
    </w:p>
    <w:p>
      <w:pPr>
        <w:pStyle w:val="Normal11"/>
        <w:shd w:val="clear" w:color="auto" w:fill="FFFFFF"/>
        <w:tabs>
          <w:tab w:val="clear" w:pos="369"/>
          <w:tab w:val="left" w:pos="567" w:leader="none"/>
          <w:tab w:val="left" w:pos="1276" w:leader="none"/>
        </w:tabs>
        <w:ind w:firstLine="709"/>
        <w:jc w:val="both"/>
        <w:rPr>
          <w:rFonts w:ascii="Verdana" w:hAnsi="Verdana" w:eastAsia="Verdana" w:cs="Verdana"/>
          <w:sz w:val="22"/>
          <w:szCs w:val="22"/>
        </w:rPr>
      </w:pPr>
      <w:r>
        <w:rPr>
          <w:rFonts w:eastAsia="Verdana" w:cs="Verdana" w:ascii="Verdana" w:hAnsi="Verdana"/>
          <w:sz w:val="22"/>
          <w:szCs w:val="22"/>
        </w:rPr>
        <w:t>- световой поток и кривые силы света осветительных приборов, подтвержденные паспортом на изделие и файлом в формате ies (в случае отсутствия данных об осветительном приборе в свободном доступе - подтвержден протоколом испытания независимой аккредитованной испытательной лабораторией (центром);</w:t>
      </w:r>
    </w:p>
    <w:p>
      <w:pPr>
        <w:pStyle w:val="Normal11"/>
        <w:numPr>
          <w:ilvl w:val="0"/>
          <w:numId w:val="13"/>
        </w:numPr>
        <w:shd w:val="clear" w:color="auto" w:fill="FFFFFF"/>
        <w:ind w:firstLine="709" w:start="0"/>
        <w:jc w:val="both"/>
        <w:rPr>
          <w:rFonts w:ascii="Verdana" w:hAnsi="Verdana" w:cs="Verdana"/>
          <w:sz w:val="22"/>
          <w:szCs w:val="22"/>
        </w:rPr>
      </w:pPr>
      <w:r>
        <w:rPr>
          <w:rFonts w:eastAsia="Verdana" w:cs="Verdana" w:ascii="Verdana" w:hAnsi="Verdana"/>
          <w:sz w:val="22"/>
          <w:szCs w:val="22"/>
        </w:rPr>
        <w:t xml:space="preserve">файлы светотехнического расчета в формате </w:t>
      </w:r>
      <w:r>
        <w:rPr>
          <w:rFonts w:eastAsia="Verdana" w:cs="Verdana" w:ascii="Verdana" w:hAnsi="Verdana"/>
          <w:sz w:val="22"/>
          <w:szCs w:val="22"/>
          <w:lang w:val="en-US"/>
        </w:rPr>
        <w:t>dlx</w:t>
      </w:r>
      <w:r>
        <w:rPr>
          <w:rFonts w:eastAsia="Verdana" w:cs="Verdana" w:ascii="Verdana" w:hAnsi="Verdana"/>
          <w:sz w:val="22"/>
          <w:szCs w:val="22"/>
        </w:rPr>
        <w:t xml:space="preserve">  и/ или evo (</w:t>
      </w:r>
      <w:r>
        <w:rPr>
          <w:rFonts w:eastAsia="Verdana" w:cs="Verdana" w:ascii="Verdana" w:hAnsi="Verdana"/>
          <w:sz w:val="22"/>
          <w:szCs w:val="22"/>
          <w:lang w:val="en-US"/>
        </w:rPr>
        <w:t>DUALux</w:t>
      </w:r>
      <w:r>
        <w:rPr>
          <w:rFonts w:eastAsia="Verdana" w:cs="Verdana" w:ascii="Verdana" w:hAnsi="Verdana"/>
          <w:sz w:val="22"/>
          <w:szCs w:val="22"/>
        </w:rPr>
        <w:t xml:space="preserve"> документ) для всех помещений и территорий объектов разработки на которых проводится мероприятие.</w:t>
      </w:r>
    </w:p>
    <w:p>
      <w:pPr>
        <w:pStyle w:val="Normal11"/>
        <w:shd w:val="clear" w:color="auto" w:fill="FFFFFF"/>
        <w:tabs>
          <w:tab w:val="clear" w:pos="369"/>
          <w:tab w:val="left" w:pos="567" w:leader="none"/>
          <w:tab w:val="left" w:pos="1276" w:leader="none"/>
        </w:tabs>
        <w:ind w:firstLine="709"/>
        <w:jc w:val="both"/>
        <w:rPr>
          <w:rFonts w:ascii="Verdana" w:hAnsi="Verdana" w:cs="Verdana"/>
          <w:sz w:val="22"/>
          <w:szCs w:val="22"/>
        </w:rPr>
      </w:pPr>
      <w:r>
        <w:rPr>
          <w:rFonts w:cs="Verdana" w:ascii="Verdana" w:hAnsi="Verdana"/>
          <w:sz w:val="22"/>
          <w:szCs w:val="22"/>
        </w:rPr>
      </w:r>
    </w:p>
    <w:p>
      <w:pPr>
        <w:pStyle w:val="Normal11"/>
        <w:numPr>
          <w:ilvl w:val="0"/>
          <w:numId w:val="9"/>
        </w:numPr>
        <w:shd w:val="clear" w:color="auto" w:fill="FFFFFF"/>
        <w:rPr>
          <w:rFonts w:ascii="Verdana" w:hAnsi="Verdana" w:cs="Verdana"/>
          <w:b/>
          <w:sz w:val="22"/>
          <w:szCs w:val="22"/>
        </w:rPr>
      </w:pPr>
      <w:r>
        <w:rPr>
          <w:rFonts w:eastAsia="Verdana" w:cs="Verdana" w:ascii="Verdana" w:hAnsi="Verdana"/>
          <w:b/>
          <w:sz w:val="22"/>
          <w:szCs w:val="22"/>
        </w:rPr>
        <w:t>Строительные требования и требования к монтажу оборудования</w:t>
      </w:r>
    </w:p>
    <w:p>
      <w:pPr>
        <w:pStyle w:val="Normal11"/>
        <w:shd w:val="clear" w:color="auto" w:fill="FFFFFF"/>
        <w:ind w:start="480"/>
        <w:jc w:val="center"/>
        <w:rPr>
          <w:rFonts w:ascii="Verdana" w:hAnsi="Verdana" w:cs="Verdana"/>
          <w:sz w:val="22"/>
          <w:szCs w:val="22"/>
        </w:rPr>
      </w:pPr>
      <w:r>
        <w:rPr>
          <w:rFonts w:cs="Verdana" w:ascii="Verdana" w:hAnsi="Verdana"/>
          <w:sz w:val="22"/>
          <w:szCs w:val="22"/>
        </w:rPr>
      </w:r>
    </w:p>
    <w:p>
      <w:pPr>
        <w:pStyle w:val="Normal11"/>
        <w:shd w:val="clear" w:color="auto" w:fill="FFFFFF"/>
        <w:tabs>
          <w:tab w:val="clear" w:pos="369"/>
          <w:tab w:val="left" w:pos="1418" w:leader="none"/>
        </w:tabs>
        <w:ind w:firstLine="709"/>
        <w:jc w:val="both"/>
        <w:rPr>
          <w:rFonts w:ascii="Verdana" w:hAnsi="Verdana" w:cs="Verdana"/>
          <w:spacing w:val="-8"/>
          <w:sz w:val="22"/>
          <w:szCs w:val="22"/>
        </w:rPr>
      </w:pPr>
      <w:r>
        <w:rPr>
          <w:rFonts w:eastAsia="Verdana" w:cs="Verdana" w:ascii="Verdana" w:hAnsi="Verdana"/>
          <w:sz w:val="22"/>
          <w:szCs w:val="22"/>
        </w:rPr>
        <w:t>3.1</w:t>
        <w:tab/>
        <w:t xml:space="preserve">Строительные </w:t>
      </w:r>
      <w:r>
        <w:rPr>
          <w:rFonts w:eastAsia="Verdana" w:cs="Verdana" w:ascii="Verdana" w:hAnsi="Verdana"/>
          <w:spacing w:val="-8"/>
          <w:sz w:val="22"/>
          <w:szCs w:val="22"/>
        </w:rPr>
        <w:t>требования к установке оборудования должны содержать:</w:t>
      </w:r>
    </w:p>
    <w:p>
      <w:pPr>
        <w:pStyle w:val="Normal11"/>
        <w:shd w:val="clear" w:color="auto" w:fill="FFFFFF"/>
        <w:tabs>
          <w:tab w:val="clear" w:pos="369"/>
          <w:tab w:val="left" w:pos="1276" w:leader="none"/>
          <w:tab w:val="left" w:pos="1418" w:leader="none"/>
        </w:tabs>
        <w:ind w:firstLine="709"/>
        <w:jc w:val="both"/>
        <w:rPr>
          <w:rFonts w:ascii="Verdana" w:hAnsi="Verdana" w:cs="Verdana"/>
          <w:sz w:val="22"/>
          <w:szCs w:val="22"/>
        </w:rPr>
      </w:pPr>
      <w:r>
        <w:rPr>
          <w:rFonts w:eastAsia="Verdana" w:cs="Verdana" w:ascii="Verdana" w:hAnsi="Verdana"/>
          <w:sz w:val="22"/>
          <w:szCs w:val="22"/>
        </w:rPr>
        <w:t>3.1.1</w:t>
        <w:tab/>
        <w:t>Требования по компоновке оборудования для технологического процесса, для обеспечения возможности маневрирования грузоподъемных средств и транспорта при монтаже, обслуживании и ремонте оборудования.</w:t>
      </w:r>
    </w:p>
    <w:p>
      <w:pPr>
        <w:pStyle w:val="Normal11"/>
        <w:shd w:val="clear" w:color="auto" w:fill="FFFFFF"/>
        <w:tabs>
          <w:tab w:val="clear" w:pos="369"/>
          <w:tab w:val="left" w:pos="1418" w:leader="none"/>
        </w:tabs>
        <w:ind w:firstLine="709"/>
        <w:jc w:val="both"/>
        <w:rPr>
          <w:rFonts w:ascii="Verdana" w:hAnsi="Verdana" w:cs="Verdana"/>
          <w:sz w:val="22"/>
          <w:szCs w:val="22"/>
        </w:rPr>
      </w:pPr>
      <w:r>
        <w:rPr>
          <w:rFonts w:eastAsia="Verdana" w:cs="Verdana" w:ascii="Verdana" w:hAnsi="Verdana"/>
          <w:sz w:val="22"/>
          <w:szCs w:val="22"/>
        </w:rPr>
        <w:t>Демонтаж старого и монтаж нового осветительного оборудования произвести, не прерывая ведение технологического процесса существующего оборудования. Места установки осветительных приборов остаются без изменения.</w:t>
      </w:r>
    </w:p>
    <w:p>
      <w:pPr>
        <w:pStyle w:val="Normal11"/>
        <w:shd w:val="clear" w:color="auto" w:fill="FFFFFF"/>
        <w:tabs>
          <w:tab w:val="clear" w:pos="369"/>
          <w:tab w:val="left" w:pos="1418" w:leader="none"/>
        </w:tabs>
        <w:ind w:firstLine="709"/>
        <w:jc w:val="both"/>
        <w:rPr>
          <w:rFonts w:ascii="Verdana" w:hAnsi="Verdana" w:cs="Verdana"/>
          <w:sz w:val="22"/>
          <w:szCs w:val="22"/>
        </w:rPr>
      </w:pPr>
      <w:r>
        <w:rPr>
          <w:rFonts w:eastAsia="Verdana" w:cs="Verdana" w:ascii="Verdana" w:hAnsi="Verdana"/>
          <w:sz w:val="22"/>
          <w:szCs w:val="22"/>
        </w:rPr>
        <w:t>3.2</w:t>
        <w:tab/>
        <w:t>Требования к монтажу, наладке оборудования и обслуживанию:</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 осуществить демонтаж старых и монтаж новых осветительных приборов;</w:t>
      </w:r>
    </w:p>
    <w:p>
      <w:pPr>
        <w:pStyle w:val="Normal11"/>
        <w:numPr>
          <w:ilvl w:val="0"/>
          <w:numId w:val="12"/>
        </w:numPr>
        <w:shd w:val="clear" w:color="auto" w:fill="FFFFFF"/>
        <w:ind w:firstLine="709" w:start="0"/>
        <w:jc w:val="both"/>
        <w:rPr>
          <w:rFonts w:ascii="Verdana" w:hAnsi="Verdana" w:cs="Verdana"/>
          <w:sz w:val="22"/>
          <w:szCs w:val="22"/>
        </w:rPr>
      </w:pPr>
      <w:r>
        <w:rPr>
          <w:rFonts w:eastAsia="Verdana" w:cs="Verdana" w:ascii="Verdana" w:hAnsi="Verdana"/>
          <w:sz w:val="22"/>
          <w:szCs w:val="22"/>
        </w:rPr>
        <w:t xml:space="preserve">монтаж осветительных приборов должен быть осуществлен силами сертифицированной монтажной организацией с опытом работы в данной области; </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 монтаж должен осуществляться в соответствии с нормативными документами, действующими на территории РФ;</w:t>
      </w:r>
    </w:p>
    <w:p>
      <w:pPr>
        <w:pStyle w:val="Normal11"/>
        <w:shd w:val="clear" w:color="auto" w:fill="FFFFFF"/>
        <w:ind w:firstLine="709"/>
        <w:jc w:val="both"/>
        <w:rPr>
          <w:rFonts w:ascii="Verdana" w:hAnsi="Verdana" w:cs="Verdana"/>
          <w:sz w:val="22"/>
          <w:szCs w:val="22"/>
        </w:rPr>
      </w:pPr>
      <w:r>
        <w:rPr>
          <w:rFonts w:eastAsia="Verdana" w:cs="Verdana" w:ascii="Verdana" w:hAnsi="Verdana"/>
          <w:sz w:val="22"/>
          <w:szCs w:val="22"/>
        </w:rPr>
        <w:t>- наладка/юстировка осветительных приборов осуществляется компетентными специалистами.</w:t>
      </w:r>
    </w:p>
    <w:p>
      <w:pPr>
        <w:pStyle w:val="Normal11"/>
        <w:shd w:val="clear" w:color="auto" w:fill="FFFFFF"/>
        <w:tabs>
          <w:tab w:val="clear" w:pos="369"/>
          <w:tab w:val="left" w:pos="1418" w:leader="none"/>
        </w:tabs>
        <w:ind w:firstLine="709"/>
        <w:jc w:val="both"/>
        <w:rPr>
          <w:rFonts w:ascii="Verdana" w:hAnsi="Verdana" w:cs="Verdana"/>
          <w:sz w:val="22"/>
          <w:szCs w:val="22"/>
        </w:rPr>
      </w:pPr>
      <w:r>
        <w:rPr>
          <w:rFonts w:cs="Verdana" w:ascii="Verdana" w:hAnsi="Verdana"/>
          <w:sz w:val="22"/>
          <w:szCs w:val="22"/>
        </w:rPr>
      </w:r>
    </w:p>
    <w:p>
      <w:pPr>
        <w:pStyle w:val="44"/>
        <w:shd w:val="clear" w:color="auto" w:fill="FFFFFF"/>
        <w:ind w:firstLine="709"/>
        <w:jc w:val="both"/>
        <w:rPr>
          <w:rFonts w:ascii="Verdana" w:hAnsi="Verdana" w:cs="Verdana"/>
          <w:b/>
          <w:sz w:val="24"/>
          <w:szCs w:val="24"/>
        </w:rPr>
      </w:pPr>
      <w:r>
        <w:rPr>
          <w:rFonts w:eastAsia="Verdana" w:cs="Verdana" w:ascii="Verdana" w:hAnsi="Verdana"/>
          <w:b/>
          <w:sz w:val="22"/>
          <w:szCs w:val="22"/>
        </w:rPr>
        <w:t>4 Общие требования</w:t>
      </w:r>
    </w:p>
    <w:p>
      <w:pPr>
        <w:pStyle w:val="44"/>
        <w:shd w:val="clear" w:color="auto" w:fill="FFFFFF"/>
        <w:ind w:firstLine="709"/>
        <w:jc w:val="both"/>
        <w:rPr>
          <w:rFonts w:ascii="Verdana" w:hAnsi="Verdana" w:cs="Verdana"/>
          <w:sz w:val="24"/>
          <w:szCs w:val="24"/>
        </w:rPr>
      </w:pPr>
      <w:r>
        <w:rPr>
          <w:rFonts w:cs="Verdana" w:ascii="Verdana" w:hAnsi="Verdana"/>
          <w:sz w:val="24"/>
          <w:szCs w:val="24"/>
        </w:rPr>
      </w:r>
    </w:p>
    <w:p>
      <w:pPr>
        <w:pStyle w:val="NoSpacing"/>
        <w:ind w:firstLine="708"/>
        <w:jc w:val="both"/>
        <w:rPr>
          <w:rFonts w:ascii="Verdana" w:hAnsi="Verdana" w:cs="Verdana"/>
          <w:sz w:val="24"/>
          <w:szCs w:val="24"/>
        </w:rPr>
      </w:pPr>
      <w:r>
        <w:rPr>
          <w:rFonts w:eastAsia="Verdana" w:cs="Verdana" w:ascii="Verdana" w:hAnsi="Verdana"/>
        </w:rPr>
        <w:t>4.1</w:t>
        <w:tab/>
        <w:t>Установка МТР осуществляется согласно требуемых параметров технологического процесса, предоставляемых заказчиком. (Субподрядчик прилагает подробное описание режимов работы применяемых осветительных приборов и рекомендации по достижению требуемых параметров).</w:t>
      </w:r>
    </w:p>
    <w:p>
      <w:pPr>
        <w:pStyle w:val="NoSpacing"/>
        <w:ind w:firstLine="708"/>
        <w:jc w:val="both"/>
        <w:rPr>
          <w:rFonts w:ascii="Verdana" w:hAnsi="Verdana" w:cs="Verdana"/>
          <w:sz w:val="24"/>
          <w:szCs w:val="24"/>
        </w:rPr>
      </w:pPr>
      <w:r>
        <w:rPr>
          <w:rFonts w:eastAsia="Verdana" w:cs="Verdana" w:ascii="Verdana" w:hAnsi="Verdana"/>
        </w:rPr>
        <w:t>4.2</w:t>
        <w:tab/>
        <w:t>Необходим общий план расположения осветительных приборов с необходимыми разрезами, компоновочными решениями.</w:t>
      </w:r>
    </w:p>
    <w:p>
      <w:pPr>
        <w:pStyle w:val="NoSpacing"/>
        <w:ind w:firstLine="708"/>
        <w:jc w:val="both"/>
        <w:rPr>
          <w:rFonts w:ascii="Verdana" w:hAnsi="Verdana" w:cs="Verdana"/>
          <w:sz w:val="24"/>
          <w:szCs w:val="24"/>
        </w:rPr>
      </w:pPr>
      <w:r>
        <w:rPr>
          <w:rFonts w:eastAsia="Verdana" w:cs="Verdana" w:ascii="Verdana" w:hAnsi="Verdana"/>
        </w:rPr>
        <w:t>4.3</w:t>
        <w:tab/>
        <w:t>Необходимо указание потребностей применяемых МТР по удельным расходным материалам, энергоресурсам и прочим материалам.</w:t>
      </w:r>
    </w:p>
    <w:p>
      <w:pPr>
        <w:pStyle w:val="NoSpacing"/>
        <w:ind w:firstLine="708"/>
        <w:jc w:val="both"/>
        <w:rPr>
          <w:rFonts w:ascii="Verdana" w:hAnsi="Verdana" w:cs="Verdana"/>
          <w:sz w:val="24"/>
          <w:szCs w:val="24"/>
        </w:rPr>
      </w:pPr>
      <w:r>
        <w:rPr>
          <w:rFonts w:eastAsia="Verdana" w:cs="Verdana" w:ascii="Verdana" w:hAnsi="Verdana"/>
        </w:rPr>
        <w:t>· осветительный прибор;</w:t>
      </w:r>
    </w:p>
    <w:p>
      <w:pPr>
        <w:pStyle w:val="NoSpacing"/>
        <w:ind w:firstLine="708"/>
        <w:jc w:val="both"/>
        <w:rPr>
          <w:rFonts w:ascii="Verdana" w:hAnsi="Verdana" w:cs="Verdana"/>
          <w:sz w:val="24"/>
          <w:szCs w:val="24"/>
        </w:rPr>
      </w:pPr>
      <w:r>
        <w:rPr>
          <w:rFonts w:eastAsia="Verdana" w:cs="Verdana" w:ascii="Verdana" w:hAnsi="Verdana"/>
        </w:rPr>
        <w:t>· расходные материалы для осуществления монтажа.</w:t>
      </w:r>
    </w:p>
    <w:p>
      <w:pPr>
        <w:pStyle w:val="NoSpacing"/>
        <w:ind w:firstLine="708"/>
        <w:jc w:val="both"/>
        <w:rPr>
          <w:rFonts w:ascii="Verdana" w:hAnsi="Verdana" w:cs="Verdana"/>
          <w:sz w:val="24"/>
          <w:szCs w:val="24"/>
        </w:rPr>
      </w:pPr>
      <w:r>
        <w:rPr>
          <w:rFonts w:eastAsia="Verdana" w:cs="Verdana" w:ascii="Verdana" w:hAnsi="Verdana"/>
        </w:rPr>
        <w:t>4.4</w:t>
        <w:tab/>
      </w:r>
      <w:r>
        <w:rPr>
          <w:rFonts w:eastAsia="Verdana" w:cs="Verdana" w:ascii="Verdana" w:hAnsi="Verdana"/>
          <w:bCs/>
        </w:rPr>
        <w:t>Требования по дополнительным и необходимым материалам, документам:</w:t>
      </w:r>
      <w:r>
        <w:rPr>
          <w:rFonts w:eastAsia="Verdana" w:cs="Verdana" w:ascii="Verdana" w:hAnsi="Verdana"/>
        </w:rPr>
        <w:t xml:space="preserve"> </w:t>
      </w:r>
    </w:p>
    <w:p>
      <w:pPr>
        <w:pStyle w:val="NoSpacing"/>
        <w:jc w:val="both"/>
        <w:rPr>
          <w:rFonts w:ascii="Verdana" w:hAnsi="Verdana" w:cs="Verdana"/>
          <w:bCs/>
          <w:sz w:val="24"/>
          <w:szCs w:val="24"/>
        </w:rPr>
      </w:pPr>
      <w:r>
        <w:rPr>
          <w:rFonts w:eastAsia="Verdana" w:cs="Verdana" w:ascii="Verdana" w:hAnsi="Verdana"/>
          <w:bCs/>
        </w:rPr>
        <w:t>Документация</w:t>
      </w:r>
    </w:p>
    <w:p>
      <w:pPr>
        <w:pStyle w:val="NoSpacing"/>
        <w:jc w:val="both"/>
        <w:rPr>
          <w:rFonts w:ascii="Verdana" w:hAnsi="Verdana" w:cs="Verdana"/>
          <w:sz w:val="24"/>
          <w:szCs w:val="24"/>
        </w:rPr>
      </w:pPr>
      <w:r>
        <w:rPr>
          <w:rFonts w:eastAsia="Verdana" w:cs="Verdana" w:ascii="Verdana" w:hAnsi="Verdana"/>
        </w:rPr>
        <w:t xml:space="preserve">В комплекте с осветительными приборами должна  быть  предоставлена  следующая  документация: </w:t>
      </w:r>
    </w:p>
    <w:p>
      <w:pPr>
        <w:pStyle w:val="NoSpacing"/>
        <w:ind w:hanging="283" w:start="567"/>
        <w:jc w:val="both"/>
        <w:rPr>
          <w:rFonts w:ascii="Verdana" w:hAnsi="Verdana" w:cs="Verdana"/>
          <w:sz w:val="24"/>
          <w:szCs w:val="24"/>
        </w:rPr>
      </w:pPr>
      <w:r>
        <w:rPr>
          <w:rFonts w:eastAsia="Verdana" w:cs="Verdana" w:ascii="Verdana" w:hAnsi="Verdana"/>
        </w:rPr>
        <w:t xml:space="preserve">· электрические  схемы  (однолинейные  электроснабжения, принципиальные, схемы  подключений); </w:t>
      </w:r>
    </w:p>
    <w:p>
      <w:pPr>
        <w:pStyle w:val="NoSpacing"/>
        <w:ind w:hanging="283" w:start="567"/>
        <w:jc w:val="both"/>
        <w:rPr>
          <w:rFonts w:ascii="Verdana" w:hAnsi="Verdana" w:cs="Verdana"/>
          <w:sz w:val="24"/>
          <w:szCs w:val="24"/>
        </w:rPr>
      </w:pPr>
      <w:r>
        <w:rPr>
          <w:rFonts w:eastAsia="Verdana" w:cs="Verdana" w:ascii="Verdana" w:hAnsi="Verdana"/>
        </w:rPr>
        <w:t xml:space="preserve">· функциональное  описание; </w:t>
      </w:r>
    </w:p>
    <w:p>
      <w:pPr>
        <w:pStyle w:val="NoSpacing"/>
        <w:ind w:hanging="283" w:start="567"/>
        <w:jc w:val="both"/>
        <w:rPr>
          <w:rFonts w:ascii="Verdana" w:hAnsi="Verdana" w:cs="Verdana"/>
          <w:sz w:val="24"/>
          <w:szCs w:val="24"/>
        </w:rPr>
      </w:pPr>
      <w:r>
        <w:rPr>
          <w:rFonts w:eastAsia="Verdana" w:cs="Verdana" w:ascii="Verdana" w:hAnsi="Verdana"/>
        </w:rPr>
        <w:t xml:space="preserve">· кабельный  журнал; </w:t>
      </w:r>
    </w:p>
    <w:p>
      <w:pPr>
        <w:pStyle w:val="NoSpacing"/>
        <w:ind w:firstLine="284"/>
        <w:jc w:val="both"/>
        <w:rPr>
          <w:rFonts w:ascii="Verdana" w:hAnsi="Verdana" w:cs="Verdana"/>
          <w:sz w:val="24"/>
          <w:szCs w:val="24"/>
        </w:rPr>
      </w:pPr>
      <w:r>
        <w:rPr>
          <w:rFonts w:eastAsia="Verdana" w:cs="Verdana" w:ascii="Verdana" w:hAnsi="Verdana"/>
        </w:rPr>
        <w:t>· паспорта  на  все  применяемые МТР;</w:t>
      </w:r>
    </w:p>
    <w:p>
      <w:pPr>
        <w:pStyle w:val="NoSpacing"/>
        <w:ind w:start="284"/>
        <w:jc w:val="both"/>
        <w:rPr>
          <w:rFonts w:ascii="Verdana" w:hAnsi="Verdana" w:cs="Verdana"/>
          <w:sz w:val="24"/>
          <w:szCs w:val="24"/>
        </w:rPr>
      </w:pPr>
      <w:r>
        <w:rPr>
          <w:rFonts w:eastAsia="Verdana" w:cs="Verdana" w:ascii="Verdana" w:hAnsi="Verdana"/>
        </w:rPr>
        <w:t xml:space="preserve">· инструкции по эксплуатации. </w:t>
      </w:r>
    </w:p>
    <w:p>
      <w:pPr>
        <w:pStyle w:val="NoSpacing"/>
        <w:ind w:firstLine="708"/>
        <w:jc w:val="both"/>
        <w:rPr>
          <w:rFonts w:ascii="Verdana" w:hAnsi="Verdana" w:cs="Verdana"/>
          <w:sz w:val="24"/>
          <w:szCs w:val="24"/>
        </w:rPr>
      </w:pPr>
      <w:r>
        <w:rPr>
          <w:rFonts w:eastAsia="Verdana" w:cs="Verdana" w:ascii="Verdana" w:hAnsi="Verdana"/>
        </w:rPr>
        <w:t>Документация на осветительные установки – комплекс взаимоувязанных документов, в котором полностью описаны все решения по созданию и функционированию системы общего освещения Объектов Заказчика, а также документов, подтверждающих соответствие системы общего освещения Объектов Заказчика требованиям технического задания и готовность её к эксплуатации (функционированию).</w:t>
      </w:r>
    </w:p>
    <w:p>
      <w:pPr>
        <w:pStyle w:val="NoSpacing"/>
        <w:ind w:firstLine="708"/>
        <w:jc w:val="both"/>
        <w:rPr>
          <w:rFonts w:ascii="Verdana" w:hAnsi="Verdana" w:cs="Verdana"/>
          <w:sz w:val="24"/>
          <w:szCs w:val="24"/>
        </w:rPr>
      </w:pPr>
      <w:r>
        <w:rPr>
          <w:rFonts w:eastAsia="Verdana" w:cs="Verdana" w:ascii="Verdana" w:hAnsi="Verdana"/>
        </w:rPr>
        <w:t xml:space="preserve">Рабочая документация на осветительные установки – часть документации, необходимая для изготовления, строительства, монтажа и наладки осветительных установок в целом.  </w:t>
      </w:r>
    </w:p>
    <w:p>
      <w:pPr>
        <w:pStyle w:val="NoSpacing"/>
        <w:jc w:val="both"/>
        <w:rPr>
          <w:rFonts w:ascii="Verdana" w:hAnsi="Verdana" w:cs="Verdana"/>
          <w:bCs/>
          <w:sz w:val="24"/>
          <w:szCs w:val="24"/>
        </w:rPr>
      </w:pPr>
      <w:r>
        <w:rPr>
          <w:rFonts w:eastAsia="Verdana" w:cs="Verdana" w:ascii="Verdana" w:hAnsi="Verdana"/>
          <w:bCs/>
        </w:rPr>
        <w:t xml:space="preserve">          </w:t>
      </w:r>
      <w:r>
        <w:rPr>
          <w:rFonts w:eastAsia="Verdana" w:cs="Verdana" w:ascii="Verdana" w:hAnsi="Verdana"/>
          <w:bCs/>
        </w:rPr>
        <w:t>Проектирование и участие в проектировании</w:t>
      </w:r>
    </w:p>
    <w:p>
      <w:pPr>
        <w:pStyle w:val="NoSpacing"/>
        <w:ind w:firstLine="708"/>
        <w:jc w:val="both"/>
        <w:rPr>
          <w:rFonts w:ascii="Verdana" w:hAnsi="Verdana" w:cs="Verdana"/>
          <w:sz w:val="24"/>
          <w:szCs w:val="24"/>
        </w:rPr>
      </w:pPr>
      <w:r>
        <w:rPr>
          <w:rFonts w:eastAsia="Verdana" w:cs="Verdana" w:ascii="Verdana" w:hAnsi="Verdana"/>
        </w:rPr>
        <w:t>На этапе базового и детального проектирования должно быть предусмотрено участие в проектировании Заказчика или предприятия, осуществляющего техническое обслуживание. Проект согласовать с Заказчиком.</w:t>
      </w:r>
    </w:p>
    <w:p>
      <w:pPr>
        <w:pStyle w:val="NoSpacing"/>
        <w:ind w:firstLine="708"/>
        <w:jc w:val="both"/>
        <w:rPr>
          <w:rFonts w:ascii="Verdana" w:hAnsi="Verdana" w:cs="Verdana"/>
          <w:sz w:val="24"/>
          <w:szCs w:val="24"/>
        </w:rPr>
      </w:pPr>
      <w:r>
        <w:rPr>
          <w:rFonts w:eastAsia="Verdana" w:cs="Verdana" w:ascii="Verdana" w:hAnsi="Verdana"/>
        </w:rPr>
        <w:t>Полный комплект исполнительной документации после ввода системы общего освещения Объекта Заказчика в эксплуатацию передается Заказчику.</w:t>
      </w:r>
    </w:p>
    <w:p>
      <w:pPr>
        <w:pStyle w:val="Normal11"/>
        <w:shd w:val="clear" w:color="auto" w:fill="FFFFFF"/>
        <w:tabs>
          <w:tab w:val="clear" w:pos="369"/>
          <w:tab w:val="left" w:pos="1418" w:leader="none"/>
        </w:tabs>
        <w:ind w:firstLine="709"/>
        <w:jc w:val="both"/>
        <w:rPr>
          <w:rFonts w:ascii="Verdana" w:hAnsi="Verdana" w:eastAsia="Verdana" w:cs="Verdana"/>
          <w:sz w:val="22"/>
          <w:szCs w:val="22"/>
        </w:rPr>
      </w:pPr>
      <w:r>
        <w:rPr>
          <w:rFonts w:eastAsia="Verdana" w:cs="Verdana" w:ascii="Verdana" w:hAnsi="Verdana"/>
          <w:sz w:val="22"/>
          <w:szCs w:val="22"/>
        </w:rPr>
        <w:t>Предоставление услуг:</w:t>
      </w:r>
    </w:p>
    <w:p>
      <w:pPr>
        <w:pStyle w:val="Normal11"/>
        <w:shd w:val="clear" w:color="auto" w:fill="FFFFFF"/>
        <w:tabs>
          <w:tab w:val="clear" w:pos="369"/>
          <w:tab w:val="left" w:pos="1418" w:leader="none"/>
        </w:tabs>
        <w:ind w:firstLine="709"/>
        <w:jc w:val="both"/>
        <w:rPr>
          <w:rFonts w:ascii="Verdana" w:hAnsi="Verdana" w:eastAsia="Verdana" w:cs="Verdana"/>
          <w:sz w:val="22"/>
          <w:szCs w:val="22"/>
        </w:rPr>
      </w:pPr>
      <w:r>
        <w:rPr>
          <w:rFonts w:eastAsia="Verdana" w:cs="Verdana" w:ascii="Verdana" w:hAnsi="Verdana"/>
          <w:sz w:val="22"/>
          <w:szCs w:val="22"/>
        </w:rPr>
        <w:t>Демонтаж существующего оборудования - поставщик услуги.</w:t>
      </w:r>
    </w:p>
    <w:p>
      <w:pPr>
        <w:pStyle w:val="Normal11"/>
        <w:shd w:val="clear" w:color="auto" w:fill="FFFFFF"/>
        <w:tabs>
          <w:tab w:val="clear" w:pos="369"/>
          <w:tab w:val="left" w:pos="1418" w:leader="none"/>
        </w:tabs>
        <w:ind w:firstLine="709"/>
        <w:jc w:val="both"/>
        <w:rPr>
          <w:rFonts w:ascii="Verdana" w:hAnsi="Verdana" w:eastAsia="Verdana" w:cs="Verdana"/>
          <w:sz w:val="22"/>
          <w:szCs w:val="22"/>
        </w:rPr>
      </w:pPr>
      <w:r>
        <w:rPr>
          <w:rFonts w:eastAsia="Verdana" w:cs="Verdana" w:ascii="Verdana" w:hAnsi="Verdana"/>
          <w:sz w:val="22"/>
          <w:szCs w:val="22"/>
        </w:rPr>
        <w:t>Монтаж нового оборудования - поставщик услуги.</w:t>
      </w:r>
    </w:p>
    <w:p>
      <w:pPr>
        <w:pStyle w:val="Normal11"/>
        <w:shd w:val="clear" w:color="auto" w:fill="FFFFFF"/>
        <w:tabs>
          <w:tab w:val="clear" w:pos="369"/>
          <w:tab w:val="left" w:pos="1418" w:leader="none"/>
        </w:tabs>
        <w:ind w:firstLine="709"/>
        <w:jc w:val="both"/>
        <w:rPr>
          <w:rFonts w:ascii="Verdana" w:hAnsi="Verdana" w:cs="Verdana"/>
          <w:sz w:val="22"/>
          <w:szCs w:val="22"/>
        </w:rPr>
      </w:pPr>
      <w:r>
        <w:rPr>
          <w:rFonts w:eastAsia="Verdana" w:cs="Verdana" w:ascii="Verdana" w:hAnsi="Verdana"/>
          <w:sz w:val="22"/>
          <w:szCs w:val="22"/>
        </w:rPr>
        <w:t xml:space="preserve">Шефмонтаж предоставляет фирма - поставщик услуги. </w:t>
      </w:r>
    </w:p>
    <w:p>
      <w:pPr>
        <w:pStyle w:val="Normal11"/>
        <w:shd w:val="clear" w:color="auto" w:fill="FFFFFF"/>
        <w:tabs>
          <w:tab w:val="clear" w:pos="369"/>
          <w:tab w:val="left" w:pos="1418" w:leader="none"/>
        </w:tabs>
        <w:ind w:firstLine="709"/>
        <w:jc w:val="both"/>
        <w:rPr>
          <w:rFonts w:ascii="Verdana" w:hAnsi="Verdana" w:cs="Verdana"/>
          <w:sz w:val="22"/>
          <w:szCs w:val="22"/>
        </w:rPr>
      </w:pPr>
      <w:r>
        <w:rPr>
          <w:rFonts w:eastAsia="Verdana" w:cs="Verdana" w:ascii="Verdana" w:hAnsi="Verdana"/>
          <w:sz w:val="22"/>
          <w:szCs w:val="22"/>
        </w:rPr>
        <w:t>Наладка/юстировка оборудования - поставщик услуги и заказчик.</w:t>
      </w:r>
    </w:p>
    <w:p>
      <w:pPr>
        <w:pStyle w:val="Normal11"/>
        <w:shd w:val="clear" w:color="auto" w:fill="FFFFFF"/>
        <w:tabs>
          <w:tab w:val="clear" w:pos="369"/>
          <w:tab w:val="left" w:pos="1418" w:leader="none"/>
        </w:tabs>
        <w:ind w:firstLine="709"/>
        <w:jc w:val="both"/>
        <w:rPr>
          <w:rFonts w:ascii="Verdana" w:hAnsi="Verdana" w:cs="Verdana"/>
          <w:sz w:val="22"/>
          <w:szCs w:val="22"/>
        </w:rPr>
      </w:pPr>
      <w:r>
        <w:rPr>
          <w:rFonts w:eastAsia="Verdana" w:cs="Verdana" w:ascii="Verdana" w:hAnsi="Verdana"/>
          <w:sz w:val="22"/>
          <w:szCs w:val="22"/>
        </w:rPr>
        <w:t>Обучение электротехнического персонала заказчика - поставщик услуги.</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2"/>
        <w:numPr>
          <w:ilvl w:val="1"/>
          <w:numId w:val="15"/>
        </w:numPr>
        <w:spacing w:before="0" w:after="0"/>
        <w:ind w:firstLine="35" w:start="720"/>
        <w:contextualSpacing/>
        <w:jc w:val="end"/>
        <w:rPr>
          <w:rFonts w:ascii="Verdana" w:hAnsi="Verdana" w:cs="Verdana"/>
          <w:b w:val="false"/>
          <w:color w:val="000000"/>
          <w:sz w:val="22"/>
          <w:szCs w:val="22"/>
        </w:rPr>
      </w:pPr>
      <w:r>
        <w:rPr>
          <w:rFonts w:eastAsia="Verdana" w:cs="Verdana" w:ascii="Verdana" w:hAnsi="Verdana"/>
          <w:b w:val="false"/>
          <w:color w:val="000000"/>
          <w:sz w:val="22"/>
          <w:szCs w:val="22"/>
          <w:lang w:val="ru-RU"/>
        </w:rPr>
        <w:t>Приложение №</w:t>
      </w:r>
      <w:r>
        <w:rPr>
          <w:rFonts w:eastAsia="Verdana" w:cs="Verdana" w:ascii="Verdana" w:hAnsi="Verdana"/>
          <w:b w:val="false"/>
          <w:color w:val="000000"/>
          <w:sz w:val="22"/>
          <w:szCs w:val="22"/>
        </w:rPr>
        <w:t> </w:t>
      </w:r>
      <w:r>
        <w:rPr>
          <w:rFonts w:eastAsia="Verdana" w:cs="Verdana" w:ascii="Verdana" w:hAnsi="Verdana"/>
          <w:b w:val="false"/>
          <w:color w:val="000000"/>
          <w:sz w:val="22"/>
          <w:szCs w:val="22"/>
          <w:lang w:val="ru-RU"/>
        </w:rPr>
        <w:t>1</w:t>
      </w:r>
    </w:p>
    <w:p>
      <w:pPr>
        <w:pStyle w:val="Normal"/>
        <w:ind w:firstLine="284" w:start="5812"/>
        <w:jc w:val="end"/>
        <w:rPr>
          <w:rFonts w:ascii="Verdana" w:hAnsi="Verdana" w:cs="Verdana"/>
          <w:sz w:val="22"/>
          <w:szCs w:val="22"/>
        </w:rPr>
      </w:pPr>
      <w:r>
        <w:rPr>
          <w:rFonts w:eastAsia="Verdana" w:cs="Verdana" w:ascii="Verdana" w:hAnsi="Verdana"/>
          <w:sz w:val="22"/>
          <w:szCs w:val="22"/>
        </w:rPr>
        <w:t xml:space="preserve">к Техническому заданию </w:t>
      </w:r>
    </w:p>
    <w:p>
      <w:pPr>
        <w:pStyle w:val="Normal"/>
        <w:jc w:val="center"/>
        <w:rPr>
          <w:rFonts w:ascii="Verdana" w:hAnsi="Verdana" w:eastAsia="Verdana" w:cs="Verdana"/>
          <w:b/>
          <w:color w:val="000000"/>
          <w:sz w:val="22"/>
          <w:szCs w:val="22"/>
        </w:rPr>
      </w:pPr>
      <w:r>
        <w:rPr>
          <w:rFonts w:eastAsia="Verdana" w:cs="Verdana" w:ascii="Verdana" w:hAnsi="Verdana"/>
          <w:b/>
          <w:color w:val="000000"/>
          <w:sz w:val="22"/>
          <w:szCs w:val="22"/>
        </w:rPr>
      </w:r>
    </w:p>
    <w:p>
      <w:pPr>
        <w:pStyle w:val="Normal"/>
        <w:jc w:val="center"/>
        <w:rPr>
          <w:rFonts w:ascii="Verdana" w:hAnsi="Verdana" w:cs="Verdana"/>
          <w:b/>
          <w:color w:val="000000"/>
          <w:sz w:val="22"/>
          <w:szCs w:val="22"/>
        </w:rPr>
      </w:pPr>
      <w:r>
        <w:rPr>
          <w:rFonts w:eastAsia="Verdana" w:cs="Verdana" w:ascii="Verdana" w:hAnsi="Verdana"/>
          <w:b/>
          <w:color w:val="000000"/>
          <w:sz w:val="22"/>
          <w:szCs w:val="22"/>
        </w:rPr>
        <w:t>План-график</w:t>
      </w:r>
    </w:p>
    <w:p>
      <w:pPr>
        <w:pStyle w:val="Normal"/>
        <w:jc w:val="center"/>
        <w:rPr>
          <w:rFonts w:ascii="Verdana" w:hAnsi="Verdana" w:eastAsia="Verdana" w:cs="Verdana"/>
          <w:b/>
          <w:color w:val="000000"/>
          <w:sz w:val="22"/>
          <w:szCs w:val="22"/>
        </w:rPr>
      </w:pPr>
      <w:r>
        <w:rPr>
          <w:rFonts w:eastAsia="Verdana" w:cs="Verdana" w:ascii="Verdana" w:hAnsi="Verdana"/>
          <w:b/>
          <w:color w:val="000000"/>
          <w:sz w:val="22"/>
          <w:szCs w:val="22"/>
        </w:rPr>
        <w:t xml:space="preserve"> </w:t>
      </w:r>
      <w:r>
        <w:rPr>
          <w:rFonts w:eastAsia="Verdana" w:cs="Verdana" w:ascii="Verdana" w:hAnsi="Verdana"/>
          <w:b/>
          <w:color w:val="000000"/>
          <w:sz w:val="22"/>
          <w:szCs w:val="22"/>
        </w:rPr>
        <w:t>Выполнения работ по модернизации системы освещения в рамках энергосберегающих мероприятий</w:t>
      </w:r>
    </w:p>
    <w:p>
      <w:pPr>
        <w:pStyle w:val="Normal"/>
        <w:jc w:val="center"/>
        <w:rPr>
          <w:rFonts w:ascii="Verdana" w:hAnsi="Verdana" w:cs="Verdana"/>
          <w:b/>
          <w:color w:val="000000"/>
          <w:sz w:val="22"/>
          <w:szCs w:val="22"/>
        </w:rPr>
      </w:pPr>
      <w:r>
        <w:rPr>
          <w:rFonts w:cs="Verdana" w:ascii="Verdana" w:hAnsi="Verdana"/>
          <w:b/>
          <w:color w:val="000000"/>
          <w:sz w:val="22"/>
          <w:szCs w:val="22"/>
        </w:rPr>
      </w:r>
    </w:p>
    <w:p>
      <w:pPr>
        <w:pStyle w:val="Normal"/>
        <w:rPr>
          <w:rFonts w:ascii="Verdana" w:hAnsi="Verdana" w:eastAsia="Verdana" w:cs="Verdana"/>
          <w:spacing w:val="-2"/>
          <w:sz w:val="22"/>
          <w:szCs w:val="22"/>
        </w:rPr>
      </w:pPr>
      <w:r>
        <w:rPr>
          <w:rFonts w:eastAsia="Verdana" w:cs="Verdana" w:ascii="Verdana" w:hAnsi="Verdana"/>
          <w:spacing w:val="-2"/>
          <w:sz w:val="22"/>
          <w:szCs w:val="22"/>
        </w:rPr>
        <w:t>Субподрядчик приступает к выполнению модернизации системы освещения в рамках энергосберегающих мероприятий не позднее 5 (пяти) рабочих дней с даты заключения Договора.</w:t>
      </w:r>
    </w:p>
    <w:tbl>
      <w:tblPr>
        <w:tblW w:w="10063" w:type="dxa"/>
        <w:jc w:val="start"/>
        <w:tblInd w:w="-5" w:type="dxa"/>
        <w:tblLayout w:type="fixed"/>
        <w:tblCellMar>
          <w:top w:w="0" w:type="dxa"/>
          <w:start w:w="108" w:type="dxa"/>
          <w:bottom w:w="0" w:type="dxa"/>
          <w:end w:w="108" w:type="dxa"/>
        </w:tblCellMar>
        <w:tblLook w:val="04a0" w:noHBand="0" w:noVBand="1" w:firstColumn="1" w:lastRow="0" w:lastColumn="0" w:firstRow="1"/>
      </w:tblPr>
      <w:tblGrid>
        <w:gridCol w:w="629"/>
        <w:gridCol w:w="4380"/>
        <w:gridCol w:w="80"/>
        <w:gridCol w:w="494"/>
        <w:gridCol w:w="585"/>
        <w:gridCol w:w="586"/>
        <w:gridCol w:w="569"/>
        <w:gridCol w:w="494"/>
        <w:gridCol w:w="495"/>
        <w:gridCol w:w="569"/>
        <w:gridCol w:w="571"/>
        <w:gridCol w:w="585"/>
        <w:gridCol w:w="26"/>
      </w:tblGrid>
      <w:tr>
        <w:trPr>
          <w:trHeight w:val="218" w:hRule="atLeast"/>
        </w:trPr>
        <w:tc>
          <w:tcPr>
            <w:tcW w:w="629"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b/>
                <w:bCs/>
                <w:color w:val="000000"/>
                <w:sz w:val="18"/>
                <w:szCs w:val="22"/>
                <w:lang w:eastAsia="ru-RU"/>
              </w:rPr>
            </w:pPr>
            <w:r>
              <w:rPr>
                <w:rFonts w:cs="Calibri" w:ascii="Calibri" w:hAnsi="Calibri"/>
                <w:b/>
                <w:bCs/>
                <w:color w:val="000000"/>
                <w:sz w:val="18"/>
                <w:szCs w:val="22"/>
              </w:rPr>
              <w:t xml:space="preserve">№ </w:t>
            </w:r>
            <w:r>
              <w:rPr>
                <w:rFonts w:cs="Calibri" w:ascii="Calibri" w:hAnsi="Calibri"/>
                <w:b/>
                <w:bCs/>
                <w:color w:val="000000"/>
                <w:sz w:val="18"/>
                <w:szCs w:val="22"/>
              </w:rPr>
              <w:t>п/п</w:t>
            </w:r>
          </w:p>
        </w:tc>
        <w:tc>
          <w:tcPr>
            <w:tcW w:w="4460" w:type="dxa"/>
            <w:gridSpan w:val="2"/>
            <w:tcBorders>
              <w:top w:val="single" w:sz="4" w:space="0" w:color="000000"/>
              <w:bottom w:val="single" w:sz="4" w:space="0" w:color="000000"/>
              <w:end w:val="single" w:sz="4" w:space="0" w:color="000000"/>
            </w:tcBorders>
            <w:vAlign w:val="center"/>
          </w:tcPr>
          <w:p>
            <w:pPr>
              <w:pStyle w:val="Normal"/>
              <w:rPr>
                <w:rFonts w:ascii="Calibri" w:hAnsi="Calibri" w:cs="Calibri"/>
                <w:b/>
                <w:bCs/>
                <w:color w:val="000000"/>
                <w:sz w:val="18"/>
                <w:szCs w:val="22"/>
              </w:rPr>
            </w:pPr>
            <w:r>
              <w:rPr>
                <w:rFonts w:cs="Calibri" w:ascii="Calibri" w:hAnsi="Calibri"/>
                <w:b/>
                <w:bCs/>
                <w:color w:val="000000"/>
                <w:sz w:val="18"/>
                <w:szCs w:val="22"/>
              </w:rPr>
              <w:t>Этапы</w:t>
            </w:r>
          </w:p>
        </w:tc>
        <w:tc>
          <w:tcPr>
            <w:tcW w:w="4948" w:type="dxa"/>
            <w:gridSpan w:val="9"/>
            <w:tcBorders>
              <w:top w:val="single" w:sz="4" w:space="0" w:color="000000"/>
              <w:bottom w:val="single" w:sz="4" w:space="0" w:color="000000"/>
              <w:end w:val="single" w:sz="4" w:space="0" w:color="000000"/>
            </w:tcBorders>
            <w:vAlign w:val="center"/>
          </w:tcPr>
          <w:p>
            <w:pPr>
              <w:pStyle w:val="Normal"/>
              <w:jc w:val="center"/>
              <w:rPr>
                <w:rFonts w:ascii="Calibri" w:hAnsi="Calibri" w:cs="Calibri"/>
                <w:b/>
                <w:bCs/>
                <w:color w:val="000000"/>
                <w:sz w:val="18"/>
                <w:szCs w:val="22"/>
              </w:rPr>
            </w:pPr>
            <w:r>
              <w:rPr>
                <w:rFonts w:cs="Calibri" w:ascii="Calibri" w:hAnsi="Calibri"/>
                <w:b/>
                <w:bCs/>
                <w:color w:val="000000"/>
                <w:sz w:val="18"/>
                <w:szCs w:val="22"/>
              </w:rPr>
              <w:t>Порядковый номер месяца с начала работ</w:t>
            </w:r>
          </w:p>
        </w:tc>
        <w:tc>
          <w:tcPr>
            <w:tcW w:w="26" w:type="dxa"/>
            <w:tcBorders/>
          </w:tcPr>
          <w:p>
            <w:pPr>
              <w:pStyle w:val="Normal"/>
              <w:spacing w:lineRule="atLeast" w:line="0" w:before="0" w:after="0"/>
              <w:rPr>
                <w:sz w:val="2"/>
              </w:rPr>
            </w:pPr>
            <w:r>
              <w:rPr>
                <w:sz w:val="2"/>
              </w:rPr>
            </w:r>
          </w:p>
        </w:tc>
      </w:tr>
      <w:tr>
        <w:trPr>
          <w:trHeight w:val="165"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jc w:val="end"/>
              <w:rPr>
                <w:rFonts w:ascii="Calibri" w:hAnsi="Calibri" w:cs="Calibri"/>
                <w:color w:val="000000"/>
                <w:sz w:val="18"/>
                <w:szCs w:val="22"/>
              </w:rPr>
            </w:pPr>
            <w:r>
              <w:rPr>
                <w:rFonts w:cs="Calibri" w:ascii="Calibri" w:hAnsi="Calibri"/>
                <w:color w:val="000000"/>
                <w:sz w:val="18"/>
                <w:szCs w:val="22"/>
              </w:rPr>
              <w:t>1 сентябрь</w:t>
            </w:r>
          </w:p>
        </w:tc>
        <w:tc>
          <w:tcPr>
            <w:tcW w:w="585" w:type="dxa"/>
            <w:tcBorders>
              <w:bottom w:val="single" w:sz="4" w:space="0" w:color="000000"/>
              <w:end w:val="single" w:sz="4" w:space="0" w:color="000000"/>
            </w:tcBorders>
            <w:vAlign w:val="bottom"/>
          </w:tcPr>
          <w:p>
            <w:pPr>
              <w:pStyle w:val="Normal"/>
              <w:jc w:val="end"/>
              <w:rPr>
                <w:rFonts w:ascii="Calibri" w:hAnsi="Calibri" w:cs="Calibri"/>
                <w:color w:val="000000"/>
                <w:sz w:val="18"/>
                <w:szCs w:val="22"/>
              </w:rPr>
            </w:pPr>
            <w:r>
              <w:rPr>
                <w:rFonts w:cs="Calibri" w:ascii="Calibri" w:hAnsi="Calibri"/>
                <w:color w:val="000000"/>
                <w:sz w:val="18"/>
                <w:szCs w:val="22"/>
              </w:rPr>
              <w:t>2 Октябрь</w:t>
            </w:r>
          </w:p>
        </w:tc>
        <w:tc>
          <w:tcPr>
            <w:tcW w:w="586" w:type="dxa"/>
            <w:tcBorders>
              <w:bottom w:val="single" w:sz="4" w:space="0" w:color="000000"/>
              <w:end w:val="single" w:sz="4" w:space="0" w:color="000000"/>
            </w:tcBorders>
            <w:vAlign w:val="bottom"/>
          </w:tcPr>
          <w:p>
            <w:pPr>
              <w:pStyle w:val="Normal"/>
              <w:jc w:val="end"/>
              <w:rPr>
                <w:rFonts w:ascii="Calibri" w:hAnsi="Calibri" w:cs="Calibri"/>
                <w:color w:val="000000"/>
                <w:sz w:val="18"/>
                <w:szCs w:val="22"/>
              </w:rPr>
            </w:pPr>
            <w:r>
              <w:rPr>
                <w:rFonts w:cs="Calibri" w:ascii="Calibri" w:hAnsi="Calibri"/>
                <w:color w:val="000000"/>
                <w:sz w:val="18"/>
                <w:szCs w:val="22"/>
              </w:rPr>
              <w:t>3 Ноябрь</w:t>
            </w:r>
          </w:p>
        </w:tc>
        <w:tc>
          <w:tcPr>
            <w:tcW w:w="569" w:type="dxa"/>
            <w:tcBorders>
              <w:bottom w:val="single" w:sz="4" w:space="0" w:color="000000"/>
              <w:end w:val="single" w:sz="4" w:space="0" w:color="000000"/>
            </w:tcBorders>
            <w:vAlign w:val="bottom"/>
          </w:tcPr>
          <w:p>
            <w:pPr>
              <w:pStyle w:val="Normal"/>
              <w:jc w:val="end"/>
              <w:rPr>
                <w:rFonts w:ascii="Calibri" w:hAnsi="Calibri" w:cs="Calibri"/>
                <w:color w:val="000000"/>
                <w:sz w:val="18"/>
                <w:szCs w:val="22"/>
              </w:rPr>
            </w:pPr>
            <w:r>
              <w:rPr>
                <w:rFonts w:cs="Calibri" w:ascii="Calibri" w:hAnsi="Calibri"/>
                <w:color w:val="000000"/>
                <w:sz w:val="18"/>
                <w:szCs w:val="22"/>
              </w:rPr>
              <w:t>4 Декабрь</w:t>
            </w:r>
          </w:p>
        </w:tc>
        <w:tc>
          <w:tcPr>
            <w:tcW w:w="494" w:type="dxa"/>
            <w:tcBorders>
              <w:bottom w:val="single" w:sz="4" w:space="0" w:color="000000"/>
              <w:end w:val="single" w:sz="4" w:space="0" w:color="000000"/>
            </w:tcBorders>
            <w:vAlign w:val="bottom"/>
          </w:tcPr>
          <w:p>
            <w:pPr>
              <w:pStyle w:val="Normal"/>
              <w:jc w:val="end"/>
              <w:rPr>
                <w:rFonts w:ascii="Calibri" w:hAnsi="Calibri" w:cs="Calibri"/>
                <w:color w:val="000000"/>
                <w:sz w:val="18"/>
                <w:szCs w:val="22"/>
              </w:rPr>
            </w:pPr>
            <w:r>
              <w:rPr>
                <w:rFonts w:cs="Calibri" w:ascii="Calibri" w:hAnsi="Calibri"/>
                <w:color w:val="000000"/>
                <w:sz w:val="18"/>
                <w:szCs w:val="22"/>
              </w:rPr>
              <w:t>5 Январь</w:t>
            </w:r>
          </w:p>
        </w:tc>
        <w:tc>
          <w:tcPr>
            <w:tcW w:w="495" w:type="dxa"/>
            <w:tcBorders>
              <w:bottom w:val="single" w:sz="4" w:space="0" w:color="000000"/>
              <w:end w:val="single" w:sz="4" w:space="0" w:color="000000"/>
            </w:tcBorders>
            <w:vAlign w:val="bottom"/>
          </w:tcPr>
          <w:p>
            <w:pPr>
              <w:pStyle w:val="Normal"/>
              <w:jc w:val="end"/>
              <w:rPr>
                <w:rFonts w:ascii="Calibri" w:hAnsi="Calibri" w:cs="Calibri"/>
                <w:color w:val="000000"/>
                <w:sz w:val="18"/>
                <w:szCs w:val="22"/>
              </w:rPr>
            </w:pPr>
            <w:r>
              <w:rPr>
                <w:rFonts w:cs="Calibri" w:ascii="Calibri" w:hAnsi="Calibri"/>
                <w:color w:val="000000"/>
                <w:sz w:val="18"/>
                <w:szCs w:val="22"/>
              </w:rPr>
              <w:t>6 Февраль</w:t>
            </w:r>
          </w:p>
        </w:tc>
        <w:tc>
          <w:tcPr>
            <w:tcW w:w="569" w:type="dxa"/>
            <w:tcBorders>
              <w:bottom w:val="single" w:sz="4" w:space="0" w:color="000000"/>
              <w:end w:val="single" w:sz="4" w:space="0" w:color="000000"/>
            </w:tcBorders>
            <w:vAlign w:val="bottom"/>
          </w:tcPr>
          <w:p>
            <w:pPr>
              <w:pStyle w:val="Normal"/>
              <w:jc w:val="end"/>
              <w:rPr>
                <w:rFonts w:ascii="Calibri" w:hAnsi="Calibri" w:cs="Calibri"/>
                <w:color w:val="000000"/>
                <w:sz w:val="18"/>
                <w:szCs w:val="22"/>
              </w:rPr>
            </w:pPr>
            <w:r>
              <w:rPr>
                <w:rFonts w:cs="Calibri" w:ascii="Calibri" w:hAnsi="Calibri"/>
                <w:color w:val="000000"/>
                <w:sz w:val="18"/>
                <w:szCs w:val="22"/>
              </w:rPr>
              <w:t>7 Март</w:t>
            </w:r>
          </w:p>
        </w:tc>
        <w:tc>
          <w:tcPr>
            <w:tcW w:w="571" w:type="dxa"/>
            <w:tcBorders>
              <w:bottom w:val="single" w:sz="4" w:space="0" w:color="000000"/>
              <w:end w:val="single" w:sz="4" w:space="0" w:color="000000"/>
            </w:tcBorders>
            <w:vAlign w:val="bottom"/>
          </w:tcPr>
          <w:p>
            <w:pPr>
              <w:pStyle w:val="Normal"/>
              <w:jc w:val="end"/>
              <w:rPr>
                <w:rFonts w:ascii="Calibri" w:hAnsi="Calibri" w:cs="Calibri"/>
                <w:color w:val="000000"/>
                <w:sz w:val="18"/>
                <w:szCs w:val="22"/>
              </w:rPr>
            </w:pPr>
            <w:r>
              <w:rPr>
                <w:rFonts w:cs="Calibri" w:ascii="Calibri" w:hAnsi="Calibri"/>
                <w:color w:val="000000"/>
                <w:sz w:val="18"/>
                <w:szCs w:val="22"/>
              </w:rPr>
              <w:t>8 Апрель</w:t>
            </w:r>
          </w:p>
        </w:tc>
        <w:tc>
          <w:tcPr>
            <w:tcW w:w="585" w:type="dxa"/>
            <w:tcBorders>
              <w:bottom w:val="single" w:sz="4" w:space="0" w:color="000000"/>
              <w:end w:val="single" w:sz="4" w:space="0" w:color="000000"/>
            </w:tcBorders>
            <w:vAlign w:val="bottom"/>
          </w:tcPr>
          <w:p>
            <w:pPr>
              <w:pStyle w:val="Normal"/>
              <w:jc w:val="end"/>
              <w:rPr>
                <w:rFonts w:ascii="Calibri" w:hAnsi="Calibri" w:cs="Calibri"/>
                <w:color w:val="000000"/>
                <w:sz w:val="18"/>
                <w:szCs w:val="22"/>
              </w:rPr>
            </w:pPr>
            <w:r>
              <w:rPr>
                <w:rFonts w:cs="Calibri" w:ascii="Calibri" w:hAnsi="Calibri"/>
                <w:color w:val="000000"/>
                <w:sz w:val="18"/>
                <w:szCs w:val="22"/>
              </w:rPr>
            </w:r>
          </w:p>
          <w:p>
            <w:pPr>
              <w:pStyle w:val="Normal"/>
              <w:jc w:val="end"/>
              <w:rPr>
                <w:rFonts w:ascii="Calibri" w:hAnsi="Calibri" w:cs="Calibri"/>
                <w:color w:val="000000"/>
                <w:sz w:val="18"/>
                <w:szCs w:val="22"/>
              </w:rPr>
            </w:pPr>
            <w:r>
              <w:rPr>
                <w:rFonts w:cs="Calibri" w:ascii="Calibri" w:hAnsi="Calibri"/>
                <w:color w:val="000000"/>
                <w:sz w:val="18"/>
                <w:szCs w:val="22"/>
              </w:rPr>
              <w:t>9 Май</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1</w:t>
            </w:r>
          </w:p>
        </w:tc>
        <w:tc>
          <w:tcPr>
            <w:tcW w:w="4460" w:type="dxa"/>
            <w:gridSpan w:val="2"/>
            <w:tcBorders>
              <w:bottom w:val="single" w:sz="4" w:space="0" w:color="000000"/>
              <w:end w:val="single" w:sz="4" w:space="0" w:color="000000"/>
            </w:tcBorders>
            <w:vAlign w:val="bottom"/>
          </w:tcPr>
          <w:p>
            <w:pPr>
              <w:pStyle w:val="Normal"/>
              <w:rPr>
                <w:rFonts w:ascii="Calibri" w:hAnsi="Calibri" w:cs="Calibri"/>
                <w:b/>
                <w:bCs/>
                <w:color w:val="000000"/>
                <w:sz w:val="18"/>
                <w:szCs w:val="22"/>
              </w:rPr>
            </w:pPr>
            <w:r>
              <w:rPr>
                <w:rFonts w:cs="Calibri" w:ascii="Calibri" w:hAnsi="Calibri"/>
                <w:b/>
                <w:bCs/>
                <w:color w:val="000000"/>
                <w:sz w:val="18"/>
                <w:szCs w:val="22"/>
              </w:rPr>
              <w:t>ЦЖДТ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1.1</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Выполнение проектных работ</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1.2</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Поставка МТР, выполнение монтажных работ</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18"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1.3</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мощности контрольных осветительных приборов</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1.4</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освещенности, сдача работ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НО</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10037" w:type="dxa"/>
            <w:gridSpan w:val="12"/>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2</w:t>
            </w:r>
          </w:p>
        </w:tc>
        <w:tc>
          <w:tcPr>
            <w:tcW w:w="4460" w:type="dxa"/>
            <w:gridSpan w:val="2"/>
            <w:tcBorders>
              <w:bottom w:val="single" w:sz="4" w:space="0" w:color="000000"/>
              <w:end w:val="single" w:sz="4" w:space="0" w:color="000000"/>
            </w:tcBorders>
            <w:vAlign w:val="bottom"/>
          </w:tcPr>
          <w:p>
            <w:pPr>
              <w:pStyle w:val="Normal"/>
              <w:rPr>
                <w:rFonts w:ascii="Calibri" w:hAnsi="Calibri" w:cs="Calibri"/>
                <w:b/>
                <w:bCs/>
                <w:color w:val="000000"/>
                <w:sz w:val="18"/>
                <w:szCs w:val="22"/>
              </w:rPr>
            </w:pPr>
            <w:r>
              <w:rPr>
                <w:rFonts w:cs="Calibri" w:ascii="Calibri" w:hAnsi="Calibri"/>
                <w:b/>
                <w:bCs/>
                <w:color w:val="000000"/>
                <w:sz w:val="18"/>
                <w:szCs w:val="22"/>
              </w:rPr>
              <w:t>Аглоцех</w:t>
            </w:r>
          </w:p>
        </w:tc>
        <w:tc>
          <w:tcPr>
            <w:tcW w:w="494" w:type="dxa"/>
            <w:tcBorders>
              <w:bottom w:val="single" w:sz="4" w:space="0" w:color="000000"/>
              <w:end w:val="single" w:sz="4" w:space="0" w:color="000000"/>
            </w:tcBorders>
            <w:vAlign w:val="bottom"/>
          </w:tcPr>
          <w:p>
            <w:pPr>
              <w:pStyle w:val="Normal"/>
              <w:rPr>
                <w:rFonts w:ascii="Calibri" w:hAnsi="Calibri" w:cs="Calibri"/>
                <w:b/>
                <w:bCs/>
                <w:color w:val="000000"/>
                <w:sz w:val="18"/>
                <w:szCs w:val="22"/>
              </w:rPr>
            </w:pPr>
            <w:r>
              <w:rPr>
                <w:rFonts w:cs="Calibri" w:ascii="Calibri" w:hAnsi="Calibri"/>
                <w:b/>
                <w:bCs/>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2.1</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Выполнение проектных работ</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2.2</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Поставка МТР, выполнение монтажных работ</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461"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2.3</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мощности контрольных осветительных приборов</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2.4</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освещенности, сдача работ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ВО</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10037" w:type="dxa"/>
            <w:gridSpan w:val="12"/>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3</w:t>
            </w:r>
          </w:p>
        </w:tc>
        <w:tc>
          <w:tcPr>
            <w:tcW w:w="4460" w:type="dxa"/>
            <w:gridSpan w:val="2"/>
            <w:tcBorders>
              <w:bottom w:val="single" w:sz="4" w:space="0" w:color="000000"/>
              <w:end w:val="single" w:sz="4" w:space="0" w:color="000000"/>
            </w:tcBorders>
            <w:vAlign w:val="bottom"/>
          </w:tcPr>
          <w:p>
            <w:pPr>
              <w:pStyle w:val="Normal"/>
              <w:rPr>
                <w:rFonts w:ascii="Calibri" w:hAnsi="Calibri" w:cs="Calibri"/>
                <w:b/>
                <w:bCs/>
                <w:color w:val="000000"/>
                <w:sz w:val="18"/>
                <w:szCs w:val="22"/>
              </w:rPr>
            </w:pPr>
            <w:r>
              <w:rPr>
                <w:rFonts w:cs="Calibri" w:ascii="Calibri" w:hAnsi="Calibri"/>
                <w:b/>
                <w:bCs/>
                <w:color w:val="000000"/>
                <w:sz w:val="18"/>
                <w:szCs w:val="22"/>
              </w:rPr>
              <w:t>Копровый цех</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3.1</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Выполнение проектных работ</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3.2</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Поставка МТР, выполнение монтажных работ</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461"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3.3</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мощности контрольных осветительных приборов</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3.4</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освещенности, сдача работ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НО</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10037" w:type="dxa"/>
            <w:gridSpan w:val="12"/>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4</w:t>
            </w:r>
          </w:p>
        </w:tc>
        <w:tc>
          <w:tcPr>
            <w:tcW w:w="4460" w:type="dxa"/>
            <w:gridSpan w:val="2"/>
            <w:tcBorders>
              <w:bottom w:val="single" w:sz="4" w:space="0" w:color="000000"/>
              <w:end w:val="single" w:sz="4" w:space="0" w:color="000000"/>
            </w:tcBorders>
            <w:vAlign w:val="bottom"/>
          </w:tcPr>
          <w:p>
            <w:pPr>
              <w:pStyle w:val="Normal"/>
              <w:rPr>
                <w:rFonts w:ascii="Calibri" w:hAnsi="Calibri" w:cs="Calibri"/>
                <w:b/>
                <w:bCs/>
                <w:color w:val="000000"/>
                <w:sz w:val="18"/>
                <w:szCs w:val="22"/>
              </w:rPr>
            </w:pPr>
            <w:r>
              <w:rPr>
                <w:rFonts w:cs="Calibri" w:ascii="Calibri" w:hAnsi="Calibri"/>
                <w:b/>
                <w:bCs/>
                <w:color w:val="000000"/>
                <w:sz w:val="18"/>
                <w:szCs w:val="22"/>
              </w:rPr>
              <w:t>ЦПАШ</w:t>
            </w:r>
          </w:p>
        </w:tc>
        <w:tc>
          <w:tcPr>
            <w:tcW w:w="494" w:type="dxa"/>
            <w:tcBorders>
              <w:bottom w:val="single" w:sz="4" w:space="0" w:color="000000"/>
              <w:end w:val="single" w:sz="4" w:space="0" w:color="000000"/>
            </w:tcBorders>
            <w:vAlign w:val="bottom"/>
          </w:tcPr>
          <w:p>
            <w:pPr>
              <w:pStyle w:val="Normal"/>
              <w:rPr>
                <w:rFonts w:ascii="Calibri" w:hAnsi="Calibri" w:cs="Calibri"/>
                <w:b/>
                <w:bCs/>
                <w:color w:val="000000"/>
                <w:sz w:val="18"/>
                <w:szCs w:val="22"/>
              </w:rPr>
            </w:pPr>
            <w:r>
              <w:rPr>
                <w:rFonts w:cs="Calibri" w:ascii="Calibri" w:hAnsi="Calibri"/>
                <w:b/>
                <w:bCs/>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4.1</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Выполнение проектных работ</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4.2</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Поставка МТР, выполнение монтажных работ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461"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4.3</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мощности контрольных осветительных приборов</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НО</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ВО</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4.4</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освещенности, сдача работ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НО</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ВО</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10037" w:type="dxa"/>
            <w:gridSpan w:val="12"/>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5</w:t>
            </w:r>
          </w:p>
        </w:tc>
        <w:tc>
          <w:tcPr>
            <w:tcW w:w="4460" w:type="dxa"/>
            <w:gridSpan w:val="2"/>
            <w:tcBorders>
              <w:bottom w:val="single" w:sz="4" w:space="0" w:color="000000"/>
              <w:end w:val="single" w:sz="4" w:space="0" w:color="000000"/>
            </w:tcBorders>
            <w:vAlign w:val="bottom"/>
          </w:tcPr>
          <w:p>
            <w:pPr>
              <w:pStyle w:val="Normal"/>
              <w:rPr>
                <w:rFonts w:ascii="Calibri" w:hAnsi="Calibri" w:cs="Calibri"/>
                <w:b/>
                <w:bCs/>
                <w:color w:val="000000"/>
                <w:sz w:val="18"/>
                <w:szCs w:val="22"/>
              </w:rPr>
            </w:pPr>
            <w:r>
              <w:rPr>
                <w:rFonts w:cs="Calibri" w:ascii="Calibri" w:hAnsi="Calibri"/>
                <w:b/>
                <w:bCs/>
                <w:color w:val="000000"/>
                <w:sz w:val="18"/>
                <w:szCs w:val="22"/>
              </w:rPr>
              <w:t>ЭСПЦ</w:t>
            </w:r>
          </w:p>
        </w:tc>
        <w:tc>
          <w:tcPr>
            <w:tcW w:w="494" w:type="dxa"/>
            <w:tcBorders>
              <w:bottom w:val="single" w:sz="4" w:space="0" w:color="000000"/>
              <w:end w:val="single" w:sz="4" w:space="0" w:color="000000"/>
            </w:tcBorders>
            <w:vAlign w:val="bottom"/>
          </w:tcPr>
          <w:p>
            <w:pPr>
              <w:pStyle w:val="Normal"/>
              <w:rPr>
                <w:rFonts w:ascii="Calibri" w:hAnsi="Calibri" w:cs="Calibri"/>
                <w:b/>
                <w:bCs/>
                <w:color w:val="000000"/>
                <w:sz w:val="18"/>
                <w:szCs w:val="22"/>
              </w:rPr>
            </w:pPr>
            <w:r>
              <w:rPr>
                <w:rFonts w:cs="Calibri" w:ascii="Calibri" w:hAnsi="Calibri"/>
                <w:b/>
                <w:bCs/>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5.1</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Выполнение проектных работ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5.2</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Поставка МТР, выполнение монтажных работ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461"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5.3</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мощности контрольных осветительных приборов</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НО</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ВО</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5.4</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освещенности, сдача работ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НО</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ВО</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10037" w:type="dxa"/>
            <w:gridSpan w:val="12"/>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6</w:t>
            </w:r>
          </w:p>
        </w:tc>
        <w:tc>
          <w:tcPr>
            <w:tcW w:w="4460" w:type="dxa"/>
            <w:gridSpan w:val="2"/>
            <w:tcBorders>
              <w:bottom w:val="single" w:sz="4" w:space="0" w:color="000000"/>
              <w:end w:val="single" w:sz="4" w:space="0" w:color="000000"/>
            </w:tcBorders>
            <w:vAlign w:val="bottom"/>
          </w:tcPr>
          <w:p>
            <w:pPr>
              <w:pStyle w:val="Normal"/>
              <w:rPr>
                <w:rFonts w:ascii="Calibri" w:hAnsi="Calibri" w:cs="Calibri"/>
                <w:b/>
                <w:bCs/>
                <w:color w:val="000000"/>
                <w:sz w:val="18"/>
                <w:szCs w:val="22"/>
              </w:rPr>
            </w:pPr>
            <w:r>
              <w:rPr>
                <w:rFonts w:cs="Calibri" w:ascii="Calibri" w:hAnsi="Calibri"/>
                <w:b/>
                <w:bCs/>
                <w:color w:val="000000"/>
                <w:sz w:val="18"/>
                <w:szCs w:val="22"/>
              </w:rPr>
              <w:t>УПП</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6.1</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Выполнение проектных работ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6.2</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Поставка МТР, выполнение монтажных работ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461"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6.3</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мощности контрольных осветительных приборов</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НО</w:t>
            </w:r>
          </w:p>
        </w:tc>
        <w:tc>
          <w:tcPr>
            <w:tcW w:w="569"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ВО</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26" w:type="dxa"/>
            <w:tcBorders/>
          </w:tcPr>
          <w:p>
            <w:pPr>
              <w:pStyle w:val="Normal"/>
              <w:spacing w:lineRule="atLeast" w:line="0" w:before="0" w:after="0"/>
              <w:rPr>
                <w:sz w:val="2"/>
              </w:rPr>
            </w:pPr>
            <w:r>
              <w:rPr>
                <w:sz w:val="2"/>
              </w:rPr>
            </w:r>
          </w:p>
        </w:tc>
      </w:tr>
      <w:tr>
        <w:trPr>
          <w:trHeight w:val="229" w:hRule="atLeast"/>
        </w:trPr>
        <w:tc>
          <w:tcPr>
            <w:tcW w:w="629" w:type="dxa"/>
            <w:tcBorders>
              <w:start w:val="single" w:sz="4" w:space="0" w:color="000000"/>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6.4</w:t>
            </w:r>
          </w:p>
        </w:tc>
        <w:tc>
          <w:tcPr>
            <w:tcW w:w="4460" w:type="dxa"/>
            <w:gridSpan w:val="2"/>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Проведение замеров освещенности, сдача работ</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6"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НО</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4"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495"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69"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71" w:type="dxa"/>
            <w:tcBorders>
              <w:bottom w:val="single" w:sz="4" w:space="0" w:color="000000"/>
              <w:end w:val="single" w:sz="4" w:space="0" w:color="000000"/>
            </w:tcBorders>
            <w:vAlign w:val="bottom"/>
          </w:tcPr>
          <w:p>
            <w:pPr>
              <w:pStyle w:val="Normal"/>
              <w:rPr>
                <w:rFonts w:ascii="Calibri" w:hAnsi="Calibri" w:cs="Calibri"/>
                <w:color w:val="000000"/>
                <w:sz w:val="18"/>
                <w:szCs w:val="22"/>
              </w:rPr>
            </w:pPr>
            <w:r>
              <w:rPr>
                <w:rFonts w:cs="Calibri" w:ascii="Calibri" w:hAnsi="Calibri"/>
                <w:color w:val="000000"/>
                <w:sz w:val="18"/>
                <w:szCs w:val="22"/>
              </w:rPr>
              <w:t> </w:t>
            </w:r>
          </w:p>
        </w:tc>
        <w:tc>
          <w:tcPr>
            <w:tcW w:w="585" w:type="dxa"/>
            <w:tcBorders>
              <w:bottom w:val="single" w:sz="4" w:space="0" w:color="000000"/>
              <w:end w:val="single" w:sz="4" w:space="0" w:color="000000"/>
            </w:tcBorders>
            <w:shd w:color="000000" w:fill="92D050" w:val="clear"/>
            <w:vAlign w:val="bottom"/>
          </w:tcPr>
          <w:p>
            <w:pPr>
              <w:pStyle w:val="Normal"/>
              <w:rPr>
                <w:rFonts w:ascii="Calibri" w:hAnsi="Calibri" w:cs="Calibri"/>
                <w:color w:val="000000"/>
                <w:sz w:val="18"/>
                <w:szCs w:val="22"/>
              </w:rPr>
            </w:pPr>
            <w:r>
              <w:rPr>
                <w:rFonts w:cs="Calibri" w:ascii="Calibri" w:hAnsi="Calibri"/>
                <w:color w:val="000000"/>
                <w:sz w:val="18"/>
                <w:szCs w:val="22"/>
              </w:rPr>
              <w:t>ВО</w:t>
            </w:r>
          </w:p>
        </w:tc>
        <w:tc>
          <w:tcPr>
            <w:tcW w:w="26" w:type="dxa"/>
            <w:tcBorders/>
          </w:tcPr>
          <w:p>
            <w:pPr>
              <w:pStyle w:val="Normal"/>
              <w:spacing w:lineRule="atLeast" w:line="0" w:before="0" w:after="0"/>
              <w:rPr>
                <w:sz w:val="2"/>
              </w:rPr>
            </w:pPr>
            <w:r>
              <w:rPr>
                <w:sz w:val="2"/>
              </w:rPr>
            </w:r>
          </w:p>
        </w:tc>
      </w:tr>
      <w:tr>
        <w:trPr/>
        <w:tc>
          <w:tcPr>
            <w:tcW w:w="10063" w:type="dxa"/>
            <w:gridSpan w:val="13"/>
            <w:tcBorders/>
          </w:tcPr>
          <w:p>
            <w:pPr>
              <w:pStyle w:val="BodyText"/>
              <w:spacing w:before="0" w:after="0"/>
              <w:jc w:val="start"/>
              <w:rPr>
                <w:rFonts w:ascii="Verdana" w:hAnsi="Verdana" w:cs="Verdana"/>
                <w:sz w:val="22"/>
                <w:szCs w:val="22"/>
              </w:rPr>
            </w:pPr>
            <w:r>
              <w:rPr>
                <w:rFonts w:cs="Verdana" w:ascii="Verdana" w:hAnsi="Verdana"/>
                <w:sz w:val="22"/>
                <w:szCs w:val="22"/>
              </w:rPr>
            </w:r>
          </w:p>
        </w:tc>
      </w:tr>
      <w:tr>
        <w:trPr/>
        <w:tc>
          <w:tcPr>
            <w:tcW w:w="5009" w:type="dxa"/>
            <w:gridSpan w:val="2"/>
            <w:tcBorders/>
          </w:tcPr>
          <w:p>
            <w:pPr>
              <w:pStyle w:val="BodyText"/>
              <w:spacing w:before="0" w:after="0"/>
              <w:jc w:val="start"/>
              <w:rPr>
                <w:rFonts w:ascii="Verdana" w:hAnsi="Verdana" w:cs="Verdana"/>
                <w:sz w:val="22"/>
                <w:szCs w:val="22"/>
                <w:lang w:val="ru-RU"/>
              </w:rPr>
            </w:pPr>
            <w:r>
              <w:rPr>
                <w:rFonts w:cs="Verdana" w:ascii="Verdana" w:hAnsi="Verdana"/>
                <w:sz w:val="22"/>
                <w:szCs w:val="22"/>
                <w:lang w:val="ru-RU"/>
              </w:rPr>
            </w:r>
          </w:p>
        </w:tc>
        <w:tc>
          <w:tcPr>
            <w:tcW w:w="5054" w:type="dxa"/>
            <w:gridSpan w:val="11"/>
            <w:tcBorders/>
          </w:tcPr>
          <w:p>
            <w:pPr>
              <w:pStyle w:val="BodyText"/>
              <w:spacing w:before="0" w:after="0"/>
              <w:jc w:val="start"/>
              <w:rPr>
                <w:rFonts w:ascii="Verdana" w:hAnsi="Verdana" w:cs="Verdana"/>
                <w:sz w:val="22"/>
                <w:szCs w:val="22"/>
              </w:rPr>
            </w:pPr>
            <w:r>
              <w:rPr>
                <w:rFonts w:cs="Verdana" w:ascii="Verdana" w:hAnsi="Verdana"/>
                <w:sz w:val="22"/>
                <w:szCs w:val="22"/>
              </w:rPr>
            </w:r>
          </w:p>
        </w:tc>
      </w:tr>
    </w:tbl>
    <w:p>
      <w:pPr>
        <w:sectPr>
          <w:footerReference w:type="even" r:id="rId2"/>
          <w:footerReference w:type="default" r:id="rId3"/>
          <w:footerReference w:type="first" r:id="rId4"/>
          <w:type w:val="nextPage"/>
          <w:pgSz w:w="11906" w:h="16838"/>
          <w:pgMar w:left="992" w:right="851" w:gutter="0" w:header="0" w:top="1134" w:footer="709" w:bottom="993"/>
          <w:pgNumType w:fmt="decimal"/>
          <w:formProt w:val="false"/>
          <w:textDirection w:val="lrTb"/>
          <w:docGrid w:type="default" w:linePitch="360" w:charSpace="0"/>
        </w:sectPr>
      </w:pPr>
    </w:p>
    <w:p>
      <w:pPr>
        <w:pStyle w:val="Normal"/>
        <w:rPr>
          <w:b/>
          <w:spacing w:val="-2"/>
        </w:rPr>
      </w:pPr>
      <w:r>
        <w:rPr>
          <w:b/>
        </w:rPr>
        <w:t>Отчетные документы, которые подписываются Сторонами по итогам выполнения каждого этапа выполнения работ по модернизации системы освещения в рамках энергосберегающих мероприятий</w:t>
      </w:r>
    </w:p>
    <w:p>
      <w:pPr>
        <w:pStyle w:val="Normal"/>
        <w:rPr>
          <w:spacing w:val="-2"/>
        </w:rPr>
      </w:pPr>
      <w:r>
        <w:rPr>
          <w:spacing w:val="-2"/>
        </w:rPr>
      </w:r>
    </w:p>
    <w:tbl>
      <w:tblPr>
        <w:tblpPr w:vertAnchor="text" w:horzAnchor="margin" w:leftFromText="180" w:rightFromText="180" w:tblpX="0" w:tblpY="153"/>
        <w:tblW w:w="5000" w:type="pct"/>
        <w:jc w:val="start"/>
        <w:tblInd w:w="-5" w:type="dxa"/>
        <w:tblLayout w:type="fixed"/>
        <w:tblCellMar>
          <w:top w:w="0" w:type="dxa"/>
          <w:start w:w="108" w:type="dxa"/>
          <w:bottom w:w="0" w:type="dxa"/>
          <w:end w:w="108" w:type="dxa"/>
        </w:tblCellMar>
        <w:tblLook w:val="04a0" w:noHBand="0" w:noVBand="1" w:firstColumn="1" w:lastRow="0" w:lastColumn="0" w:firstRow="1"/>
      </w:tblPr>
      <w:tblGrid>
        <w:gridCol w:w="704"/>
        <w:gridCol w:w="7504"/>
        <w:gridCol w:w="6362"/>
      </w:tblGrid>
      <w:tr>
        <w:trPr>
          <w:trHeight w:val="60" w:hRule="atLeast"/>
        </w:trPr>
        <w:tc>
          <w:tcPr>
            <w:tcW w:w="704" w:type="dxa"/>
            <w:tcBorders>
              <w:top w:val="single" w:sz="4" w:space="0" w:color="000000"/>
              <w:start w:val="single" w:sz="4" w:space="0" w:color="000000"/>
              <w:bottom w:val="single" w:sz="4" w:space="0" w:color="000000"/>
              <w:end w:val="single" w:sz="4" w:space="0" w:color="000000"/>
            </w:tcBorders>
            <w:vAlign w:val="center"/>
          </w:tcPr>
          <w:p>
            <w:pPr>
              <w:pStyle w:val="10"/>
              <w:spacing w:before="120" w:after="120"/>
              <w:rPr>
                <w:b/>
                <w:sz w:val="24"/>
              </w:rPr>
            </w:pPr>
            <w:r>
              <w:rPr>
                <w:b/>
                <w:sz w:val="24"/>
              </w:rPr>
              <w:t xml:space="preserve">№ </w:t>
            </w:r>
            <w:r>
              <w:rPr>
                <w:b/>
                <w:sz w:val="24"/>
              </w:rPr>
              <w:t>п/п</w:t>
            </w:r>
          </w:p>
        </w:tc>
        <w:tc>
          <w:tcPr>
            <w:tcW w:w="7504" w:type="dxa"/>
            <w:tcBorders>
              <w:top w:val="single" w:sz="4" w:space="0" w:color="000000"/>
              <w:start w:val="single" w:sz="4" w:space="0" w:color="000000"/>
              <w:bottom w:val="single" w:sz="4" w:space="0" w:color="000000"/>
              <w:end w:val="single" w:sz="4" w:space="0" w:color="000000"/>
            </w:tcBorders>
            <w:vAlign w:val="center"/>
          </w:tcPr>
          <w:p>
            <w:pPr>
              <w:pStyle w:val="10"/>
              <w:spacing w:before="120" w:after="120"/>
              <w:rPr>
                <w:b/>
                <w:sz w:val="24"/>
              </w:rPr>
            </w:pPr>
            <w:r>
              <w:rPr>
                <w:b/>
                <w:sz w:val="24"/>
              </w:rPr>
              <w:t>Этап</w:t>
            </w:r>
          </w:p>
        </w:tc>
        <w:tc>
          <w:tcPr>
            <w:tcW w:w="6362" w:type="dxa"/>
            <w:tcBorders>
              <w:top w:val="single" w:sz="4" w:space="0" w:color="000000"/>
              <w:bottom w:val="single" w:sz="4" w:space="0" w:color="000000"/>
              <w:end w:val="single" w:sz="4" w:space="0" w:color="000000"/>
            </w:tcBorders>
            <w:vAlign w:val="center"/>
          </w:tcPr>
          <w:p>
            <w:pPr>
              <w:pStyle w:val="10"/>
              <w:spacing w:before="120" w:after="120"/>
              <w:rPr>
                <w:b/>
                <w:sz w:val="24"/>
              </w:rPr>
            </w:pPr>
            <w:r>
              <w:rPr>
                <w:b/>
                <w:sz w:val="24"/>
              </w:rPr>
              <w:t>Отчетные документы</w:t>
            </w:r>
          </w:p>
        </w:tc>
      </w:tr>
      <w:tr>
        <w:trPr>
          <w:trHeight w:val="179" w:hRule="atLeast"/>
        </w:trPr>
        <w:tc>
          <w:tcPr>
            <w:tcW w:w="704" w:type="dxa"/>
            <w:tcBorders>
              <w:start w:val="single" w:sz="4" w:space="0" w:color="000000"/>
              <w:bottom w:val="single" w:sz="4" w:space="0" w:color="000000"/>
              <w:end w:val="single" w:sz="4" w:space="0" w:color="000000"/>
            </w:tcBorders>
            <w:vAlign w:val="center"/>
          </w:tcPr>
          <w:p>
            <w:pPr>
              <w:pStyle w:val="10"/>
              <w:spacing w:before="60" w:after="60"/>
              <w:rPr>
                <w:color w:themeColor="text1" w:val="000000"/>
                <w:sz w:val="24"/>
              </w:rPr>
            </w:pPr>
            <w:r>
              <w:rPr>
                <w:color w:themeColor="text1" w:val="000000"/>
                <w:sz w:val="24"/>
              </w:rPr>
              <w:t>1</w:t>
            </w:r>
          </w:p>
        </w:tc>
        <w:tc>
          <w:tcPr>
            <w:tcW w:w="7504" w:type="dxa"/>
            <w:tcBorders>
              <w:start w:val="single" w:sz="4" w:space="0" w:color="000000"/>
              <w:bottom w:val="single" w:sz="4" w:space="0" w:color="000000"/>
              <w:end w:val="single" w:sz="4" w:space="0" w:color="000000"/>
            </w:tcBorders>
            <w:vAlign w:val="center"/>
          </w:tcPr>
          <w:p>
            <w:pPr>
              <w:pStyle w:val="10"/>
              <w:spacing w:before="60" w:after="60"/>
              <w:jc w:val="start"/>
              <w:rPr>
                <w:color w:themeColor="text1" w:val="000000"/>
                <w:sz w:val="24"/>
              </w:rPr>
            </w:pPr>
            <w:r>
              <w:rPr>
                <w:color w:themeColor="text1" w:val="000000"/>
                <w:sz w:val="24"/>
              </w:rPr>
              <w:t>Разработка и согласование с Заказчиком рабочей документации</w:t>
            </w:r>
          </w:p>
        </w:tc>
        <w:tc>
          <w:tcPr>
            <w:tcW w:w="6362" w:type="dxa"/>
            <w:tcBorders>
              <w:top w:val="single" w:sz="4" w:space="0" w:color="000000"/>
              <w:bottom w:val="single" w:sz="4" w:space="0" w:color="000000"/>
              <w:end w:val="single" w:sz="4" w:space="0" w:color="000000"/>
            </w:tcBorders>
            <w:vAlign w:val="center"/>
          </w:tcPr>
          <w:p>
            <w:pPr>
              <w:pStyle w:val="10"/>
              <w:spacing w:before="60" w:after="60"/>
              <w:rPr>
                <w:color w:themeColor="text1" w:val="000000"/>
                <w:sz w:val="24"/>
              </w:rPr>
            </w:pPr>
            <w:r>
              <w:rPr>
                <w:color w:themeColor="text1" w:val="000000"/>
                <w:sz w:val="24"/>
              </w:rPr>
              <w:t>Рабочая документация</w:t>
            </w:r>
          </w:p>
        </w:tc>
      </w:tr>
      <w:tr>
        <w:trPr>
          <w:trHeight w:val="179" w:hRule="atLeast"/>
        </w:trPr>
        <w:tc>
          <w:tcPr>
            <w:tcW w:w="704" w:type="dxa"/>
            <w:tcBorders>
              <w:start w:val="single" w:sz="4" w:space="0" w:color="000000"/>
              <w:bottom w:val="single" w:sz="4" w:space="0" w:color="000000"/>
              <w:end w:val="single" w:sz="4" w:space="0" w:color="000000"/>
            </w:tcBorders>
            <w:vAlign w:val="center"/>
          </w:tcPr>
          <w:p>
            <w:pPr>
              <w:pStyle w:val="10"/>
              <w:spacing w:before="60" w:after="60"/>
              <w:rPr>
                <w:color w:themeColor="text1" w:val="000000"/>
                <w:sz w:val="24"/>
              </w:rPr>
            </w:pPr>
            <w:r>
              <w:rPr>
                <w:color w:themeColor="text1" w:val="000000"/>
                <w:sz w:val="24"/>
              </w:rPr>
              <w:t>2</w:t>
            </w:r>
          </w:p>
        </w:tc>
        <w:tc>
          <w:tcPr>
            <w:tcW w:w="7504" w:type="dxa"/>
            <w:tcBorders>
              <w:start w:val="single" w:sz="4" w:space="0" w:color="000000"/>
              <w:bottom w:val="single" w:sz="4" w:space="0" w:color="000000"/>
              <w:end w:val="single" w:sz="4" w:space="0" w:color="000000"/>
            </w:tcBorders>
            <w:vAlign w:val="center"/>
          </w:tcPr>
          <w:p>
            <w:pPr>
              <w:pStyle w:val="10"/>
              <w:spacing w:before="60" w:after="60"/>
              <w:jc w:val="start"/>
              <w:rPr>
                <w:color w:themeColor="text1" w:val="000000"/>
                <w:sz w:val="24"/>
              </w:rPr>
            </w:pPr>
            <w:r>
              <w:rPr>
                <w:color w:themeColor="text1" w:val="000000"/>
                <w:sz w:val="24"/>
              </w:rPr>
              <w:t>Поставка МТР, монтажные и пусконаладочные работы</w:t>
            </w:r>
          </w:p>
        </w:tc>
        <w:tc>
          <w:tcPr>
            <w:tcW w:w="6362" w:type="dxa"/>
            <w:tcBorders>
              <w:bottom w:val="single" w:sz="4" w:space="0" w:color="000000"/>
              <w:end w:val="single" w:sz="4" w:space="0" w:color="000000"/>
            </w:tcBorders>
            <w:vAlign w:val="center"/>
          </w:tcPr>
          <w:p>
            <w:pPr>
              <w:pStyle w:val="10"/>
              <w:spacing w:before="60" w:after="60"/>
              <w:rPr>
                <w:color w:themeColor="text1" w:val="000000"/>
                <w:sz w:val="24"/>
              </w:rPr>
            </w:pPr>
            <w:r>
              <w:rPr>
                <w:color w:themeColor="text1" w:val="000000"/>
                <w:sz w:val="24"/>
              </w:rPr>
              <w:t>Акт технической готовности системы общего освещения с приложениями,</w:t>
            </w:r>
          </w:p>
          <w:p>
            <w:pPr>
              <w:pStyle w:val="10"/>
              <w:spacing w:before="60" w:after="60"/>
              <w:rPr>
                <w:color w:themeColor="text1" w:val="000000"/>
                <w:sz w:val="24"/>
              </w:rPr>
            </w:pPr>
            <w:r>
              <w:rPr>
                <w:color w:themeColor="text1" w:val="000000"/>
                <w:sz w:val="24"/>
              </w:rPr>
              <w:t>Акт достижения гарантированной величины экономии электрической энергии</w:t>
            </w:r>
          </w:p>
        </w:tc>
      </w:tr>
      <w:tr>
        <w:trPr>
          <w:trHeight w:val="179" w:hRule="atLeast"/>
        </w:trPr>
        <w:tc>
          <w:tcPr>
            <w:tcW w:w="704" w:type="dxa"/>
            <w:tcBorders>
              <w:top w:val="single" w:sz="4" w:space="0" w:color="000000"/>
              <w:start w:val="single" w:sz="4" w:space="0" w:color="000000"/>
              <w:bottom w:val="single" w:sz="4" w:space="0" w:color="000000"/>
              <w:end w:val="single" w:sz="4" w:space="0" w:color="000000"/>
            </w:tcBorders>
            <w:vAlign w:val="center"/>
          </w:tcPr>
          <w:p>
            <w:pPr>
              <w:pStyle w:val="10"/>
              <w:spacing w:before="60" w:after="60"/>
              <w:rPr>
                <w:color w:themeColor="text1" w:val="000000"/>
                <w:sz w:val="24"/>
              </w:rPr>
            </w:pPr>
            <w:r>
              <w:rPr>
                <w:color w:themeColor="text1" w:val="000000"/>
                <w:sz w:val="24"/>
              </w:rPr>
              <w:t>3</w:t>
            </w:r>
          </w:p>
        </w:tc>
        <w:tc>
          <w:tcPr>
            <w:tcW w:w="7504" w:type="dxa"/>
            <w:tcBorders>
              <w:top w:val="single" w:sz="4" w:space="0" w:color="000000"/>
              <w:start w:val="single" w:sz="4" w:space="0" w:color="000000"/>
              <w:bottom w:val="single" w:sz="4" w:space="0" w:color="000000"/>
              <w:end w:val="single" w:sz="4" w:space="0" w:color="000000"/>
            </w:tcBorders>
            <w:vAlign w:val="center"/>
          </w:tcPr>
          <w:p>
            <w:pPr>
              <w:pStyle w:val="10"/>
              <w:spacing w:before="60" w:after="60"/>
              <w:jc w:val="start"/>
              <w:rPr>
                <w:color w:themeColor="text1" w:val="000000"/>
                <w:sz w:val="24"/>
              </w:rPr>
            </w:pPr>
            <w:r>
              <w:rPr>
                <w:color w:themeColor="text1" w:val="000000"/>
                <w:sz w:val="24"/>
              </w:rPr>
              <w:t>Проведение замеров мощности контрольных осветительных приборов</w:t>
            </w:r>
          </w:p>
        </w:tc>
        <w:tc>
          <w:tcPr>
            <w:tcW w:w="6362" w:type="dxa"/>
            <w:tcBorders>
              <w:top w:val="single" w:sz="4" w:space="0" w:color="000000"/>
              <w:bottom w:val="single" w:sz="4" w:space="0" w:color="000000"/>
              <w:end w:val="single" w:sz="4" w:space="0" w:color="000000"/>
            </w:tcBorders>
            <w:vAlign w:val="center"/>
          </w:tcPr>
          <w:p>
            <w:pPr>
              <w:pStyle w:val="10"/>
              <w:spacing w:before="60" w:after="60"/>
              <w:rPr>
                <w:color w:themeColor="text1" w:val="000000"/>
                <w:sz w:val="24"/>
              </w:rPr>
            </w:pPr>
            <w:r>
              <w:rPr>
                <w:color w:themeColor="text1" w:val="000000"/>
                <w:sz w:val="24"/>
              </w:rPr>
              <w:t>Акт фиксации мощности контрольных осветительных приборов</w:t>
            </w:r>
          </w:p>
        </w:tc>
      </w:tr>
      <w:tr>
        <w:trPr>
          <w:trHeight w:val="179" w:hRule="atLeast"/>
        </w:trPr>
        <w:tc>
          <w:tcPr>
            <w:tcW w:w="704" w:type="dxa"/>
            <w:tcBorders>
              <w:top w:val="single" w:sz="4" w:space="0" w:color="000000"/>
              <w:start w:val="single" w:sz="4" w:space="0" w:color="000000"/>
              <w:bottom w:val="single" w:sz="4" w:space="0" w:color="000000"/>
              <w:end w:val="single" w:sz="4" w:space="0" w:color="000000"/>
            </w:tcBorders>
            <w:vAlign w:val="center"/>
          </w:tcPr>
          <w:p>
            <w:pPr>
              <w:pStyle w:val="10"/>
              <w:spacing w:before="60" w:after="60"/>
              <w:rPr>
                <w:color w:val="auto"/>
                <w:sz w:val="24"/>
              </w:rPr>
            </w:pPr>
            <w:r>
              <w:rPr>
                <w:color w:val="auto"/>
                <w:sz w:val="24"/>
              </w:rPr>
              <w:t>4</w:t>
            </w:r>
          </w:p>
        </w:tc>
        <w:tc>
          <w:tcPr>
            <w:tcW w:w="7504" w:type="dxa"/>
            <w:tcBorders>
              <w:top w:val="single" w:sz="4" w:space="0" w:color="000000"/>
              <w:start w:val="single" w:sz="4" w:space="0" w:color="000000"/>
              <w:bottom w:val="single" w:sz="4" w:space="0" w:color="000000"/>
              <w:end w:val="single" w:sz="4" w:space="0" w:color="000000"/>
            </w:tcBorders>
            <w:vAlign w:val="center"/>
          </w:tcPr>
          <w:p>
            <w:pPr>
              <w:pStyle w:val="10"/>
              <w:spacing w:before="60" w:after="60"/>
              <w:jc w:val="start"/>
              <w:rPr>
                <w:color w:val="auto"/>
                <w:sz w:val="24"/>
              </w:rPr>
            </w:pPr>
            <w:r>
              <w:rPr>
                <w:color w:val="auto"/>
                <w:sz w:val="24"/>
              </w:rPr>
              <w:t>Проведение замеров освещённости</w:t>
            </w:r>
          </w:p>
        </w:tc>
        <w:tc>
          <w:tcPr>
            <w:tcW w:w="6362" w:type="dxa"/>
            <w:tcBorders>
              <w:top w:val="single" w:sz="4" w:space="0" w:color="000000"/>
              <w:bottom w:val="single" w:sz="4" w:space="0" w:color="000000"/>
              <w:end w:val="single" w:sz="4" w:space="0" w:color="000000"/>
            </w:tcBorders>
            <w:vAlign w:val="center"/>
          </w:tcPr>
          <w:p>
            <w:pPr>
              <w:pStyle w:val="10"/>
              <w:spacing w:before="60" w:after="60"/>
              <w:ind w:start="0" w:end="-57"/>
              <w:rPr>
                <w:color w:themeColor="text1" w:val="000000"/>
                <w:sz w:val="24"/>
              </w:rPr>
            </w:pPr>
            <w:r>
              <w:rPr>
                <w:color w:themeColor="text1" w:val="000000"/>
                <w:sz w:val="24"/>
              </w:rPr>
              <w:t>Протокол измерений освещенности в производственных помещениях ПАО «ММК»</w:t>
            </w:r>
          </w:p>
        </w:tc>
      </w:tr>
    </w:tbl>
    <w:p>
      <w:pPr>
        <w:pStyle w:val="Normal"/>
        <w:rPr>
          <w:spacing w:val="-2"/>
        </w:rPr>
      </w:pPr>
      <w:r>
        <w:rPr>
          <w:spacing w:val="-2"/>
        </w:rPr>
      </w:r>
    </w:p>
    <w:p>
      <w:pPr>
        <w:pStyle w:val="Normal"/>
        <w:rPr>
          <w:spacing w:val="-2"/>
        </w:rPr>
      </w:pPr>
      <w:r>
        <w:rPr>
          <w:spacing w:val="-2"/>
        </w:rPr>
      </w:r>
    </w:p>
    <w:p>
      <w:pPr>
        <w:pStyle w:val="Normal"/>
        <w:rPr>
          <w:spacing w:val="-2"/>
        </w:rPr>
      </w:pPr>
      <w:r>
        <w:rPr>
          <w:spacing w:val="-2"/>
        </w:rPr>
      </w:r>
    </w:p>
    <w:p>
      <w:pPr>
        <w:pStyle w:val="Normal"/>
        <w:rPr>
          <w:spacing w:val="-2"/>
        </w:rPr>
      </w:pPr>
      <w:r>
        <w:rPr>
          <w:spacing w:val="-2"/>
        </w:rPr>
      </w:r>
    </w:p>
    <w:p>
      <w:pPr>
        <w:pStyle w:val="Normal"/>
        <w:rPr>
          <w:spacing w:val="-2"/>
        </w:rPr>
      </w:pPr>
      <w:r>
        <w:rPr>
          <w:spacing w:val="-2"/>
        </w:rPr>
      </w:r>
    </w:p>
    <w:p>
      <w:pPr>
        <w:pStyle w:val="Normal"/>
        <w:rPr>
          <w:spacing w:val="-2"/>
        </w:rPr>
      </w:pPr>
      <w:r>
        <w:rPr>
          <w:spacing w:val="-2"/>
        </w:rPr>
      </w:r>
    </w:p>
    <w:p>
      <w:pPr>
        <w:pStyle w:val="Normal"/>
        <w:rPr>
          <w:spacing w:val="-2"/>
        </w:rPr>
      </w:pPr>
      <w:r>
        <w:rPr>
          <w:spacing w:val="-2"/>
        </w:rPr>
      </w:r>
    </w:p>
    <w:tbl>
      <w:tblPr>
        <w:tblW w:w="10281" w:type="dxa"/>
        <w:jc w:val="start"/>
        <w:tblInd w:w="2772" w:type="dxa"/>
        <w:tblLayout w:type="fixed"/>
        <w:tblCellMar>
          <w:top w:w="0" w:type="dxa"/>
          <w:start w:w="108" w:type="dxa"/>
          <w:bottom w:w="0" w:type="dxa"/>
          <w:end w:w="108" w:type="dxa"/>
        </w:tblCellMar>
        <w:tblLook w:val="04a0" w:noHBand="0" w:noVBand="1" w:firstColumn="1" w:lastRow="0" w:lastColumn="0" w:firstRow="1"/>
      </w:tblPr>
      <w:tblGrid>
        <w:gridCol w:w="5140"/>
        <w:gridCol w:w="5141"/>
      </w:tblGrid>
      <w:tr>
        <w:trPr/>
        <w:tc>
          <w:tcPr>
            <w:tcW w:w="10281" w:type="dxa"/>
            <w:gridSpan w:val="2"/>
            <w:tcBorders/>
          </w:tcPr>
          <w:p>
            <w:pPr>
              <w:pStyle w:val="BodyText"/>
              <w:spacing w:before="0" w:after="0"/>
              <w:jc w:val="start"/>
              <w:rPr>
                <w:rFonts w:ascii="Verdana" w:hAnsi="Verdana" w:cs="Verdana"/>
                <w:sz w:val="22"/>
                <w:szCs w:val="22"/>
              </w:rPr>
            </w:pPr>
            <w:r>
              <w:rPr>
                <w:rFonts w:cs="Verdana" w:ascii="Verdana" w:hAnsi="Verdana"/>
                <w:sz w:val="22"/>
                <w:szCs w:val="22"/>
              </w:rPr>
            </w:r>
          </w:p>
        </w:tc>
      </w:tr>
      <w:tr>
        <w:trPr/>
        <w:tc>
          <w:tcPr>
            <w:tcW w:w="5140" w:type="dxa"/>
            <w:tcBorders/>
          </w:tcPr>
          <w:p>
            <w:pPr>
              <w:pStyle w:val="BodyText"/>
              <w:spacing w:before="0" w:after="0"/>
              <w:jc w:val="start"/>
              <w:rPr>
                <w:rFonts w:ascii="Verdana" w:hAnsi="Verdana" w:cs="Verdana"/>
                <w:sz w:val="22"/>
                <w:szCs w:val="22"/>
                <w:lang w:val="ru-RU"/>
              </w:rPr>
            </w:pPr>
            <w:r>
              <w:rPr>
                <w:rFonts w:cs="Verdana" w:ascii="Verdana" w:hAnsi="Verdana"/>
                <w:sz w:val="22"/>
                <w:szCs w:val="22"/>
                <w:lang w:val="ru-RU"/>
              </w:rPr>
            </w:r>
          </w:p>
        </w:tc>
        <w:tc>
          <w:tcPr>
            <w:tcW w:w="5141" w:type="dxa"/>
            <w:tcBorders/>
          </w:tcPr>
          <w:p>
            <w:pPr>
              <w:pStyle w:val="BodyText"/>
              <w:spacing w:before="0" w:after="0"/>
              <w:jc w:val="start"/>
              <w:rPr>
                <w:rFonts w:ascii="Verdana" w:hAnsi="Verdana" w:cs="Verdana"/>
                <w:sz w:val="22"/>
                <w:szCs w:val="22"/>
              </w:rPr>
            </w:pPr>
            <w:r>
              <w:rPr>
                <w:rFonts w:cs="Verdana" w:ascii="Verdana" w:hAnsi="Verdana"/>
                <w:sz w:val="22"/>
                <w:szCs w:val="22"/>
              </w:rPr>
            </w:r>
          </w:p>
        </w:tc>
      </w:tr>
    </w:tbl>
    <w:p>
      <w:pPr>
        <w:sectPr>
          <w:footerReference w:type="default" r:id="rId5"/>
          <w:footerReference w:type="first" r:id="rId6"/>
          <w:type w:val="nextPage"/>
          <w:pgSz w:orient="landscape" w:w="16838" w:h="11906"/>
          <w:pgMar w:left="1134" w:right="1134" w:gutter="0" w:header="0" w:top="993" w:footer="708" w:bottom="850"/>
          <w:pgNumType w:fmt="decimal"/>
          <w:formProt w:val="false"/>
          <w:textDirection w:val="lrTb"/>
          <w:docGrid w:type="default" w:linePitch="360" w:charSpace="0"/>
        </w:sectPr>
      </w:pPr>
    </w:p>
    <w:p>
      <w:pPr>
        <w:pStyle w:val="Heading2"/>
        <w:numPr>
          <w:ilvl w:val="1"/>
          <w:numId w:val="4"/>
        </w:numPr>
        <w:spacing w:before="0" w:after="0"/>
        <w:ind w:firstLine="35" w:start="720"/>
        <w:jc w:val="end"/>
        <w:rPr>
          <w:rFonts w:ascii="Verdana" w:hAnsi="Verdana" w:cs="Verdana"/>
          <w:color w:val="000000"/>
          <w:sz w:val="22"/>
          <w:szCs w:val="22"/>
          <w:shd w:fill="FFFFFF" w:val="clear"/>
        </w:rPr>
      </w:pPr>
      <w:r>
        <w:rPr>
          <w:rFonts w:eastAsia="Verdana" w:cs="Verdana" w:ascii="Verdana" w:hAnsi="Verdana"/>
          <w:b w:val="false"/>
          <w:color w:val="000000"/>
          <w:sz w:val="22"/>
          <w:szCs w:val="22"/>
          <w:shd w:fill="FFFFFF" w:val="clear"/>
          <w:lang w:val="ru-RU"/>
        </w:rPr>
        <w:t>Приложение №</w:t>
      </w:r>
      <w:r>
        <w:rPr>
          <w:rFonts w:eastAsia="Verdana" w:cs="Verdana" w:ascii="Verdana" w:hAnsi="Verdana"/>
          <w:b w:val="false"/>
          <w:color w:val="000000"/>
          <w:sz w:val="22"/>
          <w:szCs w:val="22"/>
          <w:shd w:fill="FFFFFF" w:val="clear"/>
        </w:rPr>
        <w:t> </w:t>
      </w:r>
      <w:r>
        <w:rPr>
          <w:rFonts w:eastAsia="Verdana" w:cs="Verdana" w:ascii="Verdana" w:hAnsi="Verdana"/>
          <w:b w:val="false"/>
          <w:color w:val="000000"/>
          <w:sz w:val="22"/>
          <w:szCs w:val="22"/>
          <w:shd w:fill="FFFFFF" w:val="clear"/>
          <w:lang w:val="ru-RU"/>
        </w:rPr>
        <w:t>2</w:t>
      </w:r>
    </w:p>
    <w:p>
      <w:pPr>
        <w:pStyle w:val="Normal"/>
        <w:jc w:val="end"/>
        <w:rPr>
          <w:rFonts w:ascii="Verdana" w:hAnsi="Verdana" w:cs="Verdana"/>
          <w:color w:val="000000"/>
          <w:sz w:val="22"/>
          <w:szCs w:val="22"/>
          <w:shd w:fill="FFFFFF" w:val="clear"/>
        </w:rPr>
      </w:pPr>
      <w:r>
        <w:rPr>
          <w:rFonts w:eastAsia="Verdana" w:cs="Verdana" w:ascii="Verdana" w:hAnsi="Verdana"/>
          <w:color w:val="000000"/>
          <w:sz w:val="22"/>
          <w:szCs w:val="22"/>
          <w:shd w:fill="FFFFFF" w:val="clear"/>
        </w:rPr>
        <w:t>к Техническому заданию</w:t>
      </w:r>
    </w:p>
    <w:p>
      <w:pPr>
        <w:pStyle w:val="Normal"/>
        <w:jc w:val="end"/>
        <w:rPr>
          <w:rFonts w:ascii="Verdana" w:hAnsi="Verdana" w:cs="Verdana"/>
          <w:sz w:val="22"/>
          <w:szCs w:val="22"/>
          <w:shd w:fill="FFFFFF" w:val="clear"/>
        </w:rPr>
      </w:pPr>
      <w:r>
        <w:rPr>
          <w:rFonts w:cs="Verdana" w:ascii="Verdana" w:hAnsi="Verdana"/>
          <w:sz w:val="22"/>
          <w:szCs w:val="22"/>
          <w:shd w:fill="FFFFFF" w:val="clear"/>
        </w:rPr>
      </w:r>
    </w:p>
    <w:p>
      <w:pPr>
        <w:pStyle w:val="Heading2"/>
        <w:numPr>
          <w:ilvl w:val="1"/>
          <w:numId w:val="4"/>
        </w:numPr>
        <w:spacing w:before="0" w:after="0"/>
        <w:ind w:hanging="0" w:start="6237"/>
        <w:rPr>
          <w:rFonts w:ascii="Verdana" w:hAnsi="Verdana" w:cs="Verdana"/>
          <w:b w:val="false"/>
          <w:sz w:val="22"/>
          <w:szCs w:val="22"/>
          <w:shd w:fill="FFFFFF" w:val="clear"/>
        </w:rPr>
      </w:pPr>
      <w:r>
        <w:rPr>
          <w:rFonts w:cs="Verdana" w:ascii="Verdana" w:hAnsi="Verdana"/>
          <w:b w:val="false"/>
          <w:sz w:val="22"/>
          <w:szCs w:val="22"/>
          <w:shd w:fill="FFFFFF" w:val="clear"/>
        </w:rPr>
      </w:r>
    </w:p>
    <w:p>
      <w:pPr>
        <w:pStyle w:val="NoSpacing"/>
        <w:spacing w:lineRule="auto" w:line="264"/>
        <w:jc w:val="center"/>
        <w:rPr>
          <w:rFonts w:ascii="Verdana" w:hAnsi="Verdana" w:cs="Verdana"/>
          <w:b/>
        </w:rPr>
      </w:pPr>
      <w:r>
        <w:rPr>
          <w:rFonts w:eastAsia="Verdana" w:cs="Verdana" w:ascii="Verdana" w:hAnsi="Verdana"/>
          <w:b/>
          <w:shd w:fill="FFFFFF" w:val="clear"/>
        </w:rPr>
        <w:t>Методика</w:t>
      </w:r>
    </w:p>
    <w:p>
      <w:pPr>
        <w:pStyle w:val="NoSpacing"/>
        <w:spacing w:lineRule="auto" w:line="264"/>
        <w:jc w:val="center"/>
        <w:rPr>
          <w:rFonts w:ascii="Verdana" w:hAnsi="Verdana" w:cs="Verdana"/>
          <w:b/>
          <w:bCs/>
          <w:color w:val="000000"/>
        </w:rPr>
      </w:pPr>
      <w:r>
        <w:rPr>
          <w:rFonts w:eastAsia="Verdana" w:cs="Verdana" w:ascii="Verdana" w:hAnsi="Verdana"/>
          <w:b/>
          <w:bCs/>
          <w:color w:val="000000"/>
        </w:rPr>
        <w:t>определения размера экономии электрической энергии в результате выполнения работ по модернизации системы освещения в рамках энергосберегающих мероприятий</w:t>
      </w:r>
    </w:p>
    <w:p>
      <w:pPr>
        <w:pStyle w:val="Normal"/>
        <w:spacing w:before="120" w:after="0"/>
        <w:ind w:firstLine="142"/>
        <w:jc w:val="both"/>
        <w:rPr>
          <w:rFonts w:ascii="Verdana" w:hAnsi="Verdana" w:cs="Verdana"/>
          <w:b/>
          <w:sz w:val="22"/>
          <w:szCs w:val="22"/>
        </w:rPr>
      </w:pPr>
      <w:r>
        <w:rPr>
          <w:rFonts w:eastAsia="Verdana" w:cs="Verdana" w:ascii="Verdana" w:hAnsi="Verdana"/>
          <w:b/>
          <w:sz w:val="22"/>
          <w:szCs w:val="22"/>
        </w:rPr>
        <w:t>1 Общая информация о методике</w:t>
      </w:r>
    </w:p>
    <w:p>
      <w:pPr>
        <w:pStyle w:val="Normal"/>
        <w:spacing w:before="120" w:after="0"/>
        <w:ind w:firstLine="142"/>
        <w:jc w:val="both"/>
        <w:rPr>
          <w:rFonts w:ascii="Verdana" w:hAnsi="Verdana" w:cs="Verdana"/>
          <w:b/>
          <w:sz w:val="22"/>
          <w:szCs w:val="22"/>
        </w:rPr>
      </w:pPr>
      <w:r>
        <w:rPr>
          <w:rFonts w:eastAsia="Verdana" w:cs="Verdana" w:ascii="Verdana" w:hAnsi="Verdana"/>
          <w:b/>
          <w:sz w:val="22"/>
          <w:szCs w:val="22"/>
        </w:rPr>
        <w:t>1.1 Область применения</w:t>
      </w:r>
    </w:p>
    <w:p>
      <w:pPr>
        <w:pStyle w:val="Normal"/>
        <w:spacing w:before="120" w:after="0"/>
        <w:ind w:firstLine="142"/>
        <w:jc w:val="both"/>
        <w:rPr>
          <w:rFonts w:ascii="Verdana" w:hAnsi="Verdana" w:cs="Verdana"/>
          <w:sz w:val="22"/>
          <w:szCs w:val="22"/>
        </w:rPr>
      </w:pPr>
      <w:r>
        <w:rPr>
          <w:rFonts w:eastAsia="Verdana" w:cs="Verdana" w:ascii="Verdana" w:hAnsi="Verdana"/>
          <w:sz w:val="22"/>
          <w:szCs w:val="22"/>
        </w:rPr>
        <w:t>1.1.1 Методика определения размера экономии электрической энергии в результате замены осветительных приборов в осветительных установках системы общего освещения</w:t>
      </w:r>
      <w:r>
        <w:rPr>
          <w:rFonts w:eastAsia="Verdana" w:cs="Verdana" w:ascii="Verdana" w:hAnsi="Verdana"/>
          <w:b/>
          <w:sz w:val="22"/>
          <w:szCs w:val="22"/>
        </w:rPr>
        <w:t xml:space="preserve"> </w:t>
      </w:r>
      <w:r>
        <w:rPr>
          <w:rFonts w:eastAsia="Verdana" w:cs="Verdana" w:ascii="Verdana" w:hAnsi="Verdana"/>
          <w:sz w:val="22"/>
          <w:szCs w:val="22"/>
        </w:rPr>
        <w:t>разработана для определения экономического эффекта от реализации проекта.</w:t>
      </w:r>
    </w:p>
    <w:p>
      <w:pPr>
        <w:pStyle w:val="Normal"/>
        <w:spacing w:before="120" w:after="0"/>
        <w:ind w:firstLine="142"/>
        <w:jc w:val="both"/>
        <w:rPr>
          <w:rFonts w:ascii="Verdana" w:hAnsi="Verdana" w:cs="Verdana"/>
          <w:sz w:val="22"/>
          <w:szCs w:val="22"/>
        </w:rPr>
      </w:pPr>
      <w:r>
        <w:rPr>
          <w:rFonts w:eastAsia="Verdana" w:cs="Verdana" w:ascii="Verdana" w:hAnsi="Verdana"/>
          <w:sz w:val="22"/>
          <w:szCs w:val="22"/>
        </w:rPr>
        <w:t>1.1.2 Требования методики распространяются на проект «Замена осветительных приборов в осветительных установках системы общего освещения на Объектах Заказчика».</w:t>
      </w:r>
    </w:p>
    <w:p>
      <w:pPr>
        <w:pStyle w:val="Normal"/>
        <w:spacing w:before="120" w:after="0"/>
        <w:ind w:firstLine="142"/>
        <w:jc w:val="both"/>
        <w:rPr>
          <w:rFonts w:ascii="Verdana" w:hAnsi="Verdana" w:cs="Verdana"/>
          <w:b/>
          <w:sz w:val="22"/>
          <w:szCs w:val="22"/>
        </w:rPr>
      </w:pPr>
      <w:r>
        <w:rPr>
          <w:rFonts w:eastAsia="Verdana" w:cs="Verdana" w:ascii="Verdana" w:hAnsi="Verdana"/>
          <w:b/>
          <w:sz w:val="22"/>
          <w:szCs w:val="22"/>
        </w:rPr>
        <w:t>1.2 Нормативные ссылки</w:t>
      </w:r>
    </w:p>
    <w:p>
      <w:pPr>
        <w:pStyle w:val="Normal"/>
        <w:spacing w:before="120" w:after="0"/>
        <w:ind w:firstLine="142"/>
        <w:jc w:val="both"/>
        <w:rPr>
          <w:rFonts w:ascii="Verdana" w:hAnsi="Verdana" w:cs="Verdana"/>
          <w:sz w:val="22"/>
          <w:szCs w:val="22"/>
        </w:rPr>
      </w:pPr>
      <w:r>
        <w:rPr>
          <w:rFonts w:eastAsia="Verdana" w:cs="Verdana" w:ascii="Verdana" w:hAnsi="Verdana"/>
          <w:sz w:val="22"/>
          <w:szCs w:val="22"/>
        </w:rPr>
        <w:t>1.2.1  Методика разработана на основании и в рамках следующих документов:</w:t>
      </w:r>
    </w:p>
    <w:p>
      <w:pPr>
        <w:pStyle w:val="ListParagraph"/>
        <w:numPr>
          <w:ilvl w:val="0"/>
          <w:numId w:val="5"/>
        </w:numPr>
        <w:spacing w:before="120" w:after="0"/>
        <w:jc w:val="both"/>
        <w:rPr>
          <w:rFonts w:ascii="Verdana" w:hAnsi="Verdana" w:cs="Verdana"/>
          <w:sz w:val="22"/>
          <w:szCs w:val="22"/>
        </w:rPr>
      </w:pPr>
      <w:r>
        <w:rPr>
          <w:rFonts w:eastAsia="Verdana" w:cs="Verdana" w:ascii="Verdana" w:hAnsi="Verdana"/>
          <w:sz w:val="22"/>
          <w:szCs w:val="22"/>
        </w:rPr>
        <w:t>ГОСТ 31531-2012 Энергосбережение. Методы подтверждения соответствия показателей энергетической эффективности энергопотребляющей продукции их нормативным значениям. Общие требования.</w:t>
      </w:r>
    </w:p>
    <w:p>
      <w:pPr>
        <w:pStyle w:val="ListParagraph"/>
        <w:numPr>
          <w:ilvl w:val="0"/>
          <w:numId w:val="5"/>
        </w:numPr>
        <w:spacing w:before="120" w:after="0"/>
        <w:jc w:val="both"/>
        <w:rPr>
          <w:rFonts w:ascii="Verdana" w:hAnsi="Verdana" w:cs="Verdana"/>
          <w:sz w:val="22"/>
          <w:szCs w:val="22"/>
        </w:rPr>
      </w:pPr>
      <w:r>
        <w:rPr>
          <w:rFonts w:eastAsia="Verdana" w:cs="Verdana" w:ascii="Verdana" w:hAnsi="Verdana"/>
          <w:sz w:val="22"/>
          <w:szCs w:val="22"/>
        </w:rPr>
        <w:t>ГОСТ 31607-2012 Энергосбережение. Нормативно-методическое обеспечение. Основные положения.</w:t>
      </w:r>
    </w:p>
    <w:p>
      <w:pPr>
        <w:pStyle w:val="ListParagraph"/>
        <w:numPr>
          <w:ilvl w:val="0"/>
          <w:numId w:val="5"/>
        </w:numPr>
        <w:spacing w:before="120" w:after="0"/>
        <w:jc w:val="both"/>
        <w:rPr>
          <w:rFonts w:ascii="Verdana" w:hAnsi="Verdana" w:cs="Verdana"/>
          <w:sz w:val="22"/>
          <w:szCs w:val="22"/>
        </w:rPr>
      </w:pPr>
      <w:r>
        <w:rPr>
          <w:rFonts w:eastAsia="Verdana" w:cs="Verdana" w:ascii="Verdana" w:hAnsi="Verdana"/>
          <w:sz w:val="22"/>
          <w:szCs w:val="22"/>
        </w:rPr>
        <w:t>ГОСТ 31532-2012 Энергосбережение. Энергетическая эффективность. Состав показателей. Общие положения.</w:t>
      </w:r>
    </w:p>
    <w:p>
      <w:pPr>
        <w:pStyle w:val="ListParagraph"/>
        <w:numPr>
          <w:ilvl w:val="0"/>
          <w:numId w:val="5"/>
        </w:numPr>
        <w:spacing w:before="120" w:after="0"/>
        <w:jc w:val="both"/>
        <w:rPr>
          <w:rFonts w:ascii="Verdana" w:hAnsi="Verdana" w:cs="Verdana"/>
          <w:sz w:val="22"/>
          <w:szCs w:val="22"/>
        </w:rPr>
      </w:pPr>
      <w:r>
        <w:rPr>
          <w:rFonts w:eastAsia="Verdana" w:cs="Verdana" w:ascii="Verdana" w:hAnsi="Verdana"/>
          <w:sz w:val="22"/>
          <w:szCs w:val="22"/>
        </w:rPr>
        <w:t>РМГ 29-2013 Государственная система обеспечения единства измерений. Метрология. Термины и определения.</w:t>
      </w:r>
    </w:p>
    <w:p>
      <w:pPr>
        <w:pStyle w:val="ListParagraph"/>
        <w:numPr>
          <w:ilvl w:val="0"/>
          <w:numId w:val="5"/>
        </w:numPr>
        <w:spacing w:before="120" w:after="0"/>
        <w:jc w:val="both"/>
        <w:rPr>
          <w:rFonts w:ascii="Verdana" w:hAnsi="Verdana" w:cs="Verdana"/>
          <w:sz w:val="22"/>
          <w:szCs w:val="22"/>
        </w:rPr>
      </w:pPr>
      <w:r>
        <w:rPr>
          <w:rFonts w:eastAsia="Verdana" w:cs="Verdana" w:ascii="Verdana" w:hAnsi="Verdana"/>
          <w:sz w:val="22"/>
          <w:szCs w:val="22"/>
        </w:rPr>
        <w:t>Р 50.1.026-2000 Энергосбережение. Методы подтверждения показателей энергетической эффективности. Общие требования.</w:t>
      </w:r>
    </w:p>
    <w:p>
      <w:pPr>
        <w:pStyle w:val="ListParagraph"/>
        <w:numPr>
          <w:ilvl w:val="0"/>
          <w:numId w:val="5"/>
        </w:numPr>
        <w:spacing w:before="120" w:after="0"/>
        <w:jc w:val="both"/>
        <w:rPr>
          <w:rFonts w:ascii="Verdana" w:hAnsi="Verdana" w:cs="Verdana"/>
          <w:sz w:val="22"/>
          <w:szCs w:val="22"/>
        </w:rPr>
      </w:pPr>
      <w:r>
        <w:rPr>
          <w:rFonts w:eastAsia="Verdana" w:cs="Verdana" w:ascii="Verdana" w:hAnsi="Verdana"/>
          <w:sz w:val="22"/>
          <w:szCs w:val="22"/>
        </w:rPr>
        <w:t xml:space="preserve">Приказ Минэкономразвития России от 29.02.2024 №119 «Об утверждении методики определения расчетно-измерительным способом объема потребления энергетического ресурса в натуральном выражении для выполнения работ по модернизации систем внутреннего и наружного освещения, энергетической эффективности использования электродвигателей, в том числе в составе технологических комплексов (насосных, компрессорных и прочих), энергетической эффективности объектов теплоснабжения, систем отопления, вентиляции и кондиционирования воздуха зданий, строений и сооружений, энергетической эффективности объектов электроэнергетики, энергетической эффективности оборудования для пищеприготовления, направленных на энергосбережение и повышение энергетической эффективности». </w:t>
      </w:r>
    </w:p>
    <w:p>
      <w:pPr>
        <w:pStyle w:val="Normal"/>
        <w:spacing w:before="120" w:after="0"/>
        <w:ind w:firstLine="142"/>
        <w:jc w:val="both"/>
        <w:rPr>
          <w:rFonts w:ascii="Verdana" w:hAnsi="Verdana" w:cs="Verdana"/>
          <w:b/>
          <w:sz w:val="22"/>
          <w:szCs w:val="22"/>
        </w:rPr>
      </w:pPr>
      <w:r>
        <w:rPr>
          <w:rFonts w:eastAsia="Verdana" w:cs="Verdana" w:ascii="Verdana" w:hAnsi="Verdana"/>
          <w:b/>
          <w:sz w:val="22"/>
          <w:szCs w:val="22"/>
        </w:rPr>
        <w:t>2 Определение энергетического эффекта</w:t>
      </w:r>
    </w:p>
    <w:p>
      <w:pPr>
        <w:pStyle w:val="Normal"/>
        <w:spacing w:before="120" w:after="0"/>
        <w:ind w:firstLine="142"/>
        <w:jc w:val="both"/>
        <w:rPr>
          <w:rFonts w:ascii="Verdana" w:hAnsi="Verdana" w:cs="Verdana"/>
          <w:sz w:val="22"/>
          <w:szCs w:val="22"/>
        </w:rPr>
      </w:pPr>
      <w:r>
        <w:rPr>
          <w:rFonts w:eastAsia="Verdana" w:cs="Verdana" w:ascii="Verdana" w:hAnsi="Verdana"/>
          <w:sz w:val="22"/>
          <w:szCs w:val="22"/>
        </w:rPr>
        <w:t xml:space="preserve">2.1 При определении объема потребления электрической энергии учитываются осветительные установки только на объектах, где реализуются работы по модернизации системы освещения. </w:t>
      </w:r>
    </w:p>
    <w:p>
      <w:pPr>
        <w:pStyle w:val="Normal"/>
        <w:spacing w:before="120" w:after="0"/>
        <w:ind w:firstLine="142"/>
        <w:jc w:val="both"/>
        <w:rPr>
          <w:rFonts w:ascii="Verdana" w:hAnsi="Verdana" w:cs="Verdana"/>
          <w:sz w:val="22"/>
          <w:szCs w:val="22"/>
        </w:rPr>
      </w:pPr>
      <w:r>
        <w:rPr>
          <w:rFonts w:eastAsia="Verdana" w:cs="Verdana" w:ascii="Verdana" w:hAnsi="Verdana"/>
          <w:sz w:val="22"/>
          <w:szCs w:val="22"/>
        </w:rPr>
        <w:t>2.2 Для определения объема потребления электрической энергии осветительными установками</w:t>
      </w:r>
      <w:r>
        <w:rPr>
          <w:rFonts w:eastAsia="Verdana" w:cs="Verdana" w:ascii="Verdana" w:hAnsi="Verdana"/>
          <w:color w:val="000000"/>
          <w:sz w:val="22"/>
          <w:szCs w:val="22"/>
        </w:rPr>
        <w:t xml:space="preserve"> системы общего освещения </w:t>
      </w:r>
      <w:r>
        <w:rPr>
          <w:rFonts w:eastAsia="Verdana" w:cs="Verdana" w:ascii="Verdana" w:hAnsi="Verdana"/>
          <w:sz w:val="22"/>
          <w:szCs w:val="22"/>
        </w:rPr>
        <w:t>в базовом и контрольном периодах определяется перечень категорий помещений/объектов (</w:t>
      </w:r>
      <w:r>
        <w:rPr>
          <w:rFonts w:eastAsia="Verdana" w:cs="Verdana" w:ascii="Verdana" w:hAnsi="Verdana"/>
          <w:i/>
          <w:sz w:val="22"/>
          <w:szCs w:val="22"/>
        </w:rPr>
        <w:t>i</w:t>
      </w:r>
      <w:r>
        <w:rPr>
          <w:rFonts w:eastAsia="Verdana" w:cs="Verdana" w:ascii="Verdana" w:hAnsi="Verdana"/>
          <w:sz w:val="22"/>
          <w:szCs w:val="22"/>
        </w:rPr>
        <w:t>) на основе их функционального назначения, периодов времени их использования (согласно Таблицы 2 Технического задания).</w:t>
      </w:r>
    </w:p>
    <w:p>
      <w:pPr>
        <w:pStyle w:val="Normal"/>
        <w:spacing w:before="120" w:after="0"/>
        <w:ind w:firstLine="142"/>
        <w:jc w:val="both"/>
        <w:rPr>
          <w:rFonts w:ascii="Verdana" w:hAnsi="Verdana" w:eastAsia="Verdana" w:cs="Verdana"/>
          <w:sz w:val="22"/>
          <w:szCs w:val="22"/>
        </w:rPr>
      </w:pPr>
      <w:r>
        <w:rPr>
          <w:rFonts w:eastAsia="Verdana" w:cs="Verdana" w:ascii="Verdana" w:hAnsi="Verdana"/>
          <w:sz w:val="22"/>
          <w:szCs w:val="22"/>
        </w:rPr>
        <w:t>2.3 Объем потребления электрической энергии осветительными установками</w:t>
      </w:r>
      <w:r>
        <w:rPr>
          <w:rFonts w:eastAsia="Verdana" w:cs="Verdana" w:ascii="Verdana" w:hAnsi="Verdana"/>
          <w:color w:val="000000"/>
          <w:sz w:val="22"/>
          <w:szCs w:val="22"/>
        </w:rPr>
        <w:t xml:space="preserve"> системы общего освещения </w:t>
      </w:r>
      <w:r>
        <w:rPr>
          <w:rFonts w:eastAsia="Verdana" w:cs="Verdana" w:ascii="Verdana" w:hAnsi="Verdana"/>
          <w:sz w:val="22"/>
          <w:szCs w:val="22"/>
        </w:rPr>
        <w:t>в базовом (</w:t>
      </w:r>
      <w:r>
        <w:rPr/>
      </w:r>
      <m:oMath xmlns:m="http://schemas.openxmlformats.org/officeDocument/2006/math">
        <m:sSub>
          <m:e>
            <m:r>
              <m:t xml:space="preserve">W</m:t>
            </m:r>
          </m:e>
          <m:sub>
            <m:r>
              <m:t xml:space="preserve">баз</m:t>
            </m:r>
          </m:sub>
        </m:sSub>
      </m:oMath>
      <w:r>
        <w:rPr>
          <w:rFonts w:eastAsia="Verdana" w:cs="Verdana" w:ascii="Verdana" w:hAnsi="Verdana"/>
          <w:sz w:val="22"/>
          <w:szCs w:val="22"/>
        </w:rPr>
        <w:t>) и контрольном (</w:t>
      </w:r>
      <w:r>
        <w:rPr/>
      </w:r>
      <m:oMath xmlns:m="http://schemas.openxmlformats.org/officeDocument/2006/math">
        <m:sSub>
          <m:e>
            <m:r>
              <m:t xml:space="preserve">W</m:t>
            </m:r>
          </m:e>
          <m:sub>
            <m:r>
              <m:t xml:space="preserve">контр</m:t>
            </m:r>
          </m:sub>
        </m:sSub>
      </m:oMath>
      <w:r>
        <w:rPr>
          <w:rFonts w:eastAsia="Verdana" w:cs="Verdana" w:ascii="Verdana" w:hAnsi="Verdana"/>
          <w:sz w:val="22"/>
          <w:szCs w:val="22"/>
        </w:rPr>
        <w:t>) периодах определяется как сумма объемов потребления электрической энергии во всех категориях помещений/объектов:</w:t>
      </w:r>
    </w:p>
    <w:p>
      <w:pPr>
        <w:pStyle w:val="Normal"/>
        <w:ind w:firstLine="142"/>
        <w:jc w:val="end"/>
        <w:rPr>
          <w:rFonts w:ascii="Verdana" w:hAnsi="Verdana" w:cs="Verdana"/>
          <w:sz w:val="22"/>
          <w:szCs w:val="22"/>
        </w:rPr>
      </w:pPr>
      <w:r>
        <w:rPr/>
      </w:r>
      <m:oMathPara xmlns:m="http://schemas.openxmlformats.org/officeDocument/2006/math">
        <m:oMathParaPr>
          <m:jc m:val="right"/>
        </m:oMathParaPr>
        <m:oMath>
          <m:r>
            <m:t xml:space="preserve">W</m:t>
          </m:r>
          <m:r>
            <m:rPr>
              <m:lit/>
              <m:nor/>
            </m:rPr>
            <m:t xml:space="preserve">=</m:t>
          </m:r>
          <m:nary>
            <m:naryPr>
              <m:chr m:val="∑"/>
            </m:naryPr>
            <m:sub>
              <m:r>
                <m:t xml:space="preserve">i</m:t>
              </m:r>
              <m:r>
                <m:rPr>
                  <m:lit/>
                  <m:nor/>
                </m:rPr>
                <m:t xml:space="preserve">=</m:t>
              </m:r>
              <m:r>
                <m:t xml:space="preserve">1</m:t>
              </m:r>
            </m:sub>
            <m:sup>
              <m:r>
                <m:t xml:space="preserve">n</m:t>
              </m:r>
            </m:sup>
            <m:e>
              <m:sSub>
                <m:e>
                  <m:r>
                    <m:t xml:space="preserve">W</m:t>
                  </m:r>
                </m:e>
                <m:sub>
                  <m:r>
                    <m:t xml:space="preserve">i</m:t>
                  </m:r>
                </m:sub>
              </m:sSub>
            </m:e>
          </m:nary>
          <m:r>
            <m:t xml:space="preserve">,</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t xml:space="preserve">(</m:t>
          </m:r>
          <m:r>
            <m:t xml:space="preserve">3.1</m:t>
          </m:r>
          <m:r>
            <m:t xml:space="preserve">)</m:t>
          </m:r>
          <m:r>
            <m:rPr>
              <m:lit/>
              <m:nor/>
            </m:rPr>
            <m:t xml:space="preserve"> </m:t>
          </m:r>
        </m:oMath>
      </m:oMathPara>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eastAsia="Verdana" w:cs="Verdana" w:ascii="Verdana" w:hAnsi="Verdana"/>
          <w:sz w:val="22"/>
          <w:szCs w:val="22"/>
        </w:rPr>
        <w:t xml:space="preserve">где </w:t>
      </w:r>
      <w:r>
        <w:rPr>
          <w:rFonts w:eastAsia="Verdana" w:cs="Verdana" w:ascii="Verdana" w:hAnsi="Verdana"/>
          <w:i/>
          <w:sz w:val="22"/>
          <w:szCs w:val="22"/>
          <w:lang w:val="en-US"/>
        </w:rPr>
        <w:t>n</w:t>
      </w:r>
      <w:r>
        <w:rPr>
          <w:rFonts w:eastAsia="Verdana" w:cs="Verdana" w:ascii="Verdana" w:hAnsi="Verdana"/>
          <w:sz w:val="22"/>
          <w:szCs w:val="22"/>
        </w:rPr>
        <w:t xml:space="preserve"> – количество категорий помещений/объектов;</w:t>
      </w:r>
    </w:p>
    <w:p>
      <w:pPr>
        <w:pStyle w:val="Normal"/>
        <w:ind w:firstLine="142"/>
        <w:jc w:val="both"/>
        <w:rPr>
          <w:rFonts w:ascii="Verdana" w:hAnsi="Verdana" w:cs="Verdana"/>
          <w:sz w:val="22"/>
          <w:szCs w:val="22"/>
        </w:rPr>
      </w:pPr>
      <w:r>
        <w:rPr>
          <w:rFonts w:eastAsia="Verdana" w:cs="Verdana" w:ascii="Verdana" w:hAnsi="Verdana"/>
          <w:i/>
          <w:sz w:val="22"/>
          <w:szCs w:val="22"/>
          <w:lang w:val="en-US"/>
        </w:rPr>
        <w:t>i</w:t>
      </w:r>
      <w:r>
        <w:rPr>
          <w:rFonts w:eastAsia="Verdana" w:cs="Verdana" w:ascii="Verdana" w:hAnsi="Verdana"/>
          <w:sz w:val="22"/>
          <w:szCs w:val="22"/>
        </w:rPr>
        <w:t xml:space="preserve"> – порядковый номер категории;</w:t>
      </w:r>
    </w:p>
    <w:p>
      <w:pPr>
        <w:pStyle w:val="Normal"/>
        <w:spacing w:before="120" w:after="0"/>
        <w:ind w:firstLine="142"/>
        <w:jc w:val="both"/>
        <w:rPr>
          <w:rFonts w:ascii="Verdana" w:hAnsi="Verdana" w:eastAsia="Verdana" w:cs="Verdana"/>
          <w:sz w:val="22"/>
          <w:szCs w:val="22"/>
        </w:rPr>
      </w:pPr>
      <w:r>
        <w:rPr>
          <w:rFonts w:eastAsia="Verdana" w:cs="Verdana" w:ascii="Verdana" w:hAnsi="Verdana"/>
          <w:sz w:val="22"/>
          <w:szCs w:val="22"/>
        </w:rPr>
        <w:t>2.4 Объем потребления электрической энергии (</w:t>
      </w:r>
      <w:r>
        <w:rPr/>
      </w:r>
      <m:oMath xmlns:m="http://schemas.openxmlformats.org/officeDocument/2006/math">
        <m:sSub>
          <m:e>
            <m:r>
              <m:t xml:space="preserve">W</m:t>
            </m:r>
          </m:e>
          <m:sub>
            <m:r>
              <m:t xml:space="preserve">i</m:t>
            </m:r>
            <m:r>
              <m:rPr>
                <m:lit/>
                <m:nor/>
              </m:rPr>
              <m:t xml:space="preserve"> </m:t>
            </m:r>
            <m:r>
              <m:t xml:space="preserve">баз</m:t>
            </m:r>
          </m:sub>
        </m:sSub>
      </m:oMath>
      <w:r>
        <w:rPr>
          <w:rFonts w:eastAsia="Verdana" w:cs="Verdana" w:ascii="Verdana" w:hAnsi="Verdana"/>
          <w:sz w:val="22"/>
          <w:szCs w:val="22"/>
        </w:rPr>
        <w:t xml:space="preserve">), в помещениях </w:t>
      </w:r>
      <w:r>
        <w:rPr>
          <w:rFonts w:eastAsia="Verdana" w:cs="Verdana" w:ascii="Verdana" w:hAnsi="Verdana"/>
          <w:i/>
          <w:sz w:val="22"/>
          <w:szCs w:val="22"/>
        </w:rPr>
        <w:t>i</w:t>
      </w:r>
      <w:r>
        <w:rPr>
          <w:rFonts w:eastAsia="Verdana" w:cs="Verdana" w:ascii="Verdana" w:hAnsi="Verdana"/>
          <w:sz w:val="22"/>
          <w:szCs w:val="22"/>
        </w:rPr>
        <w:t>-й категории в базовом периоде определяется по следующей формуле:</w:t>
      </w:r>
    </w:p>
    <w:p>
      <w:pPr>
        <w:pStyle w:val="Normal"/>
        <w:spacing w:before="120" w:after="0"/>
        <w:ind w:firstLine="142"/>
        <w:jc w:val="both"/>
        <w:rPr>
          <w:rFonts w:ascii="Verdana" w:hAnsi="Verdana" w:cs="Verdana"/>
          <w:sz w:val="22"/>
          <w:szCs w:val="22"/>
        </w:rPr>
      </w:pPr>
      <w:r>
        <w:rPr>
          <w:rFonts w:cs="Verdana" w:ascii="Verdana" w:hAnsi="Verdana"/>
          <w:sz w:val="22"/>
          <w:szCs w:val="22"/>
        </w:rPr>
      </w:r>
    </w:p>
    <w:p>
      <w:pPr>
        <w:pStyle w:val="Normal"/>
        <w:ind w:firstLine="142"/>
        <w:jc w:val="end"/>
        <w:rPr>
          <w:rFonts w:ascii="Verdana" w:hAnsi="Verdana" w:cs="Verdana"/>
          <w:sz w:val="22"/>
          <w:szCs w:val="22"/>
        </w:rPr>
      </w:pPr>
      <w:r>
        <w:rPr/>
      </w:r>
      <m:oMathPara xmlns:m="http://schemas.openxmlformats.org/officeDocument/2006/math">
        <m:oMathParaPr>
          <m:jc m:val="right"/>
        </m:oMathParaPr>
        <m:oMath>
          <m:sSub>
            <m:e>
              <m:r>
                <m:t xml:space="preserve">W</m:t>
              </m:r>
            </m:e>
            <m:sub>
              <m:r>
                <m:t xml:space="preserve">i</m:t>
              </m:r>
              <m:r>
                <m:rPr>
                  <m:lit/>
                  <m:nor/>
                </m:rPr>
                <m:t xml:space="preserve"> </m:t>
              </m:r>
              <m:r>
                <m:t xml:space="preserve">баз</m:t>
              </m:r>
            </m:sub>
          </m:sSub>
          <m:r>
            <m:rPr>
              <m:lit/>
              <m:nor/>
            </m:rPr>
            <m:t xml:space="preserve">=</m:t>
          </m:r>
          <m:nary>
            <m:naryPr>
              <m:chr m:val="∑"/>
            </m:naryPr>
            <m:sub>
              <m:r>
                <m:t xml:space="preserve">j</m:t>
              </m:r>
              <m:r>
                <m:rPr>
                  <m:lit/>
                  <m:nor/>
                </m:rPr>
                <m:t xml:space="preserve">=</m:t>
              </m:r>
              <m:r>
                <m:t xml:space="preserve">1</m:t>
              </m:r>
            </m:sub>
            <m:sup>
              <m:r>
                <m:t xml:space="preserve">m</m:t>
              </m:r>
            </m:sup>
            <m:e>
              <m:sSub>
                <m:e>
                  <m:r>
                    <m:t xml:space="preserve">P</m:t>
                  </m:r>
                </m:e>
                <m:sub>
                  <m:r>
                    <m:t xml:space="preserve">j</m:t>
                  </m:r>
                  <m:r>
                    <m:rPr>
                      <m:lit/>
                      <m:nor/>
                    </m:rPr>
                    <m:t xml:space="preserve"> </m:t>
                  </m:r>
                  <m:r>
                    <m:t xml:space="preserve">баз</m:t>
                  </m:r>
                </m:sub>
              </m:sSub>
              <m:r>
                <m:t xml:space="preserve">∙</m:t>
              </m:r>
              <m:sSub>
                <m:e>
                  <m:r>
                    <m:t xml:space="preserve">T</m:t>
                  </m:r>
                </m:e>
                <m:sub>
                  <m:r>
                    <m:t xml:space="preserve">j</m:t>
                  </m:r>
                </m:sub>
              </m:sSub>
            </m:e>
          </m:nary>
          <m:r>
            <m:t xml:space="preserve">,</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t xml:space="preserve">(</m:t>
          </m:r>
          <m:r>
            <m:t xml:space="preserve">3.2</m:t>
          </m:r>
          <m:r>
            <m:t xml:space="preserve">)</m:t>
          </m:r>
          <m:r>
            <m:rPr>
              <m:lit/>
              <m:nor/>
            </m:rPr>
            <m:t xml:space="preserve"> </m:t>
          </m:r>
        </m:oMath>
      </m:oMathPara>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eastAsia="Verdana" w:cs="Verdana" w:ascii="Verdana" w:hAnsi="Verdana"/>
          <w:sz w:val="22"/>
          <w:szCs w:val="22"/>
        </w:rPr>
        <w:t xml:space="preserve">где </w:t>
      </w:r>
      <w:r>
        <w:rPr>
          <w:rFonts w:eastAsia="Verdana" w:cs="Verdana" w:ascii="Verdana" w:hAnsi="Verdana"/>
          <w:i/>
          <w:sz w:val="22"/>
          <w:szCs w:val="22"/>
        </w:rPr>
        <w:t>j</w:t>
      </w:r>
      <w:r>
        <w:rPr>
          <w:rFonts w:eastAsia="Verdana" w:cs="Verdana" w:ascii="Verdana" w:hAnsi="Verdana"/>
          <w:sz w:val="22"/>
          <w:szCs w:val="22"/>
        </w:rPr>
        <w:t xml:space="preserve"> – порядковый номер типа осветительных приборов (осветительных приборов с одинаковыми техническими характеристиками и одинаковым фондом рабочего времени); </w:t>
      </w:r>
    </w:p>
    <w:p>
      <w:pPr>
        <w:pStyle w:val="Normal"/>
        <w:ind w:firstLine="142"/>
        <w:jc w:val="both"/>
        <w:rPr>
          <w:rFonts w:ascii="Verdana" w:hAnsi="Verdana" w:cs="Verdana"/>
          <w:sz w:val="22"/>
          <w:szCs w:val="22"/>
        </w:rPr>
      </w:pPr>
      <w:r>
        <w:rPr>
          <w:rFonts w:eastAsia="Verdana" w:cs="Verdana" w:ascii="Verdana" w:hAnsi="Verdana"/>
          <w:i/>
          <w:sz w:val="22"/>
          <w:szCs w:val="22"/>
        </w:rPr>
        <w:t>m</w:t>
      </w:r>
      <w:r>
        <w:rPr>
          <w:rFonts w:eastAsia="Verdana" w:cs="Verdana" w:ascii="Verdana" w:hAnsi="Verdana"/>
          <w:sz w:val="22"/>
          <w:szCs w:val="22"/>
        </w:rPr>
        <w:t xml:space="preserve"> – количество типов осветительных приборов (осветительных приборов с одинаковыми техническими характеристиками и одинаковым фондом рабочего времени); </w:t>
      </w:r>
    </w:p>
    <w:p>
      <w:pPr>
        <w:pStyle w:val="Normal"/>
        <w:ind w:firstLine="142"/>
        <w:jc w:val="both"/>
        <w:rPr>
          <w:rFonts w:ascii="Verdana" w:hAnsi="Verdana" w:cs="Verdana"/>
          <w:spacing w:val="-6"/>
          <w:sz w:val="22"/>
          <w:szCs w:val="22"/>
        </w:rPr>
      </w:pPr>
      <w:r>
        <w:rPr/>
      </w:r>
      <m:oMath xmlns:m="http://schemas.openxmlformats.org/officeDocument/2006/math">
        <m:sSub>
          <m:e>
            <m:r>
              <m:t xml:space="preserve">P</m:t>
            </m:r>
          </m:e>
          <m:sub>
            <m:r>
              <m:t xml:space="preserve">j</m:t>
            </m:r>
            <m:r>
              <m:rPr>
                <m:lit/>
                <m:nor/>
              </m:rPr>
              <m:t xml:space="preserve"> </m:t>
            </m:r>
            <m:r>
              <m:t xml:space="preserve">баз</m:t>
            </m:r>
          </m:sub>
        </m:sSub>
      </m:oMath>
      <w:r>
        <w:rPr>
          <w:rFonts w:eastAsia="Verdana" w:cs="Verdana" w:ascii="Verdana" w:hAnsi="Verdana"/>
          <w:spacing w:val="-6"/>
          <w:sz w:val="22"/>
          <w:szCs w:val="22"/>
        </w:rPr>
        <w:t xml:space="preserve"> </w:t>
      </w:r>
      <w:r>
        <w:rPr>
          <w:rFonts w:eastAsia="Verdana" w:cs="Verdana" w:ascii="Verdana" w:hAnsi="Verdana"/>
          <w:sz w:val="22"/>
          <w:szCs w:val="22"/>
        </w:rPr>
        <w:t>–</w:t>
      </w:r>
      <w:r>
        <w:rPr>
          <w:rFonts w:eastAsia="Verdana" w:cs="Verdana" w:ascii="Verdana" w:hAnsi="Verdana"/>
          <w:spacing w:val="-6"/>
          <w:sz w:val="22"/>
          <w:szCs w:val="22"/>
        </w:rPr>
        <w:t xml:space="preserve"> </w:t>
      </w:r>
      <w:r>
        <w:rPr>
          <w:rFonts w:eastAsia="Verdana" w:cs="Verdana" w:ascii="Verdana" w:hAnsi="Verdana"/>
          <w:spacing w:val="-6"/>
          <w:sz w:val="22"/>
          <w:szCs w:val="22"/>
        </w:rPr>
        <w:t xml:space="preserve">суммарная мощность </w:t>
      </w:r>
      <w:r>
        <w:rPr>
          <w:rFonts w:eastAsia="Verdana" w:cs="Verdana" w:ascii="Verdana" w:hAnsi="Verdana"/>
          <w:sz w:val="22"/>
          <w:szCs w:val="22"/>
        </w:rPr>
        <w:t>осветительных</w:t>
      </w:r>
      <w:r>
        <w:rPr>
          <w:rFonts w:eastAsia="Verdana" w:cs="Verdana" w:ascii="Verdana" w:hAnsi="Verdana"/>
          <w:spacing w:val="-6"/>
          <w:sz w:val="22"/>
          <w:szCs w:val="22"/>
        </w:rPr>
        <w:t xml:space="preserve"> приборов </w:t>
      </w:r>
      <w:r>
        <w:rPr>
          <w:rFonts w:eastAsia="Verdana" w:cs="Verdana" w:ascii="Verdana" w:hAnsi="Verdana"/>
          <w:i/>
          <w:spacing w:val="-6"/>
          <w:sz w:val="22"/>
          <w:szCs w:val="22"/>
        </w:rPr>
        <w:t>j</w:t>
      </w:r>
      <w:r>
        <w:rPr>
          <w:rFonts w:eastAsia="Verdana" w:cs="Verdana" w:ascii="Verdana" w:hAnsi="Verdana"/>
          <w:spacing w:val="-6"/>
          <w:sz w:val="22"/>
          <w:szCs w:val="22"/>
        </w:rPr>
        <w:t xml:space="preserve">-го типа в помещениях </w:t>
      </w:r>
      <w:r>
        <w:rPr>
          <w:rFonts w:eastAsia="Verdana" w:cs="Verdana" w:ascii="Verdana" w:hAnsi="Verdana"/>
          <w:i/>
          <w:spacing w:val="-6"/>
          <w:sz w:val="22"/>
          <w:szCs w:val="22"/>
        </w:rPr>
        <w:t>i</w:t>
      </w:r>
      <w:r>
        <w:rPr>
          <w:rFonts w:eastAsia="Verdana" w:cs="Verdana" w:ascii="Verdana" w:hAnsi="Verdana"/>
          <w:spacing w:val="-6"/>
          <w:sz w:val="22"/>
          <w:szCs w:val="22"/>
        </w:rPr>
        <w:t>-й категории, кВт;</w:t>
      </w:r>
    </w:p>
    <w:p>
      <w:pPr>
        <w:pStyle w:val="Normal"/>
        <w:ind w:firstLine="142"/>
        <w:jc w:val="both"/>
        <w:rPr>
          <w:rFonts w:ascii="Verdana" w:hAnsi="Verdana" w:cs="Verdana"/>
          <w:sz w:val="22"/>
          <w:szCs w:val="22"/>
        </w:rPr>
      </w:pPr>
      <w:r>
        <w:rPr/>
      </w:r>
      <m:oMath xmlns:m="http://schemas.openxmlformats.org/officeDocument/2006/math">
        <m:sSub>
          <m:e>
            <m:r>
              <m:t xml:space="preserve">T</m:t>
            </m:r>
          </m:e>
          <m:sub>
            <m:r>
              <m:t xml:space="preserve">j</m:t>
            </m:r>
          </m:sub>
        </m:sSub>
      </m:oMath>
      <w:r>
        <w:rPr>
          <w:rFonts w:eastAsia="Verdana" w:cs="Verdana" w:ascii="Verdana" w:hAnsi="Verdana"/>
          <w:sz w:val="22"/>
          <w:szCs w:val="22"/>
        </w:rPr>
        <w:t xml:space="preserve"> – </w:t>
      </w:r>
      <w:r>
        <w:rPr>
          <w:rFonts w:eastAsia="Verdana" w:cs="Verdana" w:ascii="Verdana" w:hAnsi="Verdana"/>
          <w:sz w:val="22"/>
          <w:szCs w:val="22"/>
        </w:rPr>
        <w:t xml:space="preserve">количество часов работы в сутки осветительных приборов </w:t>
      </w:r>
      <w:r>
        <w:rPr>
          <w:rFonts w:eastAsia="Verdana" w:cs="Verdana" w:ascii="Verdana" w:hAnsi="Verdana"/>
          <w:i/>
          <w:spacing w:val="-6"/>
          <w:sz w:val="22"/>
          <w:szCs w:val="22"/>
        </w:rPr>
        <w:t>j</w:t>
      </w:r>
      <w:r>
        <w:rPr>
          <w:rFonts w:eastAsia="Verdana" w:cs="Verdana" w:ascii="Verdana" w:hAnsi="Verdana"/>
          <w:spacing w:val="-6"/>
          <w:sz w:val="22"/>
          <w:szCs w:val="22"/>
        </w:rPr>
        <w:t xml:space="preserve">-го типа </w:t>
      </w:r>
      <w:r>
        <w:rPr>
          <w:rFonts w:eastAsia="Verdana" w:cs="Verdana" w:ascii="Verdana" w:hAnsi="Verdana"/>
          <w:sz w:val="22"/>
          <w:szCs w:val="22"/>
        </w:rPr>
        <w:t xml:space="preserve">в помещении/объекте </w:t>
      </w:r>
      <w:r>
        <w:rPr>
          <w:rFonts w:eastAsia="Verdana" w:cs="Verdana" w:ascii="Verdana" w:hAnsi="Verdana"/>
          <w:i/>
          <w:sz w:val="22"/>
          <w:szCs w:val="22"/>
          <w:lang w:val="en-US"/>
        </w:rPr>
        <w:t>i</w:t>
      </w:r>
      <w:r>
        <w:rPr>
          <w:rFonts w:eastAsia="Verdana" w:cs="Verdana" w:ascii="Verdana" w:hAnsi="Verdana"/>
          <w:sz w:val="22"/>
          <w:szCs w:val="22"/>
        </w:rPr>
        <w:t>-й категории, ч;</w:t>
      </w:r>
    </w:p>
    <w:p>
      <w:pPr>
        <w:pStyle w:val="Normal"/>
        <w:spacing w:before="120" w:after="0"/>
        <w:ind w:firstLine="142"/>
        <w:jc w:val="both"/>
        <w:rPr>
          <w:rFonts w:ascii="Verdana" w:hAnsi="Verdana" w:eastAsia="Verdana" w:cs="Verdana"/>
          <w:sz w:val="22"/>
          <w:szCs w:val="22"/>
        </w:rPr>
      </w:pPr>
      <w:r>
        <w:rPr>
          <w:rFonts w:eastAsia="Verdana" w:cs="Verdana" w:ascii="Verdana" w:hAnsi="Verdana"/>
          <w:sz w:val="22"/>
          <w:szCs w:val="22"/>
        </w:rPr>
        <w:t>2.5 Время работы осветительной установки для каждого типа осветительных приборов в сутки определяется на основании фонда рабочего времени, который приведен в Таблице 2 Технического задания:</w:t>
      </w:r>
    </w:p>
    <w:p>
      <w:pPr>
        <w:pStyle w:val="Normal"/>
        <w:spacing w:before="120" w:after="0"/>
        <w:ind w:firstLine="142"/>
        <w:jc w:val="both"/>
        <w:rPr>
          <w:rFonts w:ascii="Verdana" w:hAnsi="Verdana" w:cs="Verdana"/>
          <w:sz w:val="22"/>
          <w:szCs w:val="22"/>
        </w:rPr>
      </w:pPr>
      <w:r>
        <w:rPr>
          <w:rFonts w:cs="Verdana" w:ascii="Verdana" w:hAnsi="Verdana"/>
          <w:sz w:val="22"/>
          <w:szCs w:val="22"/>
        </w:rPr>
      </w:r>
    </w:p>
    <w:p>
      <w:pPr>
        <w:pStyle w:val="Normal"/>
        <w:spacing w:before="0" w:after="120"/>
        <w:ind w:firstLine="142"/>
        <w:jc w:val="end"/>
        <w:rPr>
          <w:rFonts w:ascii="Verdana" w:hAnsi="Verdana" w:cs="Verdana"/>
          <w:sz w:val="22"/>
          <w:szCs w:val="22"/>
        </w:rPr>
      </w:pPr>
      <w:r>
        <w:rPr/>
      </w:r>
      <m:oMathPara xmlns:m="http://schemas.openxmlformats.org/officeDocument/2006/math">
        <m:oMathParaPr>
          <m:jc m:val="right"/>
        </m:oMathParaPr>
        <m:oMath>
          <m:sSub>
            <m:e>
              <m:r>
                <m:t xml:space="preserve">T</m:t>
              </m:r>
            </m:e>
            <m:sub>
              <m:r>
                <m:t xml:space="preserve">j</m:t>
              </m:r>
            </m:sub>
          </m:sSub>
          <m:r>
            <m:rPr>
              <m:lit/>
              <m:nor/>
            </m:rPr>
            <m:t xml:space="preserve">=</m:t>
          </m:r>
          <m:f>
            <m:num>
              <m:sSub>
                <m:e>
                  <m:r>
                    <m:t xml:space="preserve">Ф</m:t>
                  </m:r>
                </m:e>
                <m:sub>
                  <m:r>
                    <m:t xml:space="preserve">j</m:t>
                  </m:r>
                </m:sub>
              </m:sSub>
            </m:num>
            <m:den>
              <m:sSub>
                <m:e>
                  <m:r>
                    <m:t xml:space="preserve">N</m:t>
                  </m:r>
                </m:e>
                <m:sub>
                  <m:r>
                    <m:t xml:space="preserve">г</m:t>
                  </m:r>
                </m:sub>
              </m:sSub>
            </m:den>
          </m:f>
          <m:r>
            <m:t xml:space="preserve">,</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t xml:space="preserve">(</m:t>
          </m:r>
          <m:r>
            <m:t xml:space="preserve">3.3</m:t>
          </m:r>
          <m:r>
            <m:t xml:space="preserve">)</m:t>
          </m:r>
        </m:oMath>
      </m:oMathPara>
    </w:p>
    <w:p>
      <w:pPr>
        <w:pStyle w:val="Normal"/>
        <w:spacing w:before="0" w:after="120"/>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eastAsia="Verdana" w:cs="Verdana" w:ascii="Verdana" w:hAnsi="Verdana"/>
          <w:sz w:val="22"/>
          <w:szCs w:val="22"/>
        </w:rPr>
        <w:t xml:space="preserve">где </w:t>
      </w:r>
      <w:r>
        <w:rPr/>
      </w:r>
      <m:oMath xmlns:m="http://schemas.openxmlformats.org/officeDocument/2006/math">
        <m:sSub>
          <m:e>
            <m:r>
              <m:t xml:space="preserve">Ф</m:t>
            </m:r>
          </m:e>
          <m:sub>
            <m:r>
              <m:t xml:space="preserve">j</m:t>
            </m:r>
          </m:sub>
        </m:sSub>
      </m:oMath>
      <w:r>
        <w:rPr>
          <w:rFonts w:eastAsia="Verdana" w:cs="Verdana" w:ascii="Verdana" w:hAnsi="Verdana"/>
          <w:sz w:val="22"/>
          <w:szCs w:val="22"/>
        </w:rPr>
        <w:t xml:space="preserve"> - фонд рабочего времени для осветительных приборов j-го типа в помещении i-й категории, ч;</w:t>
      </w:r>
    </w:p>
    <w:p>
      <w:pPr>
        <w:pStyle w:val="Normal"/>
        <w:ind w:firstLine="142"/>
        <w:jc w:val="both"/>
        <w:rPr>
          <w:rFonts w:ascii="Verdana" w:hAnsi="Verdana" w:cs="Verdana"/>
          <w:sz w:val="22"/>
          <w:szCs w:val="22"/>
        </w:rPr>
      </w:pPr>
      <w:r>
        <w:rPr/>
      </w:r>
      <m:oMath xmlns:m="http://schemas.openxmlformats.org/officeDocument/2006/math">
        <m:sSub>
          <m:e>
            <m:r>
              <m:t xml:space="preserve">N</m:t>
            </m:r>
          </m:e>
          <m:sub>
            <m:r>
              <m:t xml:space="preserve">г</m:t>
            </m:r>
          </m:sub>
        </m:sSub>
      </m:oMath>
      <w:r>
        <w:rPr>
          <w:rFonts w:eastAsia="Verdana" w:cs="Verdana" w:ascii="Verdana" w:hAnsi="Verdana"/>
          <w:sz w:val="22"/>
          <w:szCs w:val="22"/>
        </w:rPr>
        <w:t xml:space="preserve"> – </w:t>
      </w:r>
      <w:r>
        <w:rPr>
          <w:rFonts w:eastAsia="Verdana" w:cs="Verdana" w:ascii="Verdana" w:hAnsi="Verdana"/>
          <w:sz w:val="22"/>
          <w:szCs w:val="22"/>
        </w:rPr>
        <w:t>количество суток в году.</w:t>
      </w:r>
    </w:p>
    <w:p>
      <w:pPr>
        <w:pStyle w:val="Normal"/>
        <w:spacing w:before="120" w:after="0"/>
        <w:ind w:firstLine="142"/>
        <w:jc w:val="both"/>
        <w:rPr>
          <w:rFonts w:ascii="Verdana" w:hAnsi="Verdana" w:cs="Verdana"/>
          <w:sz w:val="22"/>
          <w:szCs w:val="22"/>
        </w:rPr>
      </w:pPr>
      <w:r>
        <w:rPr>
          <w:rFonts w:eastAsia="Verdana" w:cs="Verdana" w:ascii="Verdana" w:hAnsi="Verdana"/>
          <w:sz w:val="22"/>
          <w:szCs w:val="22"/>
        </w:rPr>
        <w:t xml:space="preserve">2.6 Суммарная мощность осветительных приборов </w:t>
      </w:r>
      <w:r>
        <w:rPr>
          <w:rFonts w:eastAsia="Verdana" w:cs="Verdana" w:ascii="Verdana" w:hAnsi="Verdana"/>
          <w:i/>
          <w:sz w:val="22"/>
          <w:szCs w:val="22"/>
        </w:rPr>
        <w:t>j</w:t>
      </w:r>
      <w:r>
        <w:rPr>
          <w:rFonts w:eastAsia="Verdana" w:cs="Verdana" w:ascii="Verdana" w:hAnsi="Verdana"/>
          <w:sz w:val="22"/>
          <w:szCs w:val="22"/>
        </w:rPr>
        <w:t>-го типа (</w:t>
      </w:r>
      <w:r>
        <w:rPr/>
      </w:r>
      <m:oMath xmlns:m="http://schemas.openxmlformats.org/officeDocument/2006/math">
        <m:sSub>
          <m:e>
            <m:r>
              <m:t xml:space="preserve">P</m:t>
            </m:r>
          </m:e>
          <m:sub>
            <m:r>
              <m:t xml:space="preserve">j</m:t>
            </m:r>
            <m:r>
              <m:rPr>
                <m:lit/>
                <m:nor/>
              </m:rPr>
              <m:t xml:space="preserve"> </m:t>
            </m:r>
            <m:r>
              <m:t xml:space="preserve">баз</m:t>
            </m:r>
          </m:sub>
        </m:sSub>
      </m:oMath>
      <w:r>
        <w:rPr>
          <w:rFonts w:eastAsia="Verdana" w:cs="Verdana" w:ascii="Verdana" w:hAnsi="Verdana"/>
          <w:sz w:val="22"/>
          <w:szCs w:val="22"/>
        </w:rPr>
        <w:t xml:space="preserve">) в помещениях/объектах </w:t>
      </w:r>
      <w:r>
        <w:rPr>
          <w:rFonts w:eastAsia="Verdana" w:cs="Verdana" w:ascii="Verdana" w:hAnsi="Verdana"/>
          <w:i/>
          <w:sz w:val="22"/>
          <w:szCs w:val="22"/>
        </w:rPr>
        <w:t>i</w:t>
      </w:r>
      <w:r>
        <w:rPr>
          <w:rFonts w:eastAsia="Verdana" w:cs="Verdana" w:ascii="Verdana" w:hAnsi="Verdana"/>
          <w:sz w:val="22"/>
          <w:szCs w:val="22"/>
        </w:rPr>
        <w:t>-й категории в базовом периоде определяется по следующей формуле:</w:t>
      </w:r>
    </w:p>
    <w:p>
      <w:pPr>
        <w:pStyle w:val="Normal"/>
        <w:ind w:firstLine="142"/>
        <w:jc w:val="end"/>
        <w:rPr>
          <w:rFonts w:ascii="Verdana" w:hAnsi="Verdana" w:cs="Verdana"/>
          <w:sz w:val="22"/>
          <w:szCs w:val="22"/>
        </w:rPr>
      </w:pPr>
      <w:r>
        <w:rPr/>
      </w:r>
      <m:oMathPara xmlns:m="http://schemas.openxmlformats.org/officeDocument/2006/math">
        <m:oMathParaPr>
          <m:jc m:val="right"/>
        </m:oMathParaPr>
        <m:oMath>
          <m:sSub>
            <m:e>
              <m:r>
                <m:t xml:space="preserve">P</m:t>
              </m:r>
            </m:e>
            <m:sub>
              <m:r>
                <m:t xml:space="preserve">j</m:t>
              </m:r>
              <m:r>
                <m:rPr>
                  <m:lit/>
                  <m:nor/>
                </m:rPr>
                <m:t xml:space="preserve"> </m:t>
              </m:r>
              <m:r>
                <m:t xml:space="preserve">баз</m:t>
              </m:r>
            </m:sub>
          </m:sSub>
          <m:r>
            <m:rPr>
              <m:lit/>
              <m:nor/>
            </m:rPr>
            <m:t xml:space="preserve">=</m:t>
          </m:r>
          <m:sSub>
            <m:e>
              <m:r>
                <m:t xml:space="preserve">P</m:t>
              </m:r>
            </m:e>
            <m:sub>
              <m:r>
                <m:t xml:space="preserve">j</m:t>
              </m:r>
              <m:r>
                <m:rPr>
                  <m:lit/>
                  <m:nor/>
                </m:rPr>
                <m:t xml:space="preserve"> </m:t>
              </m:r>
              <m:r>
                <m:t xml:space="preserve">ном</m:t>
              </m:r>
            </m:sub>
          </m:sSub>
          <m:r>
            <m:t xml:space="preserve">∙</m:t>
          </m:r>
          <m:sSub>
            <m:e>
              <m:r>
                <m:t xml:space="preserve">k</m:t>
              </m:r>
            </m:e>
            <m:sub>
              <m:r>
                <m:t xml:space="preserve">п</m:t>
              </m:r>
              <m:r>
                <m:t xml:space="preserve">j</m:t>
              </m:r>
            </m:sub>
          </m:sSub>
          <m:r>
            <m:t xml:space="preserve">∙</m:t>
          </m:r>
          <m:r>
            <m:t xml:space="preserve">z</m:t>
          </m:r>
          <m:r>
            <m:t xml:space="preserve">,</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t xml:space="preserve">(</m:t>
          </m:r>
          <m:r>
            <m:t xml:space="preserve">3.4</m:t>
          </m:r>
          <m:r>
            <m:t xml:space="preserve">)</m:t>
          </m:r>
          <m:r>
            <m:rPr>
              <m:lit/>
              <m:nor/>
            </m:rPr>
            <m:t xml:space="preserve"> </m:t>
          </m:r>
        </m:oMath>
      </m:oMathPara>
    </w:p>
    <w:p>
      <w:pPr>
        <w:pStyle w:val="Normal"/>
        <w:ind w:firstLine="142"/>
        <w:jc w:val="both"/>
        <w:rPr>
          <w:rFonts w:ascii="Verdana" w:hAnsi="Verdana" w:cs="Verdana"/>
          <w:sz w:val="22"/>
          <w:szCs w:val="22"/>
        </w:rPr>
      </w:pPr>
      <w:r>
        <w:rPr>
          <w:rFonts w:eastAsia="Verdana" w:cs="Verdana" w:ascii="Verdana" w:hAnsi="Verdana"/>
          <w:sz w:val="22"/>
          <w:szCs w:val="22"/>
        </w:rPr>
        <w:t xml:space="preserve">где </w:t>
      </w:r>
      <w:r>
        <w:rPr>
          <w:rFonts w:eastAsia="Verdana" w:cs="Verdana" w:ascii="Verdana" w:hAnsi="Verdana"/>
          <w:i/>
          <w:sz w:val="22"/>
          <w:szCs w:val="22"/>
        </w:rPr>
        <w:t>j</w:t>
      </w:r>
      <w:r>
        <w:rPr>
          <w:rFonts w:eastAsia="Verdana" w:cs="Verdana" w:ascii="Verdana" w:hAnsi="Verdana"/>
          <w:sz w:val="22"/>
          <w:szCs w:val="22"/>
        </w:rPr>
        <w:t xml:space="preserve"> – порядковый номер типа осветительных приборов (осветительных приборов с одинаковыми техническими характеристиками и одинаковым фондом рабочего времени); </w:t>
      </w:r>
    </w:p>
    <w:p>
      <w:pPr>
        <w:pStyle w:val="Normal"/>
        <w:ind w:firstLine="142"/>
        <w:jc w:val="both"/>
        <w:rPr>
          <w:rFonts w:ascii="Verdana" w:hAnsi="Verdana" w:cs="Verdana"/>
          <w:sz w:val="22"/>
          <w:szCs w:val="22"/>
        </w:rPr>
      </w:pPr>
      <w:r>
        <w:rPr>
          <w:rFonts w:eastAsia="Verdana" w:cs="Verdana" w:ascii="Verdana" w:hAnsi="Verdana"/>
          <w:i/>
          <w:sz w:val="22"/>
          <w:szCs w:val="22"/>
          <w:lang w:val="en-US"/>
        </w:rPr>
        <w:t>z</w:t>
      </w:r>
      <w:r>
        <w:rPr>
          <w:rFonts w:eastAsia="Verdana" w:cs="Verdana" w:ascii="Verdana" w:hAnsi="Verdana"/>
          <w:sz w:val="22"/>
          <w:szCs w:val="22"/>
        </w:rPr>
        <w:t xml:space="preserve"> – количество осветительных приборов с одинаковыми техническими характеристиками и одинаковым фондом рабочего времени (Таблица 2 Технического задания); </w:t>
      </w:r>
    </w:p>
    <w:p>
      <w:pPr>
        <w:pStyle w:val="Normal"/>
        <w:ind w:firstLine="142"/>
        <w:jc w:val="both"/>
        <w:rPr>
          <w:rFonts w:ascii="Verdana" w:hAnsi="Verdana" w:cs="Verdana"/>
          <w:spacing w:val="-6"/>
          <w:sz w:val="22"/>
          <w:szCs w:val="22"/>
        </w:rPr>
      </w:pPr>
      <w:r>
        <w:rPr/>
      </w:r>
      <m:oMath xmlns:m="http://schemas.openxmlformats.org/officeDocument/2006/math">
        <m:sSub>
          <m:e>
            <m:r>
              <m:t xml:space="preserve">P</m:t>
            </m:r>
          </m:e>
          <m:sub>
            <m:r>
              <m:t xml:space="preserve">j</m:t>
            </m:r>
            <m:r>
              <m:rPr>
                <m:lit/>
                <m:nor/>
              </m:rPr>
              <m:t xml:space="preserve"> </m:t>
            </m:r>
            <m:r>
              <m:t xml:space="preserve">ном</m:t>
            </m:r>
          </m:sub>
        </m:sSub>
      </m:oMath>
      <w:r>
        <w:rPr>
          <w:rFonts w:eastAsia="Verdana" w:cs="Verdana" w:ascii="Verdana" w:hAnsi="Verdana"/>
          <w:spacing w:val="-6"/>
          <w:sz w:val="22"/>
          <w:szCs w:val="22"/>
        </w:rPr>
        <w:t xml:space="preserve"> </w:t>
      </w:r>
      <w:r>
        <w:rPr>
          <w:rFonts w:eastAsia="Verdana" w:cs="Verdana" w:ascii="Verdana" w:hAnsi="Verdana"/>
          <w:sz w:val="22"/>
          <w:szCs w:val="22"/>
        </w:rPr>
        <w:t>–</w:t>
      </w:r>
      <w:r>
        <w:rPr>
          <w:rFonts w:eastAsia="Verdana" w:cs="Verdana" w:ascii="Verdana" w:hAnsi="Verdana"/>
          <w:spacing w:val="-6"/>
          <w:sz w:val="22"/>
          <w:szCs w:val="22"/>
        </w:rPr>
        <w:t xml:space="preserve"> </w:t>
      </w:r>
      <w:r>
        <w:rPr>
          <w:rFonts w:eastAsia="Verdana" w:cs="Verdana" w:ascii="Verdana" w:hAnsi="Verdana"/>
          <w:spacing w:val="-6"/>
          <w:sz w:val="22"/>
          <w:szCs w:val="22"/>
        </w:rPr>
        <w:t xml:space="preserve">номинальная мощность </w:t>
      </w:r>
      <w:r>
        <w:rPr>
          <w:rFonts w:eastAsia="Verdana" w:cs="Verdana" w:ascii="Verdana" w:hAnsi="Verdana"/>
          <w:sz w:val="22"/>
          <w:szCs w:val="22"/>
        </w:rPr>
        <w:t>осветительных</w:t>
      </w:r>
      <w:r>
        <w:rPr>
          <w:rFonts w:eastAsia="Verdana" w:cs="Verdana" w:ascii="Verdana" w:hAnsi="Verdana"/>
          <w:spacing w:val="-6"/>
          <w:sz w:val="22"/>
          <w:szCs w:val="22"/>
        </w:rPr>
        <w:t xml:space="preserve"> приборов </w:t>
      </w:r>
      <w:r>
        <w:rPr>
          <w:rFonts w:eastAsia="Verdana" w:cs="Verdana" w:ascii="Verdana" w:hAnsi="Verdana"/>
          <w:i/>
          <w:spacing w:val="-6"/>
          <w:sz w:val="22"/>
          <w:szCs w:val="22"/>
        </w:rPr>
        <w:t>j</w:t>
      </w:r>
      <w:r>
        <w:rPr>
          <w:rFonts w:eastAsia="Verdana" w:cs="Verdana" w:ascii="Verdana" w:hAnsi="Verdana"/>
          <w:spacing w:val="-6"/>
          <w:sz w:val="22"/>
          <w:szCs w:val="22"/>
        </w:rPr>
        <w:t xml:space="preserve">-го типа в помещениях </w:t>
      </w:r>
      <w:r>
        <w:rPr>
          <w:rFonts w:eastAsia="Verdana" w:cs="Verdana" w:ascii="Verdana" w:hAnsi="Verdana"/>
          <w:i/>
          <w:spacing w:val="-6"/>
          <w:sz w:val="22"/>
          <w:szCs w:val="22"/>
        </w:rPr>
        <w:t>i</w:t>
      </w:r>
      <w:r>
        <w:rPr>
          <w:rFonts w:eastAsia="Verdana" w:cs="Verdana" w:ascii="Verdana" w:hAnsi="Verdana"/>
          <w:spacing w:val="-6"/>
          <w:sz w:val="22"/>
          <w:szCs w:val="22"/>
        </w:rPr>
        <w:t xml:space="preserve">-й категории, кВт </w:t>
      </w:r>
      <w:r>
        <w:rPr>
          <w:rFonts w:eastAsia="Verdana" w:cs="Verdana" w:ascii="Verdana" w:hAnsi="Verdana"/>
          <w:sz w:val="22"/>
          <w:szCs w:val="22"/>
        </w:rPr>
        <w:t>(Таблица 2 Технического задания)</w:t>
      </w:r>
      <w:r>
        <w:rPr>
          <w:rFonts w:eastAsia="Verdana" w:cs="Verdana" w:ascii="Verdana" w:hAnsi="Verdana"/>
          <w:spacing w:val="-6"/>
          <w:sz w:val="22"/>
          <w:szCs w:val="22"/>
        </w:rPr>
        <w:t>;</w:t>
      </w:r>
    </w:p>
    <w:p>
      <w:pPr>
        <w:pStyle w:val="Normal"/>
        <w:ind w:firstLine="142"/>
        <w:jc w:val="both"/>
        <w:rPr>
          <w:rFonts w:ascii="Verdana" w:hAnsi="Verdana" w:cs="Verdana"/>
          <w:spacing w:val="-6"/>
          <w:sz w:val="22"/>
          <w:szCs w:val="22"/>
        </w:rPr>
      </w:pPr>
      <w:r>
        <w:rPr/>
      </w:r>
      <m:oMath xmlns:m="http://schemas.openxmlformats.org/officeDocument/2006/math">
        <m:sSub>
          <m:e>
            <m:r>
              <m:t xml:space="preserve">k</m:t>
            </m:r>
          </m:e>
          <m:sub>
            <m:r>
              <m:t xml:space="preserve">п</m:t>
            </m:r>
            <m:r>
              <m:t xml:space="preserve">j</m:t>
            </m:r>
          </m:sub>
        </m:sSub>
      </m:oMath>
      <w:r>
        <w:rPr>
          <w:rFonts w:eastAsia="Verdana" w:cs="Verdana" w:ascii="Verdana" w:hAnsi="Verdana"/>
          <w:spacing w:val="-6"/>
          <w:sz w:val="22"/>
          <w:szCs w:val="22"/>
        </w:rPr>
        <w:t xml:space="preserve"> </w:t>
      </w:r>
      <w:r>
        <w:rPr>
          <w:rFonts w:eastAsia="Verdana" w:cs="Verdana" w:ascii="Verdana" w:hAnsi="Verdana"/>
          <w:sz w:val="22"/>
          <w:szCs w:val="22"/>
        </w:rPr>
        <w:t xml:space="preserve">– </w:t>
      </w:r>
      <w:r>
        <w:rPr>
          <w:rFonts w:eastAsia="Verdana" w:cs="Verdana" w:ascii="Verdana" w:hAnsi="Verdana"/>
          <w:sz w:val="22"/>
          <w:szCs w:val="22"/>
        </w:rPr>
        <w:t xml:space="preserve">коэффициент, учитывающий потери энергии в ПРА и сети для осветительных приборов </w:t>
      </w:r>
      <w:r>
        <w:rPr>
          <w:rFonts w:eastAsia="Verdana" w:cs="Verdana" w:ascii="Verdana" w:hAnsi="Verdana"/>
          <w:i/>
          <w:spacing w:val="-6"/>
          <w:sz w:val="22"/>
          <w:szCs w:val="22"/>
        </w:rPr>
        <w:t>j</w:t>
      </w:r>
      <w:r>
        <w:rPr>
          <w:rFonts w:eastAsia="Verdana" w:cs="Verdana" w:ascii="Verdana" w:hAnsi="Verdana"/>
          <w:spacing w:val="-6"/>
          <w:sz w:val="22"/>
          <w:szCs w:val="22"/>
        </w:rPr>
        <w:t xml:space="preserve">-го типа в помещениях </w:t>
      </w:r>
      <w:r>
        <w:rPr>
          <w:rFonts w:eastAsia="Verdana" w:cs="Verdana" w:ascii="Verdana" w:hAnsi="Verdana"/>
          <w:i/>
          <w:spacing w:val="-6"/>
          <w:sz w:val="22"/>
          <w:szCs w:val="22"/>
        </w:rPr>
        <w:t>i</w:t>
      </w:r>
      <w:r>
        <w:rPr>
          <w:rFonts w:eastAsia="Verdana" w:cs="Verdana" w:ascii="Verdana" w:hAnsi="Verdana"/>
          <w:spacing w:val="-6"/>
          <w:sz w:val="22"/>
          <w:szCs w:val="22"/>
        </w:rPr>
        <w:t>-й категории (</w:t>
      </w:r>
      <w:r>
        <w:rPr>
          <w:rFonts w:eastAsia="Verdana" w:cs="Verdana" w:ascii="Verdana" w:hAnsi="Verdana"/>
          <w:sz w:val="22"/>
          <w:szCs w:val="22"/>
        </w:rPr>
        <w:t>Таблица 2 Технического задания</w:t>
      </w:r>
      <w:r>
        <w:rPr>
          <w:rFonts w:eastAsia="Verdana" w:cs="Verdana" w:ascii="Verdana" w:hAnsi="Verdana"/>
          <w:spacing w:val="-6"/>
          <w:sz w:val="22"/>
          <w:szCs w:val="22"/>
        </w:rPr>
        <w:t>).</w:t>
      </w:r>
    </w:p>
    <w:p>
      <w:pPr>
        <w:pStyle w:val="Normal"/>
        <w:spacing w:before="120" w:after="0"/>
        <w:ind w:firstLine="142"/>
        <w:jc w:val="both"/>
        <w:rPr>
          <w:rFonts w:ascii="Verdana" w:hAnsi="Verdana" w:cs="Verdana"/>
          <w:sz w:val="22"/>
          <w:szCs w:val="22"/>
        </w:rPr>
      </w:pPr>
      <w:r>
        <w:rPr>
          <w:rFonts w:eastAsia="Verdana" w:cs="Verdana" w:ascii="Verdana" w:hAnsi="Verdana"/>
          <w:sz w:val="22"/>
          <w:szCs w:val="22"/>
        </w:rPr>
        <w:t>2.7 Объем потребления электрической энергии (</w:t>
      </w:r>
      <w:r>
        <w:rPr/>
      </w:r>
      <m:oMath xmlns:m="http://schemas.openxmlformats.org/officeDocument/2006/math">
        <m:sSub>
          <m:e>
            <m:r>
              <m:t xml:space="preserve">W</m:t>
            </m:r>
          </m:e>
          <m:sub>
            <m:r>
              <m:t xml:space="preserve">i</m:t>
            </m:r>
            <m:r>
              <m:rPr>
                <m:lit/>
                <m:nor/>
              </m:rPr>
              <m:t xml:space="preserve"> </m:t>
            </m:r>
            <m:r>
              <m:t xml:space="preserve">контр</m:t>
            </m:r>
          </m:sub>
        </m:sSub>
      </m:oMath>
      <w:r>
        <w:rPr>
          <w:rFonts w:eastAsia="Verdana" w:cs="Verdana" w:ascii="Verdana" w:hAnsi="Verdana"/>
          <w:sz w:val="22"/>
          <w:szCs w:val="22"/>
        </w:rPr>
        <w:t xml:space="preserve">), в помещениях/объектах </w:t>
      </w:r>
      <w:r>
        <w:rPr>
          <w:rFonts w:eastAsia="Verdana" w:cs="Verdana" w:ascii="Verdana" w:hAnsi="Verdana"/>
          <w:i/>
          <w:sz w:val="22"/>
          <w:szCs w:val="22"/>
        </w:rPr>
        <w:t>i</w:t>
      </w:r>
      <w:r>
        <w:rPr>
          <w:rFonts w:eastAsia="Verdana" w:cs="Verdana" w:ascii="Verdana" w:hAnsi="Verdana"/>
          <w:sz w:val="22"/>
          <w:szCs w:val="22"/>
        </w:rPr>
        <w:t>-й категории в контрольном периоде определяется по следующей формуле:</w:t>
      </w:r>
    </w:p>
    <w:p>
      <w:pPr>
        <w:pStyle w:val="Normal"/>
        <w:ind w:firstLine="142"/>
        <w:jc w:val="end"/>
        <w:rPr>
          <w:rFonts w:ascii="Verdana" w:hAnsi="Verdana" w:cs="Verdana"/>
          <w:sz w:val="22"/>
          <w:szCs w:val="22"/>
        </w:rPr>
      </w:pPr>
      <w:r>
        <w:rPr/>
      </w:r>
      <m:oMathPara xmlns:m="http://schemas.openxmlformats.org/officeDocument/2006/math">
        <m:oMathParaPr>
          <m:jc m:val="right"/>
        </m:oMathParaPr>
        <m:oMath>
          <m:sSub>
            <m:e>
              <m:r>
                <m:t xml:space="preserve">W</m:t>
              </m:r>
            </m:e>
            <m:sub>
              <m:r>
                <m:t xml:space="preserve">i</m:t>
              </m:r>
              <m:r>
                <m:rPr>
                  <m:lit/>
                  <m:nor/>
                </m:rPr>
                <m:t xml:space="preserve"> </m:t>
              </m:r>
              <m:r>
                <m:t xml:space="preserve">контр</m:t>
              </m:r>
            </m:sub>
          </m:sSub>
          <m:r>
            <m:rPr>
              <m:lit/>
              <m:nor/>
            </m:rPr>
            <m:t xml:space="preserve">=</m:t>
          </m:r>
          <m:nary>
            <m:naryPr>
              <m:chr m:val="∑"/>
            </m:naryPr>
            <m:sub>
              <m:r>
                <m:t xml:space="preserve">j</m:t>
              </m:r>
              <m:r>
                <m:rPr>
                  <m:lit/>
                  <m:nor/>
                </m:rPr>
                <m:t xml:space="preserve">=</m:t>
              </m:r>
              <m:r>
                <m:t xml:space="preserve">1</m:t>
              </m:r>
            </m:sub>
            <m:sup>
              <m:r>
                <m:t xml:space="preserve">m</m:t>
              </m:r>
            </m:sup>
            <m:e>
              <m:sSub>
                <m:e>
                  <m:r>
                    <m:t xml:space="preserve">P</m:t>
                  </m:r>
                </m:e>
                <m:sub>
                  <m:r>
                    <m:t xml:space="preserve">j</m:t>
                  </m:r>
                  <m:r>
                    <m:rPr>
                      <m:lit/>
                      <m:nor/>
                    </m:rPr>
                    <m:t xml:space="preserve"> </m:t>
                  </m:r>
                  <m:r>
                    <m:t xml:space="preserve">контр</m:t>
                  </m:r>
                </m:sub>
              </m:sSub>
              <m:r>
                <m:t xml:space="preserve">∙</m:t>
              </m:r>
              <m:sSub>
                <m:e>
                  <m:r>
                    <m:t xml:space="preserve">T</m:t>
                  </m:r>
                </m:e>
                <m:sub>
                  <m:r>
                    <m:t xml:space="preserve">j</m:t>
                  </m:r>
                </m:sub>
              </m:sSub>
            </m:e>
          </m:nary>
          <m:r>
            <m:t xml:space="preserve">,</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t xml:space="preserve">(</m:t>
          </m:r>
          <m:r>
            <m:t xml:space="preserve">3.5</m:t>
          </m:r>
          <m:r>
            <m:t xml:space="preserve">)</m:t>
          </m:r>
          <m:r>
            <m:rPr>
              <m:lit/>
              <m:nor/>
            </m:rPr>
            <m:t xml:space="preserve"> </m:t>
          </m:r>
        </m:oMath>
      </m:oMathPara>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eastAsia="Verdana" w:cs="Verdana" w:ascii="Verdana" w:hAnsi="Verdana"/>
          <w:sz w:val="22"/>
          <w:szCs w:val="22"/>
        </w:rPr>
        <w:t xml:space="preserve">где </w:t>
      </w:r>
      <w:r>
        <w:rPr>
          <w:rFonts w:eastAsia="Verdana" w:cs="Verdana" w:ascii="Verdana" w:hAnsi="Verdana"/>
          <w:i/>
          <w:sz w:val="22"/>
          <w:szCs w:val="22"/>
        </w:rPr>
        <w:t>j</w:t>
      </w:r>
      <w:r>
        <w:rPr>
          <w:rFonts w:eastAsia="Verdana" w:cs="Verdana" w:ascii="Verdana" w:hAnsi="Verdana"/>
          <w:sz w:val="22"/>
          <w:szCs w:val="22"/>
        </w:rPr>
        <w:t xml:space="preserve"> – порядковый номер типа осветительных приборов (осветительных приборов с одинаковыми техническими характеристиками и одинаковым фондом рабочего времени); </w:t>
      </w:r>
    </w:p>
    <w:p>
      <w:pPr>
        <w:pStyle w:val="Normal"/>
        <w:ind w:firstLine="142"/>
        <w:jc w:val="both"/>
        <w:rPr>
          <w:rFonts w:ascii="Verdana" w:hAnsi="Verdana" w:cs="Verdana"/>
          <w:sz w:val="22"/>
          <w:szCs w:val="22"/>
        </w:rPr>
      </w:pPr>
      <w:r>
        <w:rPr>
          <w:rFonts w:eastAsia="Verdana" w:cs="Verdana" w:ascii="Verdana" w:hAnsi="Verdana"/>
          <w:i/>
          <w:sz w:val="22"/>
          <w:szCs w:val="22"/>
        </w:rPr>
        <w:t>m</w:t>
      </w:r>
      <w:r>
        <w:rPr>
          <w:rFonts w:eastAsia="Verdana" w:cs="Verdana" w:ascii="Verdana" w:hAnsi="Verdana"/>
          <w:sz w:val="22"/>
          <w:szCs w:val="22"/>
        </w:rPr>
        <w:t xml:space="preserve"> – количество типов осветительных приборов (осветительных приборов с одинаковыми техническими характеристиками и одинаковым фондом рабочего времени); </w:t>
      </w:r>
    </w:p>
    <w:p>
      <w:pPr>
        <w:pStyle w:val="Normal"/>
        <w:ind w:firstLine="142"/>
        <w:jc w:val="both"/>
        <w:rPr>
          <w:rFonts w:ascii="Verdana" w:hAnsi="Verdana" w:cs="Verdana"/>
          <w:spacing w:val="-6"/>
          <w:sz w:val="22"/>
          <w:szCs w:val="22"/>
        </w:rPr>
      </w:pPr>
      <w:r>
        <w:rPr/>
      </w:r>
      <m:oMath xmlns:m="http://schemas.openxmlformats.org/officeDocument/2006/math">
        <m:sSub>
          <m:e>
            <m:r>
              <m:t xml:space="preserve">P</m:t>
            </m:r>
          </m:e>
          <m:sub>
            <m:r>
              <m:t xml:space="preserve">j</m:t>
            </m:r>
            <m:r>
              <m:rPr>
                <m:lit/>
                <m:nor/>
              </m:rPr>
              <m:t xml:space="preserve"> </m:t>
            </m:r>
            <m:r>
              <m:t xml:space="preserve">контр</m:t>
            </m:r>
          </m:sub>
        </m:sSub>
      </m:oMath>
      <w:r>
        <w:rPr>
          <w:rFonts w:eastAsia="Verdana" w:cs="Verdana" w:ascii="Verdana" w:hAnsi="Verdana"/>
          <w:spacing w:val="-6"/>
          <w:sz w:val="22"/>
          <w:szCs w:val="22"/>
        </w:rPr>
        <w:t xml:space="preserve"> </w:t>
      </w:r>
      <w:r>
        <w:rPr>
          <w:rFonts w:eastAsia="Verdana" w:cs="Verdana" w:ascii="Verdana" w:hAnsi="Verdana"/>
          <w:sz w:val="22"/>
          <w:szCs w:val="22"/>
        </w:rPr>
        <w:t>–</w:t>
      </w:r>
      <w:r>
        <w:rPr>
          <w:rFonts w:eastAsia="Verdana" w:cs="Verdana" w:ascii="Verdana" w:hAnsi="Verdana"/>
          <w:spacing w:val="-6"/>
          <w:sz w:val="22"/>
          <w:szCs w:val="22"/>
        </w:rPr>
        <w:t xml:space="preserve"> </w:t>
      </w:r>
      <w:r>
        <w:rPr>
          <w:rFonts w:eastAsia="Verdana" w:cs="Verdana" w:ascii="Verdana" w:hAnsi="Verdana"/>
          <w:spacing w:val="-6"/>
          <w:sz w:val="22"/>
          <w:szCs w:val="22"/>
        </w:rPr>
        <w:t xml:space="preserve">суммарная мощность </w:t>
      </w:r>
      <w:r>
        <w:rPr>
          <w:rFonts w:eastAsia="Verdana" w:cs="Verdana" w:ascii="Verdana" w:hAnsi="Verdana"/>
          <w:sz w:val="22"/>
          <w:szCs w:val="22"/>
        </w:rPr>
        <w:t>осветительных</w:t>
      </w:r>
      <w:r>
        <w:rPr>
          <w:rFonts w:eastAsia="Verdana" w:cs="Verdana" w:ascii="Verdana" w:hAnsi="Verdana"/>
          <w:spacing w:val="-6"/>
          <w:sz w:val="22"/>
          <w:szCs w:val="22"/>
        </w:rPr>
        <w:t xml:space="preserve"> приборов </w:t>
      </w:r>
      <w:r>
        <w:rPr>
          <w:rFonts w:eastAsia="Verdana" w:cs="Verdana" w:ascii="Verdana" w:hAnsi="Verdana"/>
          <w:i/>
          <w:spacing w:val="-6"/>
          <w:sz w:val="22"/>
          <w:szCs w:val="22"/>
        </w:rPr>
        <w:t>j</w:t>
      </w:r>
      <w:r>
        <w:rPr>
          <w:rFonts w:eastAsia="Verdana" w:cs="Verdana" w:ascii="Verdana" w:hAnsi="Verdana"/>
          <w:spacing w:val="-6"/>
          <w:sz w:val="22"/>
          <w:szCs w:val="22"/>
        </w:rPr>
        <w:t xml:space="preserve">-го типа в помещениях </w:t>
      </w:r>
      <w:r>
        <w:rPr>
          <w:rFonts w:eastAsia="Verdana" w:cs="Verdana" w:ascii="Verdana" w:hAnsi="Verdana"/>
          <w:i/>
          <w:spacing w:val="-6"/>
          <w:sz w:val="22"/>
          <w:szCs w:val="22"/>
        </w:rPr>
        <w:t>i</w:t>
      </w:r>
      <w:r>
        <w:rPr>
          <w:rFonts w:eastAsia="Verdana" w:cs="Verdana" w:ascii="Verdana" w:hAnsi="Verdana"/>
          <w:spacing w:val="-6"/>
          <w:sz w:val="22"/>
          <w:szCs w:val="22"/>
        </w:rPr>
        <w:t>-й категории, кВт.</w:t>
      </w:r>
    </w:p>
    <w:p>
      <w:pPr>
        <w:pStyle w:val="Normal"/>
        <w:spacing w:before="120" w:after="0"/>
        <w:ind w:firstLine="142"/>
        <w:jc w:val="both"/>
        <w:rPr>
          <w:rFonts w:ascii="Verdana" w:hAnsi="Verdana" w:eastAsia="Verdana" w:cs="Verdana"/>
          <w:sz w:val="22"/>
          <w:szCs w:val="22"/>
        </w:rPr>
      </w:pPr>
      <w:r>
        <w:rPr>
          <w:rFonts w:eastAsia="Verdana" w:cs="Verdana" w:ascii="Verdana" w:hAnsi="Verdana"/>
          <w:sz w:val="22"/>
          <w:szCs w:val="22"/>
        </w:rPr>
        <w:t xml:space="preserve">2.8 Суммарная мощность осветительных приборов </w:t>
      </w:r>
      <w:r>
        <w:rPr>
          <w:rFonts w:eastAsia="Verdana" w:cs="Verdana" w:ascii="Verdana" w:hAnsi="Verdana"/>
          <w:i/>
          <w:sz w:val="22"/>
          <w:szCs w:val="22"/>
        </w:rPr>
        <w:t>j</w:t>
      </w:r>
      <w:r>
        <w:rPr>
          <w:rFonts w:eastAsia="Verdana" w:cs="Verdana" w:ascii="Verdana" w:hAnsi="Verdana"/>
          <w:sz w:val="22"/>
          <w:szCs w:val="22"/>
        </w:rPr>
        <w:t>-го типа (</w:t>
      </w:r>
      <w:r>
        <w:rPr/>
      </w:r>
      <m:oMath xmlns:m="http://schemas.openxmlformats.org/officeDocument/2006/math">
        <m:sSub>
          <m:e>
            <m:r>
              <m:t xml:space="preserve">P</m:t>
            </m:r>
          </m:e>
          <m:sub>
            <m:r>
              <m:t xml:space="preserve">j</m:t>
            </m:r>
            <m:r>
              <m:rPr>
                <m:lit/>
                <m:nor/>
              </m:rPr>
              <m:t xml:space="preserve"> </m:t>
            </m:r>
            <m:r>
              <m:t xml:space="preserve">контр</m:t>
            </m:r>
          </m:sub>
        </m:sSub>
      </m:oMath>
      <w:r>
        <w:rPr>
          <w:rFonts w:eastAsia="Verdana" w:cs="Verdana" w:ascii="Verdana" w:hAnsi="Verdana"/>
          <w:sz w:val="22"/>
          <w:szCs w:val="22"/>
        </w:rPr>
        <w:t xml:space="preserve">) в помещениях </w:t>
      </w:r>
      <w:r>
        <w:rPr>
          <w:rFonts w:eastAsia="Verdana" w:cs="Verdana" w:ascii="Verdana" w:hAnsi="Verdana"/>
          <w:i/>
          <w:sz w:val="22"/>
          <w:szCs w:val="22"/>
        </w:rPr>
        <w:t>i</w:t>
      </w:r>
      <w:r>
        <w:rPr>
          <w:rFonts w:eastAsia="Verdana" w:cs="Verdana" w:ascii="Verdana" w:hAnsi="Verdana"/>
          <w:sz w:val="22"/>
          <w:szCs w:val="22"/>
        </w:rPr>
        <w:t>-й категории в контрольном периоде определяется по следующей формуле:</w:t>
      </w:r>
    </w:p>
    <w:p>
      <w:pPr>
        <w:pStyle w:val="Normal"/>
        <w:spacing w:before="120" w:after="0"/>
        <w:ind w:firstLine="142"/>
        <w:jc w:val="both"/>
        <w:rPr>
          <w:rFonts w:ascii="Verdana" w:hAnsi="Verdana" w:cs="Verdana"/>
          <w:sz w:val="22"/>
          <w:szCs w:val="22"/>
        </w:rPr>
      </w:pPr>
      <w:r>
        <w:rPr>
          <w:rFonts w:cs="Verdana" w:ascii="Verdana" w:hAnsi="Verdana"/>
          <w:sz w:val="22"/>
          <w:szCs w:val="22"/>
        </w:rPr>
      </w:r>
    </w:p>
    <w:p>
      <w:pPr>
        <w:pStyle w:val="Normal"/>
        <w:ind w:firstLine="142"/>
        <w:jc w:val="end"/>
        <w:rPr>
          <w:rFonts w:ascii="Verdana" w:hAnsi="Verdana" w:cs="Verdana"/>
          <w:sz w:val="22"/>
          <w:szCs w:val="22"/>
        </w:rPr>
      </w:pPr>
      <w:r>
        <w:rPr/>
      </w:r>
      <m:oMathPara xmlns:m="http://schemas.openxmlformats.org/officeDocument/2006/math">
        <m:oMathParaPr>
          <m:jc m:val="right"/>
        </m:oMathParaPr>
        <m:oMath>
          <m:sSub>
            <m:e>
              <m:r>
                <m:t xml:space="preserve">P</m:t>
              </m:r>
            </m:e>
            <m:sub>
              <m:r>
                <m:t xml:space="preserve">j</m:t>
              </m:r>
              <m:r>
                <m:rPr>
                  <m:lit/>
                  <m:nor/>
                </m:rPr>
                <m:t xml:space="preserve"> </m:t>
              </m:r>
              <m:r>
                <m:t xml:space="preserve">контр</m:t>
              </m:r>
            </m:sub>
          </m:sSub>
          <m:r>
            <m:rPr>
              <m:lit/>
              <m:nor/>
            </m:rPr>
            <m:t xml:space="preserve">=</m:t>
          </m:r>
          <m:sSub>
            <m:e>
              <m:r>
                <m:t xml:space="preserve">P</m:t>
              </m:r>
            </m:e>
            <m:sub>
              <m:r>
                <m:t xml:space="preserve">j</m:t>
              </m:r>
              <m:r>
                <m:rPr>
                  <m:lit/>
                  <m:nor/>
                </m:rPr>
                <m:t xml:space="preserve"> </m:t>
              </m:r>
              <m:r>
                <m:t xml:space="preserve">контр</m:t>
              </m:r>
              <m:r>
                <m:rPr>
                  <m:lit/>
                  <m:nor/>
                </m:rPr>
                <m:t xml:space="preserve"> </m:t>
              </m:r>
              <m:r>
                <m:t xml:space="preserve">ср</m:t>
              </m:r>
            </m:sub>
          </m:sSub>
          <m:r>
            <m:t xml:space="preserve">∙</m:t>
          </m:r>
          <m:sSub>
            <m:e>
              <m:r>
                <m:t xml:space="preserve">N</m:t>
              </m:r>
            </m:e>
            <m:sub>
              <m:r>
                <m:t xml:space="preserve">j</m:t>
              </m:r>
            </m:sub>
          </m:sSub>
          <m:r>
            <m:t xml:space="preserve">,</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t xml:space="preserve">(</m:t>
          </m:r>
          <m:r>
            <m:t xml:space="preserve">3.6</m:t>
          </m:r>
          <m:r>
            <m:t xml:space="preserve">)</m:t>
          </m:r>
        </m:oMath>
      </m:oMathPara>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eastAsia="Verdana" w:cs="Verdana" w:ascii="Verdana" w:hAnsi="Verdana"/>
          <w:sz w:val="22"/>
          <w:szCs w:val="22"/>
        </w:rPr>
        <w:t xml:space="preserve">где </w:t>
      </w:r>
      <w:r>
        <w:rPr>
          <w:rFonts w:eastAsia="Verdana" w:cs="Verdana" w:ascii="Verdana" w:hAnsi="Verdana"/>
          <w:i/>
          <w:sz w:val="22"/>
          <w:szCs w:val="22"/>
        </w:rPr>
        <w:t>j</w:t>
      </w:r>
      <w:r>
        <w:rPr>
          <w:rFonts w:eastAsia="Verdana" w:cs="Verdana" w:ascii="Verdana" w:hAnsi="Verdana"/>
          <w:sz w:val="22"/>
          <w:szCs w:val="22"/>
        </w:rPr>
        <w:t xml:space="preserve"> – порядковый номер типа осветительных приборов (осветительных приборов с одинаковыми техническими характеристиками и одинаковым фондом рабочего времени); </w:t>
      </w:r>
    </w:p>
    <w:p>
      <w:pPr>
        <w:pStyle w:val="Normal"/>
        <w:ind w:firstLine="142"/>
        <w:jc w:val="both"/>
        <w:rPr>
          <w:rFonts w:ascii="Verdana" w:hAnsi="Verdana" w:cs="Verdana"/>
          <w:spacing w:val="-6"/>
          <w:sz w:val="22"/>
          <w:szCs w:val="22"/>
        </w:rPr>
      </w:pPr>
      <w:r>
        <w:rPr/>
      </w:r>
      <m:oMath xmlns:m="http://schemas.openxmlformats.org/officeDocument/2006/math">
        <m:sSub>
          <m:e>
            <m:r>
              <m:t xml:space="preserve">P</m:t>
            </m:r>
          </m:e>
          <m:sub>
            <m:r>
              <m:t xml:space="preserve">j</m:t>
            </m:r>
            <m:r>
              <m:rPr>
                <m:lit/>
                <m:nor/>
              </m:rPr>
              <m:t xml:space="preserve"> </m:t>
            </m:r>
            <m:r>
              <m:t xml:space="preserve">контр</m:t>
            </m:r>
            <m:r>
              <m:rPr>
                <m:lit/>
                <m:nor/>
              </m:rPr>
              <m:t xml:space="preserve"> </m:t>
            </m:r>
            <m:r>
              <m:t xml:space="preserve">ср</m:t>
            </m:r>
          </m:sub>
        </m:sSub>
      </m:oMath>
      <w:r>
        <w:rPr>
          <w:rFonts w:eastAsia="Verdana" w:cs="Verdana" w:ascii="Verdana" w:hAnsi="Verdana"/>
          <w:spacing w:val="-6"/>
          <w:sz w:val="22"/>
          <w:szCs w:val="22"/>
        </w:rPr>
        <w:t xml:space="preserve"> </w:t>
      </w:r>
      <w:r>
        <w:rPr>
          <w:rFonts w:eastAsia="Verdana" w:cs="Verdana" w:ascii="Verdana" w:hAnsi="Verdana"/>
          <w:sz w:val="22"/>
          <w:szCs w:val="22"/>
        </w:rPr>
        <w:t>–</w:t>
      </w:r>
      <w:r>
        <w:rPr>
          <w:rFonts w:eastAsia="Verdana" w:cs="Verdana" w:ascii="Verdana" w:hAnsi="Verdana"/>
          <w:spacing w:val="-6"/>
          <w:sz w:val="22"/>
          <w:szCs w:val="22"/>
        </w:rPr>
        <w:t xml:space="preserve"> </w:t>
      </w:r>
      <w:r>
        <w:rPr>
          <w:rFonts w:eastAsia="Verdana" w:cs="Verdana" w:ascii="Verdana" w:hAnsi="Verdana"/>
          <w:spacing w:val="-6"/>
          <w:sz w:val="22"/>
          <w:szCs w:val="22"/>
        </w:rPr>
        <w:t xml:space="preserve">среднее значение измеренной мощности контрольных </w:t>
      </w:r>
      <w:r>
        <w:rPr>
          <w:rFonts w:eastAsia="Verdana" w:cs="Verdana" w:ascii="Verdana" w:hAnsi="Verdana"/>
          <w:sz w:val="22"/>
          <w:szCs w:val="22"/>
        </w:rPr>
        <w:t>осветительных</w:t>
      </w:r>
      <w:r>
        <w:rPr>
          <w:rFonts w:eastAsia="Verdana" w:cs="Verdana" w:ascii="Verdana" w:hAnsi="Verdana"/>
          <w:spacing w:val="-6"/>
          <w:sz w:val="22"/>
          <w:szCs w:val="22"/>
        </w:rPr>
        <w:t xml:space="preserve"> приборов </w:t>
      </w:r>
      <w:r>
        <w:rPr>
          <w:rFonts w:eastAsia="Verdana" w:cs="Verdana" w:ascii="Verdana" w:hAnsi="Verdana"/>
          <w:i/>
          <w:spacing w:val="-6"/>
          <w:sz w:val="22"/>
          <w:szCs w:val="22"/>
          <w:lang w:val="en-US"/>
        </w:rPr>
        <w:t>j</w:t>
      </w:r>
      <w:r>
        <w:rPr>
          <w:rFonts w:eastAsia="Verdana" w:cs="Verdana" w:ascii="Verdana" w:hAnsi="Verdana"/>
          <w:spacing w:val="-6"/>
          <w:sz w:val="22"/>
          <w:szCs w:val="22"/>
        </w:rPr>
        <w:t>-го типа, кВт (Приложение № 8 к Техническому задан</w:t>
      </w:r>
      <w:bookmarkStart w:id="4" w:name="_GoBack"/>
      <w:bookmarkEnd w:id="4"/>
      <w:r>
        <w:rPr>
          <w:rFonts w:eastAsia="Verdana" w:cs="Verdana" w:ascii="Verdana" w:hAnsi="Verdana"/>
          <w:spacing w:val="-6"/>
          <w:sz w:val="22"/>
          <w:szCs w:val="22"/>
        </w:rPr>
        <w:t>);</w:t>
      </w:r>
    </w:p>
    <w:p>
      <w:pPr>
        <w:pStyle w:val="Normal"/>
        <w:ind w:firstLine="142"/>
        <w:jc w:val="both"/>
        <w:rPr>
          <w:rFonts w:ascii="Verdana" w:hAnsi="Verdana" w:cs="Verdana"/>
          <w:sz w:val="22"/>
          <w:szCs w:val="22"/>
        </w:rPr>
      </w:pPr>
      <w:r>
        <w:rPr/>
      </w:r>
      <m:oMath xmlns:m="http://schemas.openxmlformats.org/officeDocument/2006/math">
        <m:sSub>
          <m:e>
            <m:r>
              <m:t xml:space="preserve">N</m:t>
            </m:r>
          </m:e>
          <m:sub>
            <m:r>
              <m:t xml:space="preserve">j</m:t>
            </m:r>
          </m:sub>
        </m:sSub>
      </m:oMath>
      <w:r>
        <w:rPr>
          <w:rFonts w:eastAsia="Verdana" w:cs="Verdana" w:ascii="Verdana" w:hAnsi="Verdana"/>
          <w:spacing w:val="-6"/>
          <w:sz w:val="22"/>
          <w:szCs w:val="22"/>
        </w:rPr>
        <w:t xml:space="preserve"> </w:t>
      </w:r>
      <w:r>
        <w:rPr>
          <w:rFonts w:eastAsia="Verdana" w:cs="Verdana" w:ascii="Verdana" w:hAnsi="Verdana"/>
          <w:sz w:val="22"/>
          <w:szCs w:val="22"/>
        </w:rPr>
        <w:t xml:space="preserve">– </w:t>
      </w:r>
      <w:r>
        <w:rPr>
          <w:rFonts w:eastAsia="Verdana" w:cs="Verdana" w:ascii="Verdana" w:hAnsi="Verdana"/>
          <w:sz w:val="22"/>
          <w:szCs w:val="22"/>
        </w:rPr>
        <w:t xml:space="preserve">количество осветительных приборов </w:t>
      </w:r>
      <w:r>
        <w:rPr>
          <w:rFonts w:eastAsia="Verdana" w:cs="Verdana" w:ascii="Verdana" w:hAnsi="Verdana"/>
          <w:i/>
          <w:sz w:val="22"/>
          <w:szCs w:val="22"/>
          <w:lang w:val="en-US"/>
        </w:rPr>
        <w:t>j</w:t>
      </w:r>
      <w:r>
        <w:rPr>
          <w:rFonts w:eastAsia="Verdana" w:cs="Verdana" w:ascii="Verdana" w:hAnsi="Verdana"/>
          <w:sz w:val="22"/>
          <w:szCs w:val="22"/>
        </w:rPr>
        <w:t xml:space="preserve">-го типа, используемых в помещении </w:t>
      </w:r>
      <w:r>
        <w:rPr>
          <w:rFonts w:eastAsia="Verdana" w:cs="Verdana" w:ascii="Verdana" w:hAnsi="Verdana"/>
          <w:i/>
          <w:sz w:val="22"/>
          <w:szCs w:val="22"/>
          <w:lang w:val="en-US"/>
        </w:rPr>
        <w:t>i</w:t>
      </w:r>
      <w:r>
        <w:rPr>
          <w:rFonts w:eastAsia="Verdana" w:cs="Verdana" w:ascii="Verdana" w:hAnsi="Verdana"/>
          <w:sz w:val="22"/>
          <w:szCs w:val="22"/>
        </w:rPr>
        <w:t>-ой категории.</w:t>
      </w:r>
    </w:p>
    <w:p>
      <w:pPr>
        <w:pStyle w:val="Normal"/>
        <w:spacing w:before="120" w:after="0"/>
        <w:ind w:firstLine="142"/>
        <w:jc w:val="both"/>
        <w:rPr>
          <w:rFonts w:ascii="Verdana" w:hAnsi="Verdana" w:eastAsia="Verdana" w:cs="Verdana"/>
          <w:sz w:val="22"/>
          <w:szCs w:val="22"/>
        </w:rPr>
      </w:pPr>
      <w:r>
        <w:rPr>
          <w:rFonts w:eastAsia="Verdana" w:cs="Verdana" w:ascii="Verdana" w:hAnsi="Verdana"/>
          <w:sz w:val="22"/>
          <w:szCs w:val="22"/>
        </w:rPr>
        <w:t>2.9 Величина снижения объема потребления электрической энергии системой освещения за одни сутки в период после реализации работ по модернизации системы освещения в рамках энергосберегающих мероприятий определяется по следующей формуле:</w:t>
      </w:r>
    </w:p>
    <w:p>
      <w:pPr>
        <w:pStyle w:val="Normal"/>
        <w:spacing w:before="120" w:after="0"/>
        <w:ind w:firstLine="142"/>
        <w:jc w:val="both"/>
        <w:rPr>
          <w:rFonts w:ascii="Verdana" w:hAnsi="Verdana" w:cs="Verdana"/>
          <w:sz w:val="22"/>
          <w:szCs w:val="22"/>
        </w:rPr>
      </w:pPr>
      <w:r>
        <w:rPr>
          <w:rFonts w:cs="Verdana" w:ascii="Verdana" w:hAnsi="Verdana"/>
          <w:sz w:val="22"/>
          <w:szCs w:val="22"/>
        </w:rPr>
      </w:r>
    </w:p>
    <w:p>
      <w:pPr>
        <w:pStyle w:val="Normal"/>
        <w:ind w:firstLine="142"/>
        <w:jc w:val="end"/>
        <w:rPr>
          <w:rFonts w:ascii="Verdana" w:hAnsi="Verdana" w:cs="Verdana"/>
          <w:sz w:val="22"/>
          <w:szCs w:val="22"/>
        </w:rPr>
      </w:pPr>
      <w:r>
        <w:rPr/>
      </w:r>
      <m:oMathPara xmlns:m="http://schemas.openxmlformats.org/officeDocument/2006/math">
        <m:oMathParaPr>
          <m:jc m:val="right"/>
        </m:oMathParaPr>
        <m:oMath>
          <m:r>
            <m:t xml:space="preserve">∆</m:t>
          </m:r>
          <m:sSub>
            <m:e>
              <m:r>
                <m:t xml:space="preserve">W</m:t>
              </m:r>
            </m:e>
            <m:sub>
              <m:r>
                <m:t xml:space="preserve">сут</m:t>
              </m:r>
            </m:sub>
          </m:sSub>
          <m:r>
            <m:rPr>
              <m:lit/>
              <m:nor/>
            </m:rPr>
            <m:t xml:space="preserve">=</m:t>
          </m:r>
          <m:sSub>
            <m:e>
              <m:r>
                <m:t xml:space="preserve">W</m:t>
              </m:r>
            </m:e>
            <m:sub>
              <m:r>
                <m:t xml:space="preserve">баз</m:t>
              </m:r>
            </m:sub>
          </m:sSub>
          <m:r>
            <m:rPr>
              <m:lit/>
              <m:nor/>
            </m:rPr>
            <m:t xml:space="preserve">-</m:t>
          </m:r>
          <m:sSub>
            <m:e>
              <m:r>
                <m:t xml:space="preserve">W</m:t>
              </m:r>
            </m:e>
            <m:sub>
              <m:r>
                <m:t xml:space="preserve">контр</m:t>
              </m:r>
            </m:sub>
          </m:sSub>
          <m:r>
            <m:t xml:space="preserve">,</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t xml:space="preserve">(</m:t>
          </m:r>
          <m:r>
            <m:t xml:space="preserve">3.7</m:t>
          </m:r>
          <m:r>
            <m:t xml:space="preserve">)</m:t>
          </m:r>
          <m:r>
            <m:rPr>
              <m:lit/>
              <m:nor/>
            </m:rPr>
            <m:t xml:space="preserve"> </m:t>
          </m:r>
        </m:oMath>
      </m:oMathPara>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eastAsia="Verdana" w:cs="Verdana" w:ascii="Verdana" w:hAnsi="Verdana"/>
          <w:sz w:val="22"/>
          <w:szCs w:val="22"/>
        </w:rPr>
        <w:t xml:space="preserve">где </w:t>
      </w:r>
      <w:r>
        <w:rPr/>
      </w:r>
      <m:oMath xmlns:m="http://schemas.openxmlformats.org/officeDocument/2006/math">
        <m:sSub>
          <m:e>
            <m:r>
              <m:t xml:space="preserve">W</m:t>
            </m:r>
          </m:e>
          <m:sub>
            <m:r>
              <m:t xml:space="preserve">баз</m:t>
            </m:r>
          </m:sub>
        </m:sSub>
      </m:oMath>
      <w:r>
        <w:rPr>
          <w:rFonts w:eastAsia="Verdana" w:cs="Verdana" w:ascii="Verdana" w:hAnsi="Verdana"/>
          <w:sz w:val="22"/>
          <w:szCs w:val="22"/>
        </w:rPr>
        <w:t xml:space="preserve"> – объем потребления электрической энергии осветительными установками</w:t>
      </w:r>
      <w:r>
        <w:rPr>
          <w:rFonts w:eastAsia="Verdana" w:cs="Verdana" w:ascii="Verdana" w:hAnsi="Verdana"/>
          <w:color w:val="000000"/>
          <w:sz w:val="22"/>
          <w:szCs w:val="22"/>
        </w:rPr>
        <w:t xml:space="preserve"> системы общего освещения </w:t>
      </w:r>
      <w:r>
        <w:rPr>
          <w:rFonts w:eastAsia="Verdana" w:cs="Verdana" w:ascii="Verdana" w:hAnsi="Verdana"/>
          <w:sz w:val="22"/>
          <w:szCs w:val="22"/>
        </w:rPr>
        <w:t xml:space="preserve">за сутки в базовом периоде, кВт*ч </w:t>
      </w:r>
    </w:p>
    <w:p>
      <w:pPr>
        <w:pStyle w:val="Normal"/>
        <w:ind w:firstLine="142"/>
        <w:jc w:val="both"/>
        <w:rPr>
          <w:rFonts w:ascii="Verdana" w:hAnsi="Verdana" w:cs="Verdana"/>
          <w:sz w:val="22"/>
          <w:szCs w:val="22"/>
        </w:rPr>
      </w:pPr>
      <w:r>
        <w:rPr/>
      </w:r>
      <m:oMath xmlns:m="http://schemas.openxmlformats.org/officeDocument/2006/math">
        <m:sSub>
          <m:e>
            <m:r>
              <m:t xml:space="preserve">W</m:t>
            </m:r>
          </m:e>
          <m:sub>
            <m:r>
              <m:t xml:space="preserve">контр</m:t>
            </m:r>
          </m:sub>
        </m:sSub>
      </m:oMath>
      <w:r>
        <w:rPr>
          <w:rFonts w:eastAsia="Verdana" w:cs="Verdana" w:ascii="Verdana" w:hAnsi="Verdana"/>
          <w:sz w:val="22"/>
          <w:szCs w:val="22"/>
        </w:rPr>
        <w:t xml:space="preserve"> – </w:t>
      </w:r>
      <w:r>
        <w:rPr>
          <w:rFonts w:eastAsia="Verdana" w:cs="Verdana" w:ascii="Verdana" w:hAnsi="Verdana"/>
          <w:sz w:val="22"/>
          <w:szCs w:val="22"/>
        </w:rPr>
        <w:t>объем потребления электрической энергии осветительными установками</w:t>
      </w:r>
      <w:r>
        <w:rPr>
          <w:rFonts w:eastAsia="Verdana" w:cs="Verdana" w:ascii="Verdana" w:hAnsi="Verdana"/>
          <w:color w:val="000000"/>
          <w:sz w:val="22"/>
          <w:szCs w:val="22"/>
        </w:rPr>
        <w:t xml:space="preserve"> системы общего освещения </w:t>
      </w:r>
      <w:r>
        <w:rPr>
          <w:rFonts w:eastAsia="Verdana" w:cs="Verdana" w:ascii="Verdana" w:hAnsi="Verdana"/>
          <w:sz w:val="22"/>
          <w:szCs w:val="22"/>
        </w:rPr>
        <w:t>за сутки в контрольном периоде, кВт*ч.</w:t>
      </w:r>
    </w:p>
    <w:p>
      <w:pPr>
        <w:pStyle w:val="Normal"/>
        <w:spacing w:before="120" w:after="0"/>
        <w:ind w:firstLine="142"/>
        <w:jc w:val="both"/>
        <w:rPr>
          <w:rFonts w:ascii="Verdana" w:hAnsi="Verdana" w:eastAsia="Verdana" w:cs="Verdana"/>
          <w:sz w:val="22"/>
          <w:szCs w:val="22"/>
        </w:rPr>
      </w:pPr>
      <w:r>
        <w:rPr>
          <w:rFonts w:eastAsia="Verdana" w:cs="Verdana" w:ascii="Verdana" w:hAnsi="Verdana"/>
          <w:sz w:val="22"/>
          <w:szCs w:val="22"/>
        </w:rPr>
        <w:t>2.10 Относительная величина снижения объема потребления электрической энергии системой освещения за одни сутки в период после реализации работ по модернизации системы освещения в рамках энергосберегающих мероприятий определяется по следующей формуле:</w:t>
      </w:r>
    </w:p>
    <w:p>
      <w:pPr>
        <w:pStyle w:val="Normal"/>
        <w:spacing w:before="120" w:after="0"/>
        <w:ind w:firstLine="142"/>
        <w:jc w:val="both"/>
        <w:rPr>
          <w:rFonts w:ascii="Verdana" w:hAnsi="Verdana" w:eastAsia="Verdana" w:cs="Verdana"/>
          <w:sz w:val="22"/>
          <w:szCs w:val="22"/>
        </w:rPr>
      </w:pPr>
      <w:r>
        <w:rPr>
          <w:rFonts w:eastAsia="Verdana" w:cs="Verdana" w:ascii="Verdana" w:hAnsi="Verdana"/>
          <w:sz w:val="22"/>
          <w:szCs w:val="22"/>
        </w:rPr>
      </w:r>
    </w:p>
    <w:p>
      <w:pPr>
        <w:pStyle w:val="Normal"/>
        <w:ind w:firstLine="142"/>
        <w:jc w:val="end"/>
        <w:rPr>
          <w:rFonts w:ascii="Verdana" w:hAnsi="Verdana" w:cs="Verdana"/>
          <w:sz w:val="22"/>
          <w:szCs w:val="22"/>
        </w:rPr>
      </w:pPr>
      <w:r>
        <w:rPr/>
      </w:r>
      <m:oMathPara xmlns:m="http://schemas.openxmlformats.org/officeDocument/2006/math">
        <m:oMathParaPr>
          <m:jc m:val="right"/>
        </m:oMathParaPr>
        <m:oMath>
          <m:sSub>
            <m:e>
              <m:r>
                <m:t xml:space="preserve">∆</m:t>
              </m:r>
              <m:r>
                <m:t xml:space="preserve">W</m:t>
              </m:r>
            </m:e>
            <m:sub>
              <m:r>
                <m:t xml:space="preserve">сут</m:t>
              </m:r>
              <m:r>
                <m:rPr>
                  <m:lit/>
                  <m:nor/>
                </m:rPr>
                <m:t xml:space="preserve">%</m:t>
              </m:r>
            </m:sub>
          </m:sSub>
          <m:r>
            <m:rPr>
              <m:lit/>
              <m:nor/>
            </m:rPr>
            <m:t xml:space="preserve">=</m:t>
          </m:r>
          <m:d>
            <m:dPr>
              <m:begChr m:val="("/>
              <m:endChr m:val=")"/>
            </m:dPr>
            <m:e>
              <m:r>
                <m:t xml:space="preserve">1</m:t>
              </m:r>
              <m:r>
                <m:rPr>
                  <m:lit/>
                  <m:nor/>
                </m:rPr>
                <m:t xml:space="preserve">-</m:t>
              </m:r>
              <m:f>
                <m:num>
                  <m:sSub>
                    <m:e>
                      <m:r>
                        <m:t xml:space="preserve">W</m:t>
                      </m:r>
                    </m:e>
                    <m:sub>
                      <m:r>
                        <m:t xml:space="preserve">контр</m:t>
                      </m:r>
                    </m:sub>
                  </m:sSub>
                </m:num>
                <m:den>
                  <m:sSub>
                    <m:e>
                      <m:r>
                        <m:t xml:space="preserve">W</m:t>
                      </m:r>
                    </m:e>
                    <m:sub>
                      <m:r>
                        <m:t xml:space="preserve">баз</m:t>
                      </m:r>
                    </m:sub>
                  </m:sSub>
                </m:den>
              </m:f>
            </m:e>
          </m:d>
          <m:r>
            <m:t xml:space="preserve">∙</m:t>
          </m:r>
          <m:r>
            <m:t xml:space="preserve">100</m:t>
          </m:r>
          <m:r>
            <m:rPr>
              <m:lit/>
              <m:nor/>
            </m:rPr>
            <m:t xml:space="preserve">%</m:t>
          </m:r>
          <m:r>
            <m:t xml:space="preserve">.</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t xml:space="preserve">(</m:t>
          </m:r>
          <m:r>
            <m:t xml:space="preserve">3.8</m:t>
          </m:r>
          <m:r>
            <m:t xml:space="preserve">)</m:t>
          </m:r>
          <m:r>
            <m:rPr>
              <m:lit/>
              <m:nor/>
            </m:rPr>
            <m:t xml:space="preserve"> </m:t>
          </m:r>
        </m:oMath>
      </m:oMathPara>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eastAsia="Verdana" w:cs="Verdana"/>
          <w:sz w:val="22"/>
          <w:szCs w:val="22"/>
        </w:rPr>
      </w:pPr>
      <w:r>
        <w:rPr>
          <w:rFonts w:eastAsia="Verdana" w:cs="Verdana" w:ascii="Verdana" w:hAnsi="Verdana"/>
          <w:sz w:val="22"/>
          <w:szCs w:val="22"/>
        </w:rPr>
        <w:t>По результатам расчёта должно выполняться условие:</w:t>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end"/>
        <w:rPr>
          <w:rFonts w:ascii="Verdana" w:hAnsi="Verdana" w:cs="Verdana"/>
          <w:sz w:val="22"/>
          <w:szCs w:val="22"/>
        </w:rPr>
      </w:pPr>
      <w:r>
        <w:rPr/>
      </w:r>
      <m:oMathPara xmlns:m="http://schemas.openxmlformats.org/officeDocument/2006/math">
        <m:oMathParaPr>
          <m:jc m:val="right"/>
        </m:oMathParaPr>
        <m:oMath>
          <m:sSub>
            <m:e>
              <m:r>
                <m:t xml:space="preserve">∆</m:t>
              </m:r>
              <m:r>
                <m:t xml:space="preserve">W</m:t>
              </m:r>
            </m:e>
            <m:sub>
              <m:r>
                <m:t xml:space="preserve">сут</m:t>
              </m:r>
              <m:r>
                <m:rPr>
                  <m:lit/>
                  <m:nor/>
                </m:rPr>
                <m:t xml:space="preserve">%</m:t>
              </m:r>
            </m:sub>
          </m:sSub>
          <m:r>
            <m:t xml:space="preserve">≥</m:t>
          </m:r>
          <m:sSubSup>
            <m:e>
              <m:r>
                <m:t xml:space="preserve">∆</m:t>
              </m:r>
              <m:r>
                <m:t xml:space="preserve">W</m:t>
              </m:r>
            </m:e>
            <m:sub>
              <m:r>
                <m:t xml:space="preserve">сут</m:t>
              </m:r>
              <m:r>
                <m:rPr>
                  <m:lit/>
                  <m:nor/>
                </m:rPr>
                <m:t xml:space="preserve">%</m:t>
              </m:r>
            </m:sub>
            <m:sup>
              <m:r>
                <m:t xml:space="preserve">гарант</m:t>
              </m:r>
            </m:sup>
          </m:sSubSup>
          <m:r>
            <m:t xml:space="preserve">,</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t xml:space="preserve">(</m:t>
          </m:r>
          <m:r>
            <m:t xml:space="preserve">3.9</m:t>
          </m:r>
          <m:r>
            <m:t xml:space="preserve">)</m:t>
          </m:r>
          <m:r>
            <m:rPr>
              <m:lit/>
              <m:nor/>
            </m:rPr>
            <m:t xml:space="preserve"> </m:t>
          </m:r>
        </m:oMath>
      </m:oMathPara>
    </w:p>
    <w:p>
      <w:pPr>
        <w:pStyle w:val="Normal"/>
        <w:ind w:firstLine="142"/>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eastAsia="Verdana" w:cs="Verdana" w:ascii="Verdana" w:hAnsi="Verdana"/>
          <w:sz w:val="22"/>
          <w:szCs w:val="22"/>
        </w:rPr>
        <w:t xml:space="preserve">где </w:t>
      </w:r>
      <w:r>
        <w:rPr/>
      </w:r>
      <m:oMath xmlns:m="http://schemas.openxmlformats.org/officeDocument/2006/math">
        <m:sSubSup>
          <m:e>
            <m:r>
              <m:t xml:space="preserve">∆</m:t>
            </m:r>
            <m:r>
              <m:t xml:space="preserve">W</m:t>
            </m:r>
          </m:e>
          <m:sub>
            <m:r>
              <m:t xml:space="preserve">сут</m:t>
            </m:r>
            <m:r>
              <m:rPr>
                <m:lit/>
                <m:nor/>
              </m:rPr>
              <m:t xml:space="preserve">%</m:t>
            </m:r>
          </m:sub>
          <m:sup>
            <m:r>
              <m:t xml:space="preserve">гарант</m:t>
            </m:r>
          </m:sup>
        </m:sSubSup>
      </m:oMath>
      <w:r>
        <w:rPr>
          <w:rFonts w:eastAsia="Verdana" w:cs="Verdana" w:ascii="Verdana" w:hAnsi="Verdana"/>
          <w:sz w:val="22"/>
          <w:szCs w:val="22"/>
        </w:rPr>
        <w:t xml:space="preserve"> - гарантированная величина экономии электрической энергии системой освещения, %</w:t>
      </w:r>
    </w:p>
    <w:p>
      <w:pPr>
        <w:pStyle w:val="Normal"/>
        <w:spacing w:before="120" w:after="0"/>
        <w:ind w:firstLine="142"/>
        <w:jc w:val="both"/>
        <w:rPr>
          <w:rFonts w:ascii="Verdana" w:hAnsi="Verdana" w:eastAsia="Verdana" w:cs="Verdana"/>
          <w:sz w:val="22"/>
          <w:szCs w:val="22"/>
        </w:rPr>
      </w:pPr>
      <w:r>
        <w:rPr>
          <w:rFonts w:eastAsia="Verdana" w:cs="Verdana" w:ascii="Verdana" w:hAnsi="Verdana"/>
          <w:sz w:val="22"/>
          <w:szCs w:val="22"/>
        </w:rPr>
        <w:t>2.11 Размер ежемесячной экономии электрической энергии в расчетном периоде определяется по формуле:</w:t>
      </w:r>
    </w:p>
    <w:p>
      <w:pPr>
        <w:pStyle w:val="Normal"/>
        <w:spacing w:before="120" w:after="0"/>
        <w:ind w:firstLine="142"/>
        <w:jc w:val="both"/>
        <w:rPr>
          <w:rFonts w:ascii="Verdana" w:hAnsi="Verdana" w:cs="Verdana"/>
          <w:sz w:val="22"/>
          <w:szCs w:val="22"/>
        </w:rPr>
      </w:pPr>
      <w:r>
        <w:rPr>
          <w:rFonts w:cs="Verdana" w:ascii="Verdana" w:hAnsi="Verdana"/>
          <w:sz w:val="22"/>
          <w:szCs w:val="22"/>
        </w:rPr>
      </w:r>
    </w:p>
    <w:p>
      <w:pPr>
        <w:pStyle w:val="Normal"/>
        <w:ind w:firstLine="142"/>
        <w:jc w:val="end"/>
        <w:rPr>
          <w:rFonts w:ascii="Verdana" w:hAnsi="Verdana" w:cs="Verdana"/>
          <w:sz w:val="22"/>
          <w:szCs w:val="22"/>
        </w:rPr>
      </w:pPr>
      <w:r>
        <w:rPr/>
      </w:r>
      <m:oMathPara xmlns:m="http://schemas.openxmlformats.org/officeDocument/2006/math">
        <m:oMathParaPr>
          <m:jc m:val="right"/>
        </m:oMathParaPr>
        <m:oMath>
          <m:sSub>
            <m:e>
              <m:r>
                <m:t xml:space="preserve">V</m:t>
              </m:r>
            </m:e>
            <m:sub>
              <m:r>
                <m:t xml:space="preserve">э</m:t>
              </m:r>
            </m:sub>
          </m:sSub>
          <m:r>
            <m:rPr>
              <m:lit/>
              <m:nor/>
            </m:rPr>
            <m:t xml:space="preserve">=</m:t>
          </m:r>
          <m:r>
            <m:t xml:space="preserve">∆</m:t>
          </m:r>
          <m:sSub>
            <m:e>
              <m:r>
                <m:t xml:space="preserve">W</m:t>
              </m:r>
            </m:e>
            <m:sub>
              <m:r>
                <m:t xml:space="preserve">сут</m:t>
              </m:r>
            </m:sub>
          </m:sSub>
          <m:r>
            <m:t xml:space="preserve">∙</m:t>
          </m:r>
          <m:sSub>
            <m:e>
              <m:r>
                <m:t xml:space="preserve">N</m:t>
              </m:r>
            </m:e>
            <m:sub>
              <m:r>
                <m:t xml:space="preserve">сут</m:t>
              </m:r>
            </m:sub>
          </m:sSub>
          <m:r>
            <m:t xml:space="preserve">,</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rPr>
              <m:lit/>
              <m:nor/>
            </m:rPr>
            <m:t xml:space="preserve"> </m:t>
          </m:r>
          <m:r>
            <m:t xml:space="preserve">(</m:t>
          </m:r>
          <m:r>
            <m:t xml:space="preserve">3.10</m:t>
          </m:r>
          <m:r>
            <m:t xml:space="preserve">)</m:t>
          </m:r>
          <m:r>
            <m:rPr>
              <m:lit/>
              <m:nor/>
            </m:rPr>
            <m:t xml:space="preserve"> </m:t>
          </m:r>
        </m:oMath>
      </m:oMathPara>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eastAsia="Verdana" w:cs="Verdana" w:ascii="Verdana" w:hAnsi="Verdana"/>
          <w:sz w:val="22"/>
          <w:szCs w:val="22"/>
        </w:rPr>
        <w:t xml:space="preserve">где </w:t>
      </w:r>
      <w:r>
        <w:rPr/>
      </w:r>
      <m:oMath xmlns:m="http://schemas.openxmlformats.org/officeDocument/2006/math">
        <m:sSub>
          <m:e>
            <m:r>
              <m:t xml:space="preserve">N</m:t>
            </m:r>
          </m:e>
          <m:sub>
            <m:r>
              <m:t xml:space="preserve">сут</m:t>
            </m:r>
          </m:sub>
        </m:sSub>
      </m:oMath>
      <w:r>
        <w:rPr>
          <w:rFonts w:eastAsia="Verdana" w:cs="Verdana" w:ascii="Verdana" w:hAnsi="Verdana"/>
          <w:sz w:val="22"/>
          <w:szCs w:val="22"/>
        </w:rPr>
        <w:t xml:space="preserve"> – количество суток в расчетном периоде.</w:t>
      </w:r>
    </w:p>
    <w:p>
      <w:pPr>
        <w:pStyle w:val="Normal"/>
        <w:spacing w:before="120" w:after="0"/>
        <w:ind w:firstLine="142"/>
        <w:jc w:val="both"/>
        <w:rPr>
          <w:rFonts w:ascii="Verdana" w:hAnsi="Verdana" w:cs="Verdana"/>
          <w:sz w:val="22"/>
          <w:szCs w:val="22"/>
        </w:rPr>
      </w:pPr>
      <w:r>
        <w:rPr>
          <w:rFonts w:eastAsia="Verdana" w:cs="Verdana" w:ascii="Verdana" w:hAnsi="Verdana"/>
          <w:sz w:val="22"/>
          <w:szCs w:val="22"/>
        </w:rPr>
        <w:t>2.12 После каждого этапа расчета значения, рассчитанные по формулам 3.1, 3.2, 3.3, 3.5, 3.7, 3.8, 3.10 округляются до второго десятичного знака по правилам округления.</w:t>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p>
      <w:pPr>
        <w:pStyle w:val="Normal"/>
        <w:ind w:firstLine="142"/>
        <w:jc w:val="both"/>
        <w:rPr>
          <w:rFonts w:ascii="Verdana" w:hAnsi="Verdana" w:cs="Verdana"/>
          <w:sz w:val="22"/>
          <w:szCs w:val="22"/>
        </w:rPr>
      </w:pPr>
      <w:r>
        <w:rPr>
          <w:rFonts w:cs="Verdana" w:ascii="Verdana" w:hAnsi="Verdana"/>
          <w:sz w:val="22"/>
          <w:szCs w:val="22"/>
        </w:rPr>
      </w:r>
    </w:p>
    <w:tbl>
      <w:tblPr>
        <w:tblW w:w="1006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032"/>
        <w:gridCol w:w="5033"/>
      </w:tblGrid>
      <w:tr>
        <w:trPr/>
        <w:tc>
          <w:tcPr>
            <w:tcW w:w="10065" w:type="dxa"/>
            <w:gridSpan w:val="2"/>
            <w:tcBorders/>
          </w:tcPr>
          <w:p>
            <w:pPr>
              <w:pStyle w:val="BodyText"/>
              <w:spacing w:before="0" w:after="0"/>
              <w:jc w:val="start"/>
              <w:rPr>
                <w:rFonts w:ascii="Verdana" w:hAnsi="Verdana" w:cs="Verdana"/>
                <w:sz w:val="22"/>
                <w:szCs w:val="22"/>
              </w:rPr>
            </w:pPr>
            <w:r>
              <w:rPr>
                <w:rFonts w:cs="Verdana" w:ascii="Verdana" w:hAnsi="Verdana"/>
                <w:sz w:val="22"/>
                <w:szCs w:val="22"/>
              </w:rPr>
            </w:r>
          </w:p>
        </w:tc>
      </w:tr>
      <w:tr>
        <w:trPr/>
        <w:tc>
          <w:tcPr>
            <w:tcW w:w="5032" w:type="dxa"/>
            <w:tcBorders/>
          </w:tcPr>
          <w:p>
            <w:pPr>
              <w:pStyle w:val="BodyText"/>
              <w:spacing w:before="0" w:after="0"/>
              <w:jc w:val="start"/>
              <w:rPr>
                <w:rFonts w:ascii="Verdana" w:hAnsi="Verdana" w:cs="Verdana"/>
                <w:sz w:val="22"/>
                <w:szCs w:val="22"/>
                <w:lang w:val="ru-RU"/>
              </w:rPr>
            </w:pPr>
            <w:r>
              <w:rPr>
                <w:rFonts w:cs="Verdana" w:ascii="Verdana" w:hAnsi="Verdana"/>
                <w:sz w:val="22"/>
                <w:szCs w:val="22"/>
                <w:lang w:val="ru-RU"/>
              </w:rPr>
            </w:r>
          </w:p>
        </w:tc>
        <w:tc>
          <w:tcPr>
            <w:tcW w:w="5033" w:type="dxa"/>
            <w:tcBorders/>
          </w:tcPr>
          <w:p>
            <w:pPr>
              <w:pStyle w:val="BodyText"/>
              <w:spacing w:before="0" w:after="0"/>
              <w:jc w:val="start"/>
              <w:rPr>
                <w:rFonts w:ascii="Verdana" w:hAnsi="Verdana" w:cs="Verdana"/>
                <w:sz w:val="22"/>
                <w:szCs w:val="22"/>
              </w:rPr>
            </w:pPr>
            <w:r>
              <w:rPr>
                <w:rFonts w:cs="Verdana" w:ascii="Verdana" w:hAnsi="Verdana"/>
                <w:sz w:val="22"/>
                <w:szCs w:val="22"/>
              </w:rPr>
            </w:r>
          </w:p>
        </w:tc>
      </w:tr>
    </w:tbl>
    <w:p>
      <w:pPr>
        <w:pStyle w:val="Normal"/>
        <w:rPr>
          <w:bCs/>
          <w:color w:val="000000"/>
          <w:sz w:val="26"/>
          <w:szCs w:val="26"/>
        </w:rPr>
      </w:pPr>
      <w:r>
        <w:rPr>
          <w:bCs/>
          <w:color w:val="000000"/>
          <w:sz w:val="26"/>
          <w:szCs w:val="26"/>
        </w:rPr>
      </w:r>
    </w:p>
    <w:p>
      <w:pPr>
        <w:pStyle w:val="Normal"/>
        <w:jc w:val="end"/>
        <w:rPr>
          <w:rFonts w:ascii="Verdana" w:hAnsi="Verdana" w:cs="Verdana"/>
          <w:sz w:val="22"/>
          <w:szCs w:val="22"/>
          <w:shd w:fill="FFFFFF" w:val="clear"/>
        </w:rPr>
      </w:pPr>
      <w:r>
        <w:rPr>
          <w:rFonts w:eastAsia="Verdana" w:cs="Verdana" w:ascii="Verdana" w:hAnsi="Verdana"/>
          <w:sz w:val="22"/>
          <w:szCs w:val="22"/>
          <w:shd w:fill="FFFFFF" w:val="clear"/>
        </w:rPr>
        <w:t>Приложение № 3</w:t>
      </w:r>
    </w:p>
    <w:p>
      <w:pPr>
        <w:pStyle w:val="Normal"/>
        <w:jc w:val="end"/>
        <w:rPr>
          <w:rFonts w:ascii="Verdana" w:hAnsi="Verdana" w:cs="Verdana"/>
          <w:sz w:val="22"/>
          <w:szCs w:val="22"/>
          <w:shd w:fill="FFFFFF" w:val="clear"/>
        </w:rPr>
      </w:pPr>
      <w:r>
        <w:rPr>
          <w:rFonts w:eastAsia="Verdana" w:cs="Verdana" w:ascii="Verdana" w:hAnsi="Verdana"/>
          <w:sz w:val="22"/>
          <w:szCs w:val="22"/>
          <w:shd w:fill="FFFFFF" w:val="clear"/>
        </w:rPr>
        <w:t>к Техническому заданию</w:t>
      </w:r>
    </w:p>
    <w:p>
      <w:pPr>
        <w:pStyle w:val="Normal"/>
        <w:jc w:val="both"/>
        <w:rPr>
          <w:rFonts w:ascii="Verdana" w:hAnsi="Verdana" w:cs="Verdana"/>
          <w:b/>
          <w:sz w:val="22"/>
          <w:szCs w:val="22"/>
          <w:shd w:fill="FFFFFF" w:val="clear"/>
        </w:rPr>
      </w:pPr>
      <w:r>
        <w:rPr>
          <w:rFonts w:cs="Verdana" w:ascii="Verdana" w:hAnsi="Verdana"/>
          <w:b/>
          <w:sz w:val="22"/>
          <w:szCs w:val="22"/>
          <w:shd w:fill="FFFFFF" w:val="clear"/>
        </w:rPr>
      </w:r>
    </w:p>
    <w:p>
      <w:pPr>
        <w:pStyle w:val="Normal"/>
        <w:jc w:val="both"/>
        <w:rPr>
          <w:rFonts w:ascii="Verdana" w:hAnsi="Verdana" w:cs="Verdana"/>
          <w:b/>
          <w:sz w:val="22"/>
          <w:szCs w:val="22"/>
          <w:shd w:fill="FFFFFF" w:val="clear"/>
        </w:rPr>
      </w:pPr>
      <w:r>
        <w:rPr>
          <w:rFonts w:cs="Verdana" w:ascii="Verdana" w:hAnsi="Verdana"/>
          <w:b/>
          <w:sz w:val="22"/>
          <w:szCs w:val="22"/>
          <w:shd w:fill="FFFFFF" w:val="clear"/>
        </w:rPr>
      </w:r>
    </w:p>
    <w:p>
      <w:pPr>
        <w:pStyle w:val="Normal"/>
        <w:tabs>
          <w:tab w:val="clear" w:pos="369"/>
          <w:tab w:val="left" w:pos="4420" w:leader="none"/>
        </w:tabs>
        <w:jc w:val="both"/>
        <w:rPr>
          <w:rFonts w:ascii="Verdana" w:hAnsi="Verdana" w:cs="Verdana"/>
          <w:b/>
          <w:sz w:val="22"/>
          <w:szCs w:val="22"/>
        </w:rPr>
      </w:pPr>
      <w:r>
        <w:rPr>
          <w:rFonts w:eastAsia="Verdana" w:cs="Verdana" w:ascii="Verdana" w:hAnsi="Verdana"/>
          <w:sz w:val="22"/>
          <w:szCs w:val="22"/>
        </w:rPr>
        <w:tab/>
      </w:r>
      <w:r>
        <w:rPr>
          <w:rFonts w:eastAsia="Verdana" w:cs="Verdana" w:ascii="Verdana" w:hAnsi="Verdana"/>
          <w:b/>
          <w:sz w:val="22"/>
          <w:szCs w:val="22"/>
        </w:rPr>
        <w:t>Методика</w:t>
      </w:r>
    </w:p>
    <w:p>
      <w:pPr>
        <w:pStyle w:val="Normal"/>
        <w:tabs>
          <w:tab w:val="clear" w:pos="369"/>
          <w:tab w:val="left" w:pos="4420" w:leader="none"/>
        </w:tabs>
        <w:jc w:val="both"/>
        <w:rPr>
          <w:rFonts w:ascii="Verdana" w:hAnsi="Verdana" w:cs="Verdana"/>
          <w:b/>
          <w:sz w:val="22"/>
          <w:szCs w:val="22"/>
        </w:rPr>
      </w:pPr>
      <w:r>
        <w:rPr>
          <w:rFonts w:eastAsia="Verdana" w:cs="Verdana" w:ascii="Verdana" w:hAnsi="Verdana"/>
          <w:b/>
          <w:sz w:val="22"/>
          <w:szCs w:val="22"/>
        </w:rPr>
        <w:t>определения среднего значения измеренной мощности контрольных осветительных приборов</w:t>
      </w:r>
    </w:p>
    <w:p>
      <w:pPr>
        <w:pStyle w:val="Normal"/>
        <w:tabs>
          <w:tab w:val="clear" w:pos="369"/>
          <w:tab w:val="left" w:pos="4420" w:leader="none"/>
        </w:tabs>
        <w:jc w:val="both"/>
        <w:rPr>
          <w:rFonts w:ascii="Verdana" w:hAnsi="Verdana" w:cs="Verdana"/>
          <w:sz w:val="22"/>
          <w:szCs w:val="22"/>
        </w:rPr>
      </w:pPr>
      <w:r>
        <w:rPr>
          <w:rFonts w:cs="Verdana" w:ascii="Verdana" w:hAnsi="Verdana"/>
          <w:sz w:val="22"/>
          <w:szCs w:val="22"/>
        </w:rPr>
      </w:r>
    </w:p>
    <w:p>
      <w:pPr>
        <w:pStyle w:val="ListParagraph"/>
        <w:numPr>
          <w:ilvl w:val="0"/>
          <w:numId w:val="8"/>
        </w:numPr>
        <w:jc w:val="both"/>
        <w:rPr>
          <w:rFonts w:ascii="Verdana" w:hAnsi="Verdana" w:cs="Verdana"/>
          <w:b/>
          <w:sz w:val="22"/>
          <w:szCs w:val="22"/>
        </w:rPr>
      </w:pPr>
      <w:r>
        <w:rPr>
          <w:rFonts w:eastAsia="Verdana" w:cs="Verdana" w:ascii="Verdana" w:hAnsi="Verdana"/>
          <w:b/>
          <w:sz w:val="22"/>
          <w:szCs w:val="22"/>
        </w:rPr>
        <w:t>Общая информация о методике</w:t>
      </w:r>
    </w:p>
    <w:p>
      <w:pPr>
        <w:pStyle w:val="Normal"/>
        <w:spacing w:before="120" w:after="0"/>
        <w:ind w:firstLine="142"/>
        <w:jc w:val="both"/>
        <w:rPr>
          <w:rFonts w:ascii="Verdana" w:hAnsi="Verdana" w:cs="Verdana"/>
          <w:b/>
          <w:sz w:val="22"/>
          <w:szCs w:val="22"/>
        </w:rPr>
      </w:pPr>
      <w:r>
        <w:rPr>
          <w:rFonts w:eastAsia="Verdana" w:cs="Verdana" w:ascii="Verdana" w:hAnsi="Verdana"/>
          <w:b/>
          <w:sz w:val="22"/>
          <w:szCs w:val="22"/>
        </w:rPr>
        <w:t xml:space="preserve">1.1 Область применения </w:t>
      </w:r>
    </w:p>
    <w:p>
      <w:pPr>
        <w:pStyle w:val="Normal"/>
        <w:spacing w:before="60" w:after="0"/>
        <w:ind w:firstLine="142"/>
        <w:jc w:val="both"/>
        <w:rPr>
          <w:rFonts w:ascii="Verdana" w:hAnsi="Verdana" w:cs="Verdana"/>
          <w:sz w:val="22"/>
          <w:szCs w:val="22"/>
        </w:rPr>
      </w:pPr>
      <w:r>
        <w:rPr>
          <w:rFonts w:eastAsia="Verdana" w:cs="Verdana" w:ascii="Verdana" w:hAnsi="Verdana"/>
          <w:sz w:val="22"/>
          <w:szCs w:val="22"/>
        </w:rPr>
        <w:t>1.1.1 Методика определения среднего значения измеренной мощности контрольных осветительных приборов разработана для определения мощности, потребляемой осветительными приборами (</w:t>
      </w:r>
      <w:r>
        <w:rPr>
          <w:rFonts w:eastAsia="Verdana" w:cs="Verdana" w:ascii="Verdana" w:hAnsi="Verdana"/>
          <w:i/>
          <w:sz w:val="22"/>
          <w:szCs w:val="22"/>
        </w:rPr>
        <w:t>P</w:t>
      </w:r>
      <w:r>
        <w:rPr>
          <w:rFonts w:eastAsia="Verdana" w:cs="Verdana" w:ascii="Verdana" w:hAnsi="Verdana"/>
          <w:i/>
          <w:sz w:val="22"/>
          <w:szCs w:val="22"/>
          <w:vertAlign w:val="subscript"/>
          <w:lang w:val="en-US"/>
        </w:rPr>
        <w:t>j</w:t>
      </w:r>
      <w:r>
        <w:rPr>
          <w:rFonts w:eastAsia="Verdana" w:cs="Verdana" w:ascii="Verdana" w:hAnsi="Verdana"/>
          <w:sz w:val="22"/>
          <w:szCs w:val="22"/>
        </w:rPr>
        <w:t xml:space="preserve"> </w:t>
      </w:r>
      <w:r>
        <w:rPr>
          <w:rFonts w:eastAsia="Verdana" w:cs="Verdana" w:ascii="Verdana" w:hAnsi="Verdana"/>
          <w:i/>
          <w:sz w:val="22"/>
          <w:szCs w:val="22"/>
          <w:vertAlign w:val="subscript"/>
        </w:rPr>
        <w:t>контр</w:t>
      </w:r>
      <w:r>
        <w:rPr>
          <w:rFonts w:eastAsia="Verdana" w:cs="Verdana" w:ascii="Verdana" w:hAnsi="Verdana"/>
          <w:sz w:val="22"/>
          <w:szCs w:val="22"/>
        </w:rPr>
        <w:t>), в помещениях i-й категории в контрольном периоде.</w:t>
      </w:r>
    </w:p>
    <w:p>
      <w:pPr>
        <w:pStyle w:val="Normal"/>
        <w:spacing w:before="60" w:after="0"/>
        <w:ind w:firstLine="142"/>
        <w:jc w:val="both"/>
        <w:rPr>
          <w:rFonts w:ascii="Verdana" w:hAnsi="Verdana" w:cs="Verdana"/>
          <w:sz w:val="22"/>
          <w:szCs w:val="22"/>
        </w:rPr>
      </w:pPr>
      <w:r>
        <w:rPr>
          <w:rFonts w:eastAsia="Verdana" w:cs="Verdana" w:ascii="Verdana" w:hAnsi="Verdana"/>
          <w:sz w:val="22"/>
          <w:szCs w:val="22"/>
        </w:rPr>
        <w:t>1.1.2 Требования методики распространяются на проект «Замена осветительных приборов в осветительных установках системы общего освещения на Объектах ПАО «ММК».</w:t>
      </w:r>
    </w:p>
    <w:p>
      <w:pPr>
        <w:pStyle w:val="Normal"/>
        <w:spacing w:before="120" w:after="0"/>
        <w:ind w:firstLine="142"/>
        <w:jc w:val="both"/>
        <w:rPr>
          <w:rFonts w:ascii="Verdana" w:hAnsi="Verdana" w:cs="Verdana"/>
          <w:b/>
          <w:sz w:val="22"/>
          <w:szCs w:val="22"/>
        </w:rPr>
      </w:pPr>
      <w:r>
        <w:rPr>
          <w:rFonts w:eastAsia="Verdana" w:cs="Verdana" w:ascii="Verdana" w:hAnsi="Verdana"/>
          <w:b/>
          <w:sz w:val="22"/>
          <w:szCs w:val="22"/>
        </w:rPr>
        <w:t>1.2 Нормативные ссылки</w:t>
      </w:r>
    </w:p>
    <w:p>
      <w:pPr>
        <w:pStyle w:val="Normal"/>
        <w:spacing w:before="60" w:after="0"/>
        <w:ind w:firstLine="142"/>
        <w:jc w:val="both"/>
        <w:rPr>
          <w:rFonts w:ascii="Verdana" w:hAnsi="Verdana" w:cs="Verdana"/>
          <w:sz w:val="22"/>
          <w:szCs w:val="22"/>
        </w:rPr>
      </w:pPr>
      <w:r>
        <w:rPr>
          <w:rFonts w:eastAsia="Verdana" w:cs="Verdana" w:ascii="Verdana" w:hAnsi="Verdana"/>
          <w:sz w:val="22"/>
          <w:szCs w:val="22"/>
        </w:rPr>
        <w:t>1.2.1 Методика разработана на основании и в рамках следующих документов:</w:t>
      </w:r>
    </w:p>
    <w:p>
      <w:pPr>
        <w:pStyle w:val="ListParagraph"/>
        <w:spacing w:before="60" w:after="0"/>
        <w:ind w:firstLine="142" w:start="0"/>
        <w:jc w:val="both"/>
        <w:rPr/>
      </w:pPr>
      <w:r>
        <w:rPr>
          <w:rFonts w:eastAsia="Verdana" w:cs="Verdana" w:ascii="Verdana" w:hAnsi="Verdana"/>
          <w:sz w:val="22"/>
          <w:szCs w:val="22"/>
        </w:rPr>
        <w:t>Приказ Министерства экономического развития Российской Федерации от 29.02.2024</w:t>
      </w:r>
    </w:p>
    <w:p>
      <w:pPr>
        <w:pStyle w:val="ListParagraph"/>
        <w:spacing w:before="60" w:after="0"/>
        <w:ind w:firstLine="142" w:start="0"/>
        <w:jc w:val="both"/>
        <w:rPr/>
      </w:pPr>
      <w:r>
        <w:rPr>
          <w:rFonts w:eastAsia="Verdana" w:cs="Verdana" w:ascii="Verdana" w:hAnsi="Verdana"/>
          <w:sz w:val="22"/>
          <w:szCs w:val="22"/>
        </w:rPr>
        <w:t>No 119 "Об утверждении методики определения расчетно-измерительным способом объема потребления энергетического ресурса в натуральном выражении для реализации мероприятий по повышению энергетической эффективности систем внутреннего и наружного освещения, энергетической эффективности использования электродвигателей, в том числе в составе технологических комплексов (насосных, компрессорных и прочих), энергетической эффективности объектов теплоснабжения, систем отопления, вентиляции и кондиционирования воздуха зданий, строений и сооружений, энергетической эффективности объектов электроэнергетики, энергетической эффективности оборудования для пищеприготовления, направленных на энергосбережение и повышение энергетической эффективности".</w:t>
      </w:r>
    </w:p>
    <w:p>
      <w:pPr>
        <w:pStyle w:val="Normal"/>
        <w:spacing w:before="120" w:after="0"/>
        <w:ind w:firstLine="142"/>
        <w:jc w:val="both"/>
        <w:rPr>
          <w:rFonts w:ascii="Verdana" w:hAnsi="Verdana" w:cs="Verdana"/>
          <w:b/>
          <w:sz w:val="22"/>
          <w:szCs w:val="22"/>
        </w:rPr>
      </w:pPr>
      <w:r>
        <w:rPr>
          <w:rFonts w:eastAsia="Verdana" w:cs="Verdana" w:ascii="Verdana" w:hAnsi="Verdana"/>
          <w:b/>
          <w:sz w:val="22"/>
          <w:szCs w:val="22"/>
        </w:rPr>
        <w:t>1.3 Средства измерения</w:t>
      </w:r>
    </w:p>
    <w:p>
      <w:pPr>
        <w:pStyle w:val="Normal"/>
        <w:shd w:val="clear" w:color="auto" w:fill="FFFFFF"/>
        <w:tabs>
          <w:tab w:val="clear" w:pos="369"/>
          <w:tab w:val="left" w:pos="-4678" w:leader="none"/>
        </w:tabs>
        <w:spacing w:before="60" w:after="0"/>
        <w:ind w:firstLine="142"/>
        <w:jc w:val="both"/>
        <w:rPr>
          <w:rFonts w:ascii="Verdana" w:hAnsi="Verdana" w:cs="Verdana"/>
          <w:sz w:val="22"/>
          <w:szCs w:val="22"/>
        </w:rPr>
      </w:pPr>
      <w:r>
        <w:rPr>
          <w:rFonts w:eastAsia="Verdana" w:cs="Verdana" w:ascii="Verdana" w:hAnsi="Verdana"/>
          <w:sz w:val="22"/>
          <w:szCs w:val="22"/>
        </w:rPr>
        <w:t>1.3.1 Для измерения активной мощности следует использовать средства измерений, имеющие предел допускаемой относительной погрешности не более 3% по показателю активной мощности.</w:t>
      </w:r>
    </w:p>
    <w:p>
      <w:pPr>
        <w:pStyle w:val="Normal"/>
        <w:shd w:val="clear" w:color="auto" w:fill="FFFFFF"/>
        <w:tabs>
          <w:tab w:val="clear" w:pos="369"/>
          <w:tab w:val="left" w:pos="-4678" w:leader="none"/>
        </w:tabs>
        <w:spacing w:before="60" w:after="0"/>
        <w:ind w:firstLine="142"/>
        <w:jc w:val="both"/>
        <w:rPr>
          <w:rFonts w:ascii="Verdana" w:hAnsi="Verdana" w:cs="Verdana"/>
          <w:sz w:val="22"/>
          <w:szCs w:val="22"/>
        </w:rPr>
      </w:pPr>
      <w:r>
        <w:rPr>
          <w:rFonts w:eastAsia="Verdana" w:cs="Verdana" w:ascii="Verdana" w:hAnsi="Verdana"/>
          <w:sz w:val="22"/>
          <w:szCs w:val="22"/>
        </w:rPr>
        <w:t>1.3.2 Средства измерения активной мощности должны быть внесены в Государственный реестр средств измерений, поверены, и иметь действующие свидетельства о поверке средств измерений. Поверка осуществляется органами стандартизации и метрологии. На корпусе средства измерения должно быть нанесено неповрежденное поверительное клеймо.</w:t>
      </w:r>
    </w:p>
    <w:p>
      <w:pPr>
        <w:pStyle w:val="Normal"/>
        <w:shd w:val="clear" w:color="auto" w:fill="FFFFFF"/>
        <w:tabs>
          <w:tab w:val="clear" w:pos="369"/>
          <w:tab w:val="left" w:pos="-4678" w:leader="none"/>
        </w:tabs>
        <w:spacing w:before="60" w:after="0"/>
        <w:ind w:firstLine="142"/>
        <w:jc w:val="both"/>
        <w:rPr>
          <w:rFonts w:ascii="Verdana" w:hAnsi="Verdana" w:cs="Verdana"/>
          <w:sz w:val="22"/>
          <w:szCs w:val="22"/>
        </w:rPr>
      </w:pPr>
      <w:r>
        <w:rPr>
          <w:rFonts w:eastAsia="Verdana" w:cs="Verdana" w:ascii="Verdana" w:hAnsi="Verdana"/>
          <w:sz w:val="22"/>
          <w:szCs w:val="22"/>
        </w:rPr>
        <w:t>1.3.3 Средства измерений предоставляются ПАО «ММК».</w:t>
      </w:r>
    </w:p>
    <w:p>
      <w:pPr>
        <w:pStyle w:val="Normal"/>
        <w:shd w:val="clear" w:color="auto" w:fill="FFFFFF"/>
        <w:tabs>
          <w:tab w:val="clear" w:pos="369"/>
          <w:tab w:val="left" w:pos="-4678" w:leader="none"/>
        </w:tabs>
        <w:ind w:start="142"/>
        <w:jc w:val="both"/>
        <w:rPr>
          <w:rFonts w:ascii="Verdana" w:hAnsi="Verdana" w:cs="Verdana"/>
          <w:sz w:val="22"/>
          <w:szCs w:val="22"/>
        </w:rPr>
      </w:pPr>
      <w:r>
        <w:rPr>
          <w:rFonts w:cs="Verdana" w:ascii="Verdana" w:hAnsi="Verdana"/>
          <w:sz w:val="22"/>
          <w:szCs w:val="22"/>
        </w:rPr>
      </w:r>
    </w:p>
    <w:p>
      <w:pPr>
        <w:pStyle w:val="ListParagraph"/>
        <w:numPr>
          <w:ilvl w:val="0"/>
          <w:numId w:val="8"/>
        </w:numPr>
        <w:jc w:val="both"/>
        <w:rPr>
          <w:rFonts w:ascii="Verdana" w:hAnsi="Verdana" w:cs="Verdana"/>
          <w:b/>
          <w:sz w:val="22"/>
          <w:szCs w:val="22"/>
        </w:rPr>
      </w:pPr>
      <w:r>
        <w:rPr>
          <w:rFonts w:eastAsia="Verdana" w:cs="Verdana" w:ascii="Verdana" w:hAnsi="Verdana"/>
          <w:b/>
          <w:sz w:val="22"/>
          <w:szCs w:val="22"/>
        </w:rPr>
        <w:t>Определение среднего значения измеренной мощности</w:t>
      </w:r>
    </w:p>
    <w:p>
      <w:pPr>
        <w:pStyle w:val="ListParagraph"/>
        <w:numPr>
          <w:ilvl w:val="1"/>
          <w:numId w:val="8"/>
        </w:numPr>
        <w:spacing w:before="60" w:after="0"/>
        <w:ind w:hanging="0" w:start="0"/>
        <w:jc w:val="both"/>
        <w:rPr>
          <w:rFonts w:ascii="Verdana" w:hAnsi="Verdana" w:cs="Verdana"/>
          <w:sz w:val="22"/>
          <w:szCs w:val="22"/>
        </w:rPr>
      </w:pPr>
      <w:r>
        <w:rPr>
          <w:rFonts w:eastAsia="Verdana" w:cs="Verdana" w:ascii="Verdana" w:hAnsi="Verdana"/>
          <w:sz w:val="22"/>
          <w:szCs w:val="22"/>
        </w:rPr>
        <w:t>При определении среднего значения измеренной мощности контрольных осветительных приборов учитываются осветительные приборы только в помещениях и на территориях, где реализуются работы по модернизации системы освещения. Осветительные приборы относятся к различным типам только в случае различия их по номинальной мощности (указанной в техническом паспорте прибора) а также по исполнению драйвера (встроенный или выносной). В случае различия только в исполнении корпуса осветительного прибора или оптических характеристиках приборы относятся к одному типу.</w:t>
      </w:r>
    </w:p>
    <w:p>
      <w:pPr>
        <w:pStyle w:val="ListParagraph"/>
        <w:numPr>
          <w:ilvl w:val="1"/>
          <w:numId w:val="8"/>
        </w:numPr>
        <w:spacing w:before="60" w:after="0"/>
        <w:ind w:hanging="0" w:start="0"/>
        <w:jc w:val="both"/>
        <w:rPr>
          <w:rFonts w:ascii="Verdana" w:hAnsi="Verdana" w:cs="Verdana"/>
          <w:sz w:val="22"/>
          <w:szCs w:val="22"/>
        </w:rPr>
      </w:pPr>
      <w:r>
        <w:rPr>
          <w:rFonts w:eastAsia="Verdana" w:cs="Verdana" w:ascii="Verdana" w:hAnsi="Verdana"/>
          <w:sz w:val="22"/>
          <w:szCs w:val="22"/>
        </w:rPr>
        <w:t>Количество контрольных осветительных приборов с одинаковыми техническими характеристиками (однотипных осветительных приборов), в отношении которых будут проведены измерения мощности осветительных приборов определяется, исходя из условия, что измерения проводятся для 10% от всех однотипных осветительных приборов, но не менее 1 и не более 100 штук.</w:t>
      </w:r>
    </w:p>
    <w:p>
      <w:pPr>
        <w:pStyle w:val="ListParagraph"/>
        <w:numPr>
          <w:ilvl w:val="1"/>
          <w:numId w:val="8"/>
        </w:numPr>
        <w:spacing w:before="60" w:after="0"/>
        <w:ind w:hanging="0" w:start="0"/>
        <w:jc w:val="both"/>
        <w:rPr>
          <w:rFonts w:ascii="Verdana" w:hAnsi="Verdana" w:cs="Verdana"/>
          <w:sz w:val="22"/>
          <w:szCs w:val="22"/>
        </w:rPr>
      </w:pPr>
      <w:r>
        <w:rPr>
          <w:rFonts w:eastAsia="Verdana" w:cs="Verdana" w:ascii="Verdana" w:hAnsi="Verdana"/>
          <w:sz w:val="22"/>
          <w:szCs w:val="22"/>
        </w:rPr>
        <w:t xml:space="preserve">Среднее значение измеренной мощности контрольных осветительных приборов </w:t>
      </w:r>
      <w:r>
        <w:rPr>
          <w:rFonts w:eastAsia="Verdana" w:cs="Verdana" w:ascii="Verdana" w:hAnsi="Verdana"/>
          <w:i/>
          <w:sz w:val="22"/>
          <w:szCs w:val="22"/>
        </w:rPr>
        <w:t>j-</w:t>
      </w:r>
      <w:r>
        <w:rPr>
          <w:rFonts w:eastAsia="Verdana" w:cs="Verdana" w:ascii="Verdana" w:hAnsi="Verdana"/>
          <w:sz w:val="22"/>
          <w:szCs w:val="22"/>
        </w:rPr>
        <w:t>го типа (P</w:t>
      </w:r>
      <w:r>
        <w:rPr>
          <w:rFonts w:eastAsia="Verdana" w:cs="Verdana" w:ascii="Verdana" w:hAnsi="Verdana"/>
          <w:i/>
          <w:sz w:val="22"/>
          <w:szCs w:val="22"/>
          <w:vertAlign w:val="subscript"/>
        </w:rPr>
        <w:t>j контр ср</w:t>
      </w:r>
      <w:r>
        <w:rPr>
          <w:rFonts w:eastAsia="Verdana" w:cs="Verdana" w:ascii="Verdana" w:hAnsi="Verdana"/>
          <w:sz w:val="22"/>
          <w:szCs w:val="22"/>
        </w:rPr>
        <w:t>) определяется по формуле:</w:t>
      </w:r>
    </w:p>
    <w:p>
      <w:pPr>
        <w:pStyle w:val="Normal"/>
        <w:ind w:firstLine="142"/>
        <w:jc w:val="center"/>
        <w:rPr>
          <w:rFonts w:ascii="Verdana" w:hAnsi="Verdana" w:cs="Verdana"/>
          <w:sz w:val="22"/>
          <w:szCs w:val="22"/>
        </w:rPr>
      </w:pPr>
      <w:r>
        <w:rPr/>
      </w:r>
      <m:oMathPara xmlns:m="http://schemas.openxmlformats.org/officeDocument/2006/math">
        <m:oMathParaPr>
          <m:jc m:val="center"/>
        </m:oMathParaPr>
        <m:oMath>
          <m:sSub>
            <m:e>
              <m:r>
                <m:t xml:space="preserve">P</m:t>
              </m:r>
            </m:e>
            <m:sub>
              <m:r>
                <m:t xml:space="preserve">j</m:t>
              </m:r>
              <m:r>
                <m:rPr>
                  <m:lit/>
                  <m:nor/>
                </m:rPr>
                <m:t xml:space="preserve"> </m:t>
              </m:r>
              <m:r>
                <m:t xml:space="preserve">контр</m:t>
              </m:r>
              <m:r>
                <m:rPr>
                  <m:lit/>
                  <m:nor/>
                </m:rPr>
                <m:t xml:space="preserve"> </m:t>
              </m:r>
              <m:r>
                <m:t xml:space="preserve">ср</m:t>
              </m:r>
            </m:sub>
          </m:sSub>
          <m:r>
            <m:rPr>
              <m:lit/>
              <m:nor/>
            </m:rPr>
            <m:t xml:space="preserve">=</m:t>
          </m:r>
          <m:f>
            <m:num>
              <m:nary>
                <m:naryPr>
                  <m:chr m:val="∑"/>
                </m:naryPr>
                <m:sub>
                  <m:r>
                    <m:t xml:space="preserve">f</m:t>
                  </m:r>
                  <m:r>
                    <m:rPr>
                      <m:lit/>
                      <m:nor/>
                    </m:rPr>
                    <m:t xml:space="preserve">=</m:t>
                  </m:r>
                  <m:r>
                    <m:t xml:space="preserve">1</m:t>
                  </m:r>
                </m:sub>
                <m:sup>
                  <m:r>
                    <m:t xml:space="preserve">k</m:t>
                  </m:r>
                </m:sup>
                <m:e>
                  <m:sSub>
                    <m:e>
                      <m:r>
                        <m:t xml:space="preserve">P</m:t>
                      </m:r>
                    </m:e>
                    <m:sub>
                      <m:r>
                        <m:t xml:space="preserve">j</m:t>
                      </m:r>
                      <m:r>
                        <m:rPr>
                          <m:lit/>
                          <m:nor/>
                        </m:rPr>
                        <m:t xml:space="preserve"> </m:t>
                      </m:r>
                      <m:r>
                        <m:t xml:space="preserve">контр</m:t>
                      </m:r>
                    </m:sub>
                  </m:sSub>
                </m:e>
              </m:nary>
            </m:num>
            <m:den>
              <m:r>
                <m:t xml:space="preserve">k</m:t>
              </m:r>
            </m:den>
          </m:f>
          <m:r>
            <m:t xml:space="preserve">,</m:t>
          </m:r>
        </m:oMath>
      </m:oMathPara>
    </w:p>
    <w:p>
      <w:pPr>
        <w:pStyle w:val="Normal"/>
        <w:tabs>
          <w:tab w:val="clear" w:pos="369"/>
          <w:tab w:val="left" w:pos="4420" w:leader="none"/>
        </w:tabs>
        <w:jc w:val="both"/>
        <w:rPr>
          <w:rFonts w:ascii="Verdana" w:hAnsi="Verdana" w:cs="Verdana"/>
          <w:sz w:val="22"/>
          <w:szCs w:val="22"/>
        </w:rPr>
      </w:pPr>
      <w:r>
        <w:rPr>
          <w:rFonts w:eastAsia="Verdana" w:cs="Verdana" w:ascii="Verdana" w:hAnsi="Verdana"/>
          <w:sz w:val="22"/>
          <w:szCs w:val="22"/>
        </w:rPr>
        <w:t xml:space="preserve">где </w:t>
      </w:r>
      <w:r>
        <w:rPr>
          <w:rFonts w:eastAsia="Verdana" w:cs="Verdana" w:ascii="Verdana" w:hAnsi="Verdana"/>
          <w:i/>
          <w:sz w:val="22"/>
          <w:szCs w:val="22"/>
        </w:rPr>
        <w:t>j</w:t>
      </w:r>
      <w:r>
        <w:rPr>
          <w:rFonts w:eastAsia="Verdana" w:cs="Verdana" w:ascii="Verdana" w:hAnsi="Verdana"/>
          <w:sz w:val="22"/>
          <w:szCs w:val="22"/>
        </w:rPr>
        <w:t xml:space="preserve"> – порядковый номер типа осветительных приборов (осветительных приборов с одинаковыми характеристиками по номинальной мощности и исполнению драйвера); </w:t>
      </w:r>
    </w:p>
    <w:p>
      <w:pPr>
        <w:pStyle w:val="Normal"/>
        <w:tabs>
          <w:tab w:val="clear" w:pos="369"/>
          <w:tab w:val="left" w:pos="4420" w:leader="none"/>
        </w:tabs>
        <w:jc w:val="both"/>
        <w:rPr>
          <w:rFonts w:ascii="Verdana" w:hAnsi="Verdana" w:cs="Verdana"/>
          <w:sz w:val="22"/>
          <w:szCs w:val="22"/>
        </w:rPr>
      </w:pPr>
      <w:r>
        <w:rPr>
          <w:rFonts w:eastAsia="Verdana" w:cs="Verdana" w:ascii="Verdana" w:hAnsi="Verdana"/>
          <w:sz w:val="22"/>
          <w:szCs w:val="22"/>
        </w:rPr>
        <w:t>P</w:t>
      </w:r>
      <w:r>
        <w:rPr>
          <w:rFonts w:eastAsia="Verdana" w:cs="Verdana" w:ascii="Verdana" w:hAnsi="Verdana"/>
          <w:i/>
          <w:sz w:val="22"/>
          <w:szCs w:val="22"/>
          <w:vertAlign w:val="subscript"/>
          <w:lang w:val="en-US"/>
        </w:rPr>
        <w:t>j</w:t>
      </w:r>
      <w:r>
        <w:rPr>
          <w:rFonts w:eastAsia="Verdana" w:cs="Verdana" w:ascii="Verdana" w:hAnsi="Verdana"/>
          <w:i/>
          <w:sz w:val="22"/>
          <w:szCs w:val="22"/>
          <w:vertAlign w:val="subscript"/>
        </w:rPr>
        <w:t xml:space="preserve"> контр</w:t>
      </w:r>
      <w:r>
        <w:rPr>
          <w:rFonts w:eastAsia="Verdana" w:cs="Verdana" w:ascii="Verdana" w:hAnsi="Verdana"/>
          <w:sz w:val="22"/>
          <w:szCs w:val="22"/>
          <w:vertAlign w:val="subscript"/>
        </w:rPr>
        <w:t xml:space="preserve"> </w:t>
      </w:r>
      <w:r>
        <w:rPr>
          <w:rFonts w:eastAsia="Verdana" w:cs="Verdana" w:ascii="Verdana" w:hAnsi="Verdana"/>
          <w:sz w:val="22"/>
          <w:szCs w:val="22"/>
        </w:rPr>
        <w:t xml:space="preserve">– значение измеренной активной мощности контрольных осветительных приборов </w:t>
      </w:r>
      <w:r>
        <w:rPr>
          <w:rFonts w:eastAsia="Verdana" w:cs="Verdana" w:ascii="Verdana" w:hAnsi="Verdana"/>
          <w:i/>
          <w:sz w:val="22"/>
          <w:szCs w:val="22"/>
        </w:rPr>
        <w:t>j</w:t>
      </w:r>
      <w:r>
        <w:rPr>
          <w:rFonts w:eastAsia="Verdana" w:cs="Verdana" w:ascii="Verdana" w:hAnsi="Verdana"/>
          <w:sz w:val="22"/>
          <w:szCs w:val="22"/>
        </w:rPr>
        <w:t>-го типа, кВт;</w:t>
      </w:r>
    </w:p>
    <w:p>
      <w:pPr>
        <w:pStyle w:val="Normal"/>
        <w:tabs>
          <w:tab w:val="clear" w:pos="369"/>
          <w:tab w:val="left" w:pos="4420" w:leader="none"/>
        </w:tabs>
        <w:jc w:val="both"/>
        <w:rPr>
          <w:rFonts w:ascii="Verdana" w:hAnsi="Verdana" w:cs="Verdana"/>
          <w:sz w:val="22"/>
          <w:szCs w:val="22"/>
        </w:rPr>
      </w:pPr>
      <w:r>
        <w:rPr>
          <w:rFonts w:eastAsia="Verdana" w:cs="Verdana" w:ascii="Verdana" w:hAnsi="Verdana"/>
          <w:i/>
          <w:sz w:val="22"/>
          <w:szCs w:val="22"/>
          <w:lang w:val="en-US"/>
        </w:rPr>
        <w:t>k</w:t>
      </w:r>
      <w:r>
        <w:rPr>
          <w:rFonts w:eastAsia="Verdana" w:cs="Verdana" w:ascii="Verdana" w:hAnsi="Verdana"/>
          <w:i/>
          <w:sz w:val="22"/>
          <w:szCs w:val="22"/>
        </w:rPr>
        <w:t xml:space="preserve"> -</w:t>
      </w:r>
      <w:r>
        <w:rPr>
          <w:rFonts w:eastAsia="Verdana" w:cs="Verdana" w:ascii="Verdana" w:hAnsi="Verdana"/>
          <w:sz w:val="22"/>
          <w:szCs w:val="22"/>
        </w:rPr>
        <w:t xml:space="preserve"> количество используемых контрольных осветительных приборов</w:t>
      </w:r>
      <w:r>
        <w:rPr>
          <w:rFonts w:eastAsia="Verdana" w:cs="Verdana" w:ascii="Verdana" w:hAnsi="Verdana"/>
          <w:i/>
          <w:sz w:val="22"/>
          <w:szCs w:val="22"/>
        </w:rPr>
        <w:t xml:space="preserve"> j-</w:t>
      </w:r>
      <w:r>
        <w:rPr>
          <w:rFonts w:eastAsia="Verdana" w:cs="Verdana" w:ascii="Verdana" w:hAnsi="Verdana"/>
          <w:sz w:val="22"/>
          <w:szCs w:val="22"/>
        </w:rPr>
        <w:t>го типа.</w:t>
      </w:r>
    </w:p>
    <w:p>
      <w:pPr>
        <w:pStyle w:val="ListParagraph"/>
        <w:numPr>
          <w:ilvl w:val="1"/>
          <w:numId w:val="8"/>
        </w:numPr>
        <w:spacing w:before="60" w:after="0"/>
        <w:ind w:hanging="0" w:start="0"/>
        <w:jc w:val="both"/>
        <w:rPr>
          <w:rFonts w:ascii="Verdana" w:hAnsi="Verdana" w:cs="Verdana"/>
          <w:sz w:val="22"/>
          <w:szCs w:val="22"/>
        </w:rPr>
      </w:pPr>
      <w:r>
        <w:rPr>
          <w:rFonts w:eastAsia="Verdana" w:cs="Verdana" w:ascii="Verdana" w:hAnsi="Verdana"/>
          <w:sz w:val="22"/>
          <w:szCs w:val="22"/>
        </w:rPr>
        <w:t>Значения измеренной (P</w:t>
      </w:r>
      <w:r>
        <w:rPr>
          <w:rFonts w:eastAsia="Verdana" w:cs="Verdana" w:ascii="Verdana" w:hAnsi="Verdana"/>
          <w:sz w:val="22"/>
          <w:szCs w:val="22"/>
          <w:vertAlign w:val="subscript"/>
        </w:rPr>
        <w:t>j контр</w:t>
      </w:r>
      <w:r>
        <w:rPr>
          <w:rFonts w:eastAsia="Verdana" w:cs="Verdana" w:ascii="Verdana" w:hAnsi="Verdana"/>
          <w:sz w:val="22"/>
          <w:szCs w:val="22"/>
        </w:rPr>
        <w:t>) и средней измеренной мощности (P</w:t>
      </w:r>
      <w:r>
        <w:rPr>
          <w:rFonts w:eastAsia="Verdana" w:cs="Verdana" w:ascii="Verdana" w:hAnsi="Verdana"/>
          <w:sz w:val="22"/>
          <w:szCs w:val="22"/>
          <w:vertAlign w:val="subscript"/>
        </w:rPr>
        <w:t>j контр ср</w:t>
      </w:r>
      <w:r>
        <w:rPr>
          <w:rFonts w:eastAsia="Verdana" w:cs="Verdana" w:ascii="Verdana" w:hAnsi="Verdana"/>
          <w:sz w:val="22"/>
          <w:szCs w:val="22"/>
        </w:rPr>
        <w:t>) фиксируются в Акте фиксации мощности контрольных осветительных приборов (Приложение № 8 к Техническому заданию) с округлением до третьего десятичного знака согласно правилам округления.</w:t>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p>
      <w:pPr>
        <w:pStyle w:val="Normal"/>
        <w:spacing w:before="60" w:after="0"/>
        <w:jc w:val="both"/>
        <w:rPr>
          <w:rFonts w:ascii="Verdana" w:hAnsi="Verdana" w:cs="Verdana"/>
          <w:sz w:val="22"/>
          <w:szCs w:val="22"/>
        </w:rPr>
      </w:pPr>
      <w:r>
        <w:rPr>
          <w:rFonts w:cs="Verdana" w:ascii="Verdana" w:hAnsi="Verdana"/>
          <w:sz w:val="22"/>
          <w:szCs w:val="22"/>
        </w:rPr>
      </w:r>
    </w:p>
    <w:tbl>
      <w:tblPr>
        <w:tblW w:w="1006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032"/>
        <w:gridCol w:w="5033"/>
      </w:tblGrid>
      <w:tr>
        <w:trPr/>
        <w:tc>
          <w:tcPr>
            <w:tcW w:w="10065" w:type="dxa"/>
            <w:gridSpan w:val="2"/>
            <w:tcBorders/>
          </w:tcPr>
          <w:p>
            <w:pPr>
              <w:pStyle w:val="BodyText"/>
              <w:spacing w:before="0" w:after="0"/>
              <w:jc w:val="start"/>
              <w:rPr>
                <w:rFonts w:ascii="Verdana" w:hAnsi="Verdana" w:cs="Verdana"/>
                <w:sz w:val="22"/>
                <w:szCs w:val="22"/>
                <w:lang w:val="ru-RU"/>
              </w:rPr>
            </w:pPr>
            <w:r>
              <w:rPr>
                <w:rFonts w:cs="Verdana" w:ascii="Verdana" w:hAnsi="Verdana"/>
                <w:sz w:val="22"/>
                <w:szCs w:val="22"/>
                <w:lang w:val="ru-RU"/>
              </w:rPr>
            </w:r>
          </w:p>
          <w:p>
            <w:pPr>
              <w:pStyle w:val="BodyText"/>
              <w:spacing w:before="0" w:after="0"/>
              <w:jc w:val="start"/>
              <w:rPr>
                <w:rFonts w:ascii="Verdana" w:hAnsi="Verdana" w:cs="Verdana"/>
                <w:sz w:val="22"/>
                <w:szCs w:val="22"/>
                <w:lang w:val="ru-RU"/>
              </w:rPr>
            </w:pPr>
            <w:r>
              <w:rPr>
                <w:rFonts w:cs="Verdana" w:ascii="Verdana" w:hAnsi="Verdana"/>
                <w:sz w:val="22"/>
                <w:szCs w:val="22"/>
                <w:lang w:val="ru-RU"/>
              </w:rPr>
            </w:r>
          </w:p>
          <w:p>
            <w:pPr>
              <w:pStyle w:val="BodyText"/>
              <w:spacing w:before="0" w:after="0"/>
              <w:jc w:val="start"/>
              <w:rPr>
                <w:rFonts w:ascii="Verdana" w:hAnsi="Verdana" w:cs="Verdana"/>
                <w:sz w:val="22"/>
                <w:szCs w:val="22"/>
                <w:lang w:val="ru-RU"/>
              </w:rPr>
            </w:pPr>
            <w:r>
              <w:rPr>
                <w:rFonts w:cs="Verdana" w:ascii="Verdana" w:hAnsi="Verdana"/>
                <w:sz w:val="22"/>
                <w:szCs w:val="22"/>
                <w:lang w:val="ru-RU"/>
              </w:rPr>
            </w:r>
          </w:p>
          <w:p>
            <w:pPr>
              <w:pStyle w:val="BodyText"/>
              <w:spacing w:before="0" w:after="0"/>
              <w:jc w:val="start"/>
              <w:rPr>
                <w:rFonts w:ascii="Verdana" w:hAnsi="Verdana" w:cs="Verdana"/>
                <w:sz w:val="22"/>
                <w:szCs w:val="22"/>
                <w:lang w:val="ru-RU"/>
              </w:rPr>
            </w:pPr>
            <w:r>
              <w:rPr>
                <w:rFonts w:cs="Verdana" w:ascii="Verdana" w:hAnsi="Verdana"/>
                <w:sz w:val="22"/>
                <w:szCs w:val="22"/>
                <w:lang w:val="ru-RU"/>
              </w:rPr>
            </w:r>
          </w:p>
          <w:p>
            <w:pPr>
              <w:pStyle w:val="BodyText"/>
              <w:spacing w:before="0" w:after="0"/>
              <w:jc w:val="start"/>
              <w:rPr>
                <w:rFonts w:ascii="Verdana" w:hAnsi="Verdana" w:cs="Verdana"/>
                <w:sz w:val="22"/>
                <w:szCs w:val="22"/>
                <w:lang w:val="ru-RU"/>
              </w:rPr>
            </w:pPr>
            <w:r>
              <w:rPr>
                <w:rFonts w:cs="Verdana" w:ascii="Verdana" w:hAnsi="Verdana"/>
                <w:sz w:val="22"/>
                <w:szCs w:val="22"/>
                <w:lang w:val="ru-RU"/>
              </w:rPr>
            </w:r>
          </w:p>
          <w:p>
            <w:pPr>
              <w:pStyle w:val="BodyText"/>
              <w:spacing w:before="0" w:after="0"/>
              <w:jc w:val="start"/>
              <w:rPr>
                <w:rFonts w:ascii="Verdana" w:hAnsi="Verdana" w:cs="Verdana"/>
                <w:sz w:val="22"/>
                <w:szCs w:val="22"/>
                <w:lang w:val="ru-RU"/>
              </w:rPr>
            </w:pPr>
            <w:r>
              <w:rPr>
                <w:rFonts w:cs="Verdana" w:ascii="Verdana" w:hAnsi="Verdana"/>
                <w:sz w:val="22"/>
                <w:szCs w:val="22"/>
                <w:lang w:val="ru-RU"/>
              </w:rPr>
            </w:r>
          </w:p>
          <w:p>
            <w:pPr>
              <w:pStyle w:val="BodyText"/>
              <w:spacing w:before="0" w:after="0"/>
              <w:jc w:val="start"/>
              <w:rPr>
                <w:rFonts w:ascii="Verdana" w:hAnsi="Verdana" w:cs="Verdana"/>
                <w:sz w:val="22"/>
                <w:szCs w:val="22"/>
                <w:lang w:val="ru-RU"/>
              </w:rPr>
            </w:pPr>
            <w:r>
              <w:rPr>
                <w:rFonts w:cs="Verdana" w:ascii="Verdana" w:hAnsi="Verdana"/>
                <w:sz w:val="22"/>
                <w:szCs w:val="22"/>
                <w:lang w:val="ru-RU"/>
              </w:rPr>
            </w:r>
          </w:p>
          <w:p>
            <w:pPr>
              <w:pStyle w:val="BodyText"/>
              <w:spacing w:before="0" w:after="0"/>
              <w:jc w:val="start"/>
              <w:rPr>
                <w:rFonts w:ascii="Verdana" w:hAnsi="Verdana" w:cs="Verdana"/>
                <w:sz w:val="22"/>
                <w:szCs w:val="22"/>
                <w:lang w:val="ru-RU"/>
              </w:rPr>
            </w:pPr>
            <w:r>
              <w:rPr>
                <w:rFonts w:cs="Verdana" w:ascii="Verdana" w:hAnsi="Verdana"/>
                <w:sz w:val="22"/>
                <w:szCs w:val="22"/>
                <w:lang w:val="ru-RU"/>
              </w:rPr>
            </w:r>
          </w:p>
          <w:p>
            <w:pPr>
              <w:pStyle w:val="BodyText"/>
              <w:spacing w:before="0" w:after="0"/>
              <w:jc w:val="start"/>
              <w:rPr>
                <w:rFonts w:ascii="Verdana" w:hAnsi="Verdana" w:cs="Verdana"/>
                <w:sz w:val="22"/>
                <w:szCs w:val="22"/>
                <w:lang w:val="ru-RU"/>
              </w:rPr>
            </w:pPr>
            <w:r>
              <w:rPr>
                <w:rFonts w:cs="Verdana" w:ascii="Verdana" w:hAnsi="Verdana"/>
                <w:sz w:val="22"/>
                <w:szCs w:val="22"/>
                <w:lang w:val="ru-RU"/>
              </w:rPr>
            </w:r>
          </w:p>
        </w:tc>
      </w:tr>
      <w:tr>
        <w:trPr/>
        <w:tc>
          <w:tcPr>
            <w:tcW w:w="5032" w:type="dxa"/>
            <w:tcBorders/>
          </w:tcPr>
          <w:p>
            <w:pPr>
              <w:pStyle w:val="BodyText"/>
              <w:spacing w:before="0" w:after="0"/>
              <w:jc w:val="start"/>
              <w:rPr>
                <w:rFonts w:ascii="Verdana" w:hAnsi="Verdana" w:cs="Verdana"/>
                <w:sz w:val="22"/>
                <w:szCs w:val="22"/>
                <w:lang w:val="ru-RU"/>
              </w:rPr>
            </w:pPr>
            <w:r>
              <w:rPr>
                <w:rFonts w:cs="Verdana" w:ascii="Verdana" w:hAnsi="Verdana"/>
                <w:sz w:val="22"/>
                <w:szCs w:val="22"/>
                <w:lang w:val="ru-RU"/>
              </w:rPr>
            </w:r>
          </w:p>
        </w:tc>
        <w:tc>
          <w:tcPr>
            <w:tcW w:w="5033" w:type="dxa"/>
            <w:tcBorders/>
          </w:tcPr>
          <w:p>
            <w:pPr>
              <w:pStyle w:val="BodyText"/>
              <w:spacing w:before="0" w:after="0"/>
              <w:jc w:val="start"/>
              <w:rPr>
                <w:rFonts w:ascii="Verdana" w:hAnsi="Verdana" w:cs="Verdana"/>
                <w:sz w:val="22"/>
                <w:szCs w:val="22"/>
                <w:lang w:val="ru-RU"/>
              </w:rPr>
            </w:pPr>
            <w:r>
              <w:rPr>
                <w:rFonts w:cs="Verdana" w:ascii="Verdana" w:hAnsi="Verdana"/>
                <w:sz w:val="22"/>
                <w:szCs w:val="22"/>
                <w:lang w:val="ru-RU"/>
              </w:rPr>
            </w:r>
          </w:p>
        </w:tc>
      </w:tr>
    </w:tbl>
    <w:p>
      <w:pPr>
        <w:pStyle w:val="BodyText"/>
        <w:spacing w:before="0" w:after="0"/>
        <w:rPr>
          <w:i/>
          <w:lang w:val="ru-RU"/>
        </w:rPr>
        <w:sectPr>
          <w:footerReference w:type="even" r:id="rId7"/>
          <w:footerReference w:type="default" r:id="rId8"/>
          <w:footerReference w:type="first" r:id="rId9"/>
          <w:type w:val="nextPage"/>
          <w:pgSz w:w="11906" w:h="16838"/>
          <w:pgMar w:left="1134" w:right="707" w:gutter="0" w:header="0" w:top="1134" w:footer="709" w:bottom="993"/>
          <w:pgNumType w:fmt="decimal"/>
          <w:formProt w:val="false"/>
          <w:textDirection w:val="lrTb"/>
          <w:docGrid w:type="default" w:linePitch="360" w:charSpace="0"/>
        </w:sectPr>
      </w:pPr>
      <w:r>
        <w:rPr>
          <w:i/>
          <w:lang w:val="ru-RU"/>
        </w:rPr>
      </w:r>
    </w:p>
    <w:p>
      <w:pPr>
        <w:pStyle w:val="Heading2"/>
        <w:numPr>
          <w:ilvl w:val="1"/>
          <w:numId w:val="4"/>
        </w:numPr>
        <w:spacing w:before="0" w:after="0"/>
        <w:ind w:firstLine="35" w:start="720"/>
        <w:contextualSpacing/>
        <w:jc w:val="end"/>
        <w:rPr>
          <w:b w:val="false"/>
          <w:color w:val="000000"/>
          <w:szCs w:val="24"/>
          <w:lang w:val="ru-RU"/>
        </w:rPr>
      </w:pPr>
      <w:r>
        <w:rPr>
          <w:b w:val="false"/>
          <w:color w:val="000000"/>
          <w:szCs w:val="24"/>
          <w:lang w:val="ru-RU"/>
        </w:rPr>
        <w:t>Приложение №</w:t>
      </w:r>
      <w:r>
        <w:rPr>
          <w:b w:val="false"/>
          <w:color w:val="000000"/>
          <w:szCs w:val="24"/>
        </w:rPr>
        <w:t> </w:t>
      </w:r>
      <w:r>
        <w:rPr>
          <w:b w:val="false"/>
          <w:color w:val="000000"/>
          <w:szCs w:val="24"/>
          <w:lang w:val="ru-RU"/>
        </w:rPr>
        <w:t>4</w:t>
      </w:r>
    </w:p>
    <w:p>
      <w:pPr>
        <w:pStyle w:val="Normal"/>
        <w:jc w:val="end"/>
        <w:rPr>
          <w:color w:val="000000"/>
          <w:shd w:fill="FFFFFF" w:val="clear"/>
        </w:rPr>
      </w:pPr>
      <w:r>
        <w:rPr>
          <w:color w:val="000000"/>
          <w:shd w:fill="FFFFFF" w:val="clear"/>
        </w:rPr>
        <w:t>к Техническому заданию</w:t>
      </w:r>
    </w:p>
    <w:p>
      <w:pPr>
        <w:pStyle w:val="BodyText"/>
        <w:widowControl w:val="false"/>
        <w:tabs>
          <w:tab w:val="clear" w:pos="369"/>
          <w:tab w:val="left" w:pos="1418" w:leader="none"/>
        </w:tabs>
        <w:spacing w:before="0" w:after="0"/>
        <w:ind w:firstLine="567"/>
        <w:jc w:val="end"/>
        <w:rPr>
          <w:lang w:val="ru-RU"/>
        </w:rPr>
      </w:pPr>
      <w:r>
        <w:rPr>
          <w:lang w:val="ru-RU"/>
        </w:rPr>
      </w:r>
    </w:p>
    <w:p>
      <w:pPr>
        <w:pStyle w:val="BodyText"/>
        <w:widowControl w:val="false"/>
        <w:tabs>
          <w:tab w:val="clear" w:pos="369"/>
          <w:tab w:val="left" w:pos="1418" w:leader="none"/>
        </w:tabs>
        <w:spacing w:before="0" w:after="0"/>
        <w:ind w:firstLine="567"/>
        <w:jc w:val="end"/>
        <w:rPr>
          <w:lang w:val="ru-RU"/>
        </w:rPr>
      </w:pPr>
      <w:r>
        <w:rPr>
          <w:lang w:val="ru-RU"/>
        </w:rPr>
      </w:r>
    </w:p>
    <w:p>
      <w:pPr>
        <w:pStyle w:val="BodyText"/>
        <w:widowControl w:val="false"/>
        <w:tabs>
          <w:tab w:val="clear" w:pos="369"/>
          <w:tab w:val="left" w:pos="1418" w:leader="none"/>
        </w:tabs>
        <w:spacing w:before="0" w:after="0"/>
        <w:ind w:firstLine="567"/>
        <w:jc w:val="center"/>
        <w:rPr>
          <w:sz w:val="28"/>
          <w:szCs w:val="28"/>
          <w:lang w:val="ru-RU"/>
        </w:rPr>
      </w:pPr>
      <w:r>
        <w:rPr>
          <w:b/>
          <w:bCs/>
          <w:sz w:val="28"/>
          <w:szCs w:val="28"/>
          <w:lang w:val="ru-RU"/>
        </w:rPr>
        <w:t>Форма</w:t>
      </w:r>
    </w:p>
    <w:p>
      <w:pPr>
        <w:pStyle w:val="BodyText"/>
        <w:widowControl w:val="false"/>
        <w:tabs>
          <w:tab w:val="clear" w:pos="369"/>
          <w:tab w:val="left" w:pos="-5670" w:leader="none"/>
        </w:tabs>
        <w:spacing w:before="0" w:after="0"/>
        <w:jc w:val="center"/>
        <w:rPr>
          <w:sz w:val="28"/>
          <w:szCs w:val="28"/>
          <w:lang w:val="ru-RU"/>
        </w:rPr>
      </w:pPr>
      <w:r>
        <w:rPr>
          <w:b/>
          <w:bCs/>
          <w:sz w:val="28"/>
          <w:szCs w:val="28"/>
          <w:lang w:val="ru-RU"/>
        </w:rPr>
        <w:t xml:space="preserve">«Акт </w:t>
      </w:r>
      <w:r>
        <w:rPr>
          <w:b/>
          <w:sz w:val="28"/>
          <w:szCs w:val="28"/>
          <w:lang w:val="ru-RU"/>
        </w:rPr>
        <w:t>достижения гарантированной величины экономии электрической энергии»</w:t>
      </w:r>
    </w:p>
    <w:p>
      <w:pPr>
        <w:pStyle w:val="Normal"/>
        <w:tabs>
          <w:tab w:val="clear" w:pos="369"/>
          <w:tab w:val="left" w:pos="6946" w:leader="none"/>
        </w:tabs>
        <w:rPr/>
      </w:pPr>
      <w:r>
        <w:rPr/>
      </w:r>
    </w:p>
    <w:p>
      <w:pPr>
        <w:pStyle w:val="Normal"/>
        <w:tabs>
          <w:tab w:val="clear" w:pos="369"/>
          <w:tab w:val="left" w:pos="6946" w:leader="none"/>
        </w:tabs>
        <w:rPr/>
      </w:pPr>
      <w:r>
        <w:rPr/>
        <w:t>«___» ____________ 20___г.</w:t>
        <w:tab/>
        <w:tab/>
        <w:tab/>
        <w:tab/>
        <w:tab/>
        <w:tab/>
        <w:tab/>
        <w:tab/>
        <w:tab/>
        <w:tab/>
        <w:t>№ __________</w:t>
      </w:r>
    </w:p>
    <w:p>
      <w:pPr>
        <w:pStyle w:val="Normal"/>
        <w:widowControl w:val="false"/>
        <w:tabs>
          <w:tab w:val="clear" w:pos="369"/>
          <w:tab w:val="left" w:pos="1418" w:leader="none"/>
        </w:tabs>
        <w:jc w:val="both"/>
        <w:rPr>
          <w:i/>
          <w:iCs/>
          <w:color w:val="000000"/>
          <w:sz w:val="22"/>
          <w:szCs w:val="22"/>
        </w:rPr>
      </w:pPr>
      <w:r>
        <w:rPr>
          <w:i/>
          <w:iCs/>
          <w:color w:val="000000"/>
          <w:sz w:val="22"/>
          <w:szCs w:val="22"/>
        </w:rPr>
        <w:t>Первичный/Повторный (ненужное зачеркнуть)</w:t>
      </w:r>
    </w:p>
    <w:p>
      <w:pPr>
        <w:pStyle w:val="Normal"/>
        <w:widowControl w:val="false"/>
        <w:tabs>
          <w:tab w:val="clear" w:pos="369"/>
          <w:tab w:val="left" w:pos="1418" w:leader="none"/>
        </w:tabs>
        <w:jc w:val="both"/>
        <w:rPr>
          <w:b/>
          <w:iCs/>
          <w:color w:val="000000"/>
        </w:rPr>
      </w:pPr>
      <w:r>
        <w:rPr>
          <w:b/>
          <w:iCs/>
          <w:color w:val="000000"/>
        </w:rPr>
      </w:r>
    </w:p>
    <w:tbl>
      <w:tblPr>
        <w:tblW w:w="14850"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808"/>
        <w:gridCol w:w="3141"/>
        <w:gridCol w:w="3096"/>
        <w:gridCol w:w="2410"/>
        <w:gridCol w:w="2268"/>
        <w:gridCol w:w="2127"/>
      </w:tblGrid>
      <w:tr>
        <w:trPr/>
        <w:tc>
          <w:tcPr>
            <w:tcW w:w="18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369"/>
                <w:tab w:val="left" w:pos="1418" w:leader="none"/>
              </w:tabs>
              <w:jc w:val="center"/>
              <w:rPr>
                <w:iCs/>
                <w:color w:val="000000"/>
              </w:rPr>
            </w:pPr>
            <w:r>
              <w:rPr>
                <w:iCs/>
                <w:color w:val="000000"/>
                <w:sz w:val="22"/>
                <w:szCs w:val="22"/>
              </w:rPr>
              <w:t>Наименование подразделения</w:t>
            </w:r>
          </w:p>
        </w:tc>
        <w:tc>
          <w:tcPr>
            <w:tcW w:w="314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369"/>
                <w:tab w:val="left" w:pos="1418" w:leader="none"/>
              </w:tabs>
              <w:jc w:val="center"/>
              <w:rPr>
                <w:sz w:val="22"/>
                <w:szCs w:val="22"/>
              </w:rPr>
            </w:pPr>
            <w:r>
              <w:rPr>
                <w:sz w:val="22"/>
                <w:szCs w:val="22"/>
              </w:rPr>
              <w:t xml:space="preserve">Объем потребления электроэнергии за сутки системой общего освещения в базовый период </w:t>
            </w:r>
            <w:r>
              <w:rPr/>
            </w:r>
            <m:oMath xmlns:m="http://schemas.openxmlformats.org/officeDocument/2006/math">
              <m:sSub>
                <m:e>
                  <m:r>
                    <m:t xml:space="preserve">W</m:t>
                  </m:r>
                </m:e>
                <m:sub>
                  <m:r>
                    <m:t xml:space="preserve">баз</m:t>
                  </m:r>
                </m:sub>
              </m:sSub>
            </m:oMath>
            <w:r>
              <w:rPr>
                <w:sz w:val="22"/>
                <w:szCs w:val="22"/>
              </w:rPr>
              <w:t>,  кВт*час</w:t>
            </w:r>
          </w:p>
        </w:tc>
        <w:tc>
          <w:tcPr>
            <w:tcW w:w="30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369"/>
                <w:tab w:val="left" w:pos="1418" w:leader="none"/>
              </w:tabs>
              <w:jc w:val="center"/>
              <w:rPr>
                <w:iCs/>
                <w:color w:val="000000"/>
              </w:rPr>
            </w:pPr>
            <w:r>
              <w:rPr>
                <w:sz w:val="22"/>
                <w:szCs w:val="22"/>
              </w:rPr>
              <w:t xml:space="preserve">Объем потребления электроэнергии за сутки системой общего освещения в контрольный период </w:t>
            </w:r>
            <w:r>
              <w:rPr/>
            </w:r>
            <m:oMath xmlns:m="http://schemas.openxmlformats.org/officeDocument/2006/math">
              <m:sSub>
                <m:e>
                  <m:r>
                    <m:t xml:space="preserve">W</m:t>
                  </m:r>
                </m:e>
                <m:sub>
                  <m:r>
                    <m:t xml:space="preserve">контр</m:t>
                  </m:r>
                </m:sub>
              </m:sSub>
            </m:oMath>
            <w:r>
              <w:rPr>
                <w:sz w:val="22"/>
                <w:szCs w:val="22"/>
              </w:rPr>
              <w:t>,  кВт*час</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369"/>
                <w:tab w:val="left" w:pos="1418" w:leader="none"/>
              </w:tabs>
              <w:jc w:val="center"/>
              <w:rPr>
                <w:iCs/>
                <w:color w:val="000000"/>
              </w:rPr>
            </w:pPr>
            <w:r>
              <w:rPr>
                <w:sz w:val="22"/>
                <w:szCs w:val="22"/>
              </w:rPr>
              <w:t xml:space="preserve">Значение зафиксированной величины экономии </w:t>
            </w:r>
            <w:r>
              <w:rPr/>
            </w:r>
            <m:oMath xmlns:m="http://schemas.openxmlformats.org/officeDocument/2006/math">
              <m:sSub>
                <m:e>
                  <m:r>
                    <m:t xml:space="preserve">∆</m:t>
                  </m:r>
                  <m:r>
                    <m:t xml:space="preserve">W</m:t>
                  </m:r>
                </m:e>
                <m:sub>
                  <m:r>
                    <m:t xml:space="preserve">сут</m:t>
                  </m:r>
                </m:sub>
              </m:sSub>
            </m:oMath>
            <w:r>
              <w:rPr>
                <w:sz w:val="22"/>
                <w:szCs w:val="22"/>
              </w:rPr>
              <w:t>, кВт*час</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369"/>
                <w:tab w:val="left" w:pos="1418" w:leader="none"/>
              </w:tabs>
              <w:jc w:val="center"/>
              <w:rPr>
                <w:iCs/>
                <w:color w:val="000000"/>
              </w:rPr>
            </w:pPr>
            <w:r>
              <w:rPr>
                <w:iCs/>
                <w:color w:val="000000"/>
                <w:sz w:val="22"/>
                <w:szCs w:val="22"/>
              </w:rPr>
              <w:t xml:space="preserve">Значение получившейся величины экономии </w:t>
            </w:r>
            <w:r>
              <w:rPr/>
            </w:r>
            <m:oMath xmlns:m="http://schemas.openxmlformats.org/officeDocument/2006/math">
              <m:sSub>
                <m:e>
                  <m:r>
                    <m:t xml:space="preserve">∆</m:t>
                  </m:r>
                  <m:r>
                    <m:t xml:space="preserve">W</m:t>
                  </m:r>
                </m:e>
                <m:sub>
                  <m:r>
                    <m:t xml:space="preserve">сут</m:t>
                  </m:r>
                  <m:r>
                    <m:rPr>
                      <m:lit/>
                      <m:nor/>
                    </m:rPr>
                    <m:t xml:space="preserve">%</m:t>
                  </m:r>
                </m:sub>
              </m:sSub>
            </m:oMath>
            <w:r>
              <w:rPr>
                <w:iCs/>
                <w:color w:val="000000"/>
                <w:sz w:val="22"/>
                <w:szCs w:val="22"/>
              </w:rPr>
              <w:t>, %</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369"/>
                <w:tab w:val="left" w:pos="1418" w:leader="none"/>
              </w:tabs>
              <w:jc w:val="center"/>
              <w:rPr>
                <w:iCs/>
                <w:color w:val="000000"/>
              </w:rPr>
            </w:pPr>
            <w:r>
              <w:rPr>
                <w:iCs/>
                <w:color w:val="000000"/>
                <w:sz w:val="22"/>
                <w:szCs w:val="22"/>
              </w:rPr>
              <w:t xml:space="preserve">Гарантированная величина экономии </w:t>
            </w:r>
            <w:r>
              <w:rPr/>
            </w:r>
            <m:oMath xmlns:m="http://schemas.openxmlformats.org/officeDocument/2006/math">
              <m:sSubSup>
                <m:e>
                  <m:r>
                    <m:t xml:space="preserve">∆</m:t>
                  </m:r>
                  <m:r>
                    <m:t xml:space="preserve">W</m:t>
                  </m:r>
                </m:e>
                <m:sub>
                  <m:r>
                    <m:t xml:space="preserve">сут</m:t>
                  </m:r>
                  <m:r>
                    <m:rPr>
                      <m:lit/>
                      <m:nor/>
                    </m:rPr>
                    <m:t xml:space="preserve">%</m:t>
                  </m:r>
                </m:sub>
                <m:sup>
                  <m:r>
                    <m:t xml:space="preserve">гарант</m:t>
                  </m:r>
                </m:sup>
              </m:sSubSup>
            </m:oMath>
            <w:r>
              <w:rPr>
                <w:iCs/>
                <w:color w:val="000000"/>
                <w:sz w:val="22"/>
                <w:szCs w:val="22"/>
              </w:rPr>
              <w:t>, %</w:t>
            </w:r>
          </w:p>
        </w:tc>
      </w:tr>
      <w:tr>
        <w:trPr/>
        <w:tc>
          <w:tcPr>
            <w:tcW w:w="18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314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369"/>
                <w:tab w:val="left" w:pos="1418" w:leader="none"/>
              </w:tabs>
              <w:jc w:val="center"/>
              <w:rPr>
                <w:i/>
                <w:iCs/>
                <w:color w:val="000000"/>
              </w:rPr>
            </w:pPr>
            <w:r>
              <w:rPr>
                <w:i/>
                <w:iCs/>
                <w:color w:val="000000"/>
              </w:rPr>
            </w:r>
          </w:p>
        </w:tc>
        <w:tc>
          <w:tcPr>
            <w:tcW w:w="3096"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369"/>
                <w:tab w:val="left" w:pos="1418" w:leader="none"/>
              </w:tabs>
              <w:jc w:val="center"/>
              <w:rPr>
                <w:i/>
                <w:iCs/>
                <w:color w:val="000000"/>
              </w:rPr>
            </w:pPr>
            <w:r>
              <w:rPr>
                <w:i/>
                <w:iCs/>
                <w:color w:val="000000"/>
              </w:rPr>
            </w:r>
          </w:p>
        </w:tc>
        <w:tc>
          <w:tcPr>
            <w:tcW w:w="241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369"/>
                <w:tab w:val="left" w:pos="1418" w:leader="none"/>
              </w:tabs>
              <w:jc w:val="center"/>
              <w:rPr>
                <w:i/>
                <w:iCs/>
                <w:color w:val="000000"/>
              </w:rPr>
            </w:pPr>
            <w:r>
              <w:rPr>
                <w:i/>
                <w:iCs/>
                <w:color w:val="000000"/>
              </w:rPr>
            </w:r>
          </w:p>
        </w:tc>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pPr>
            <w:r>
              <w:rPr/>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369"/>
                <w:tab w:val="left" w:pos="1418" w:leader="none"/>
              </w:tabs>
              <w:jc w:val="center"/>
              <w:rPr>
                <w:iCs/>
                <w:color w:val="000000"/>
              </w:rPr>
            </w:pPr>
            <w:r>
              <w:rPr>
                <w:iCs/>
                <w:color w:val="000000"/>
              </w:rPr>
              <w:t>не менее ___%</w:t>
            </w:r>
          </w:p>
        </w:tc>
      </w:tr>
    </w:tbl>
    <w:p>
      <w:pPr>
        <w:pStyle w:val="Normal"/>
        <w:widowControl w:val="false"/>
        <w:tabs>
          <w:tab w:val="clear" w:pos="369"/>
          <w:tab w:val="left" w:pos="1418" w:leader="none"/>
        </w:tabs>
        <w:jc w:val="both"/>
        <w:rPr>
          <w:iCs/>
          <w:color w:val="000000"/>
          <w:sz w:val="22"/>
          <w:szCs w:val="22"/>
        </w:rPr>
      </w:pPr>
      <w:r>
        <w:rPr>
          <w:iCs/>
          <w:color w:val="000000"/>
          <w:sz w:val="22"/>
          <w:szCs w:val="22"/>
        </w:rPr>
      </w:r>
    </w:p>
    <w:tbl>
      <w:tblPr>
        <w:tblW w:w="9216"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4608"/>
        <w:gridCol w:w="4608"/>
      </w:tblGrid>
      <w:tr>
        <w:trPr/>
        <w:tc>
          <w:tcPr>
            <w:tcW w:w="4608" w:type="dxa"/>
            <w:tcBorders/>
          </w:tcPr>
          <w:p>
            <w:pPr>
              <w:pStyle w:val="Normal"/>
              <w:jc w:val="center"/>
              <w:rPr/>
            </w:pPr>
            <w:r>
              <w:rPr>
                <w:sz w:val="22"/>
                <w:szCs w:val="22"/>
              </w:rPr>
              <w:t>Представители Заказчика</w:t>
            </w:r>
          </w:p>
          <w:p>
            <w:pPr>
              <w:pStyle w:val="Normal"/>
              <w:tabs>
                <w:tab w:val="clear" w:pos="369"/>
                <w:tab w:val="left" w:pos="1350" w:leader="none"/>
              </w:tabs>
              <w:rPr/>
            </w:pPr>
            <w:r>
              <w:rPr/>
            </w:r>
          </w:p>
          <w:p>
            <w:pPr>
              <w:pStyle w:val="Normal"/>
              <w:tabs>
                <w:tab w:val="clear" w:pos="369"/>
                <w:tab w:val="left" w:pos="1350" w:leader="none"/>
              </w:tabs>
              <w:jc w:val="center"/>
              <w:rPr/>
            </w:pPr>
            <w:r>
              <w:rPr/>
              <w:t>________________________</w:t>
            </w:r>
          </w:p>
          <w:p>
            <w:pPr>
              <w:pStyle w:val="Normal"/>
              <w:tabs>
                <w:tab w:val="clear" w:pos="369"/>
                <w:tab w:val="left" w:pos="1350" w:leader="none"/>
              </w:tabs>
              <w:jc w:val="center"/>
              <w:rPr>
                <w:sz w:val="16"/>
                <w:szCs w:val="16"/>
              </w:rPr>
            </w:pPr>
            <w:r>
              <w:rPr>
                <w:sz w:val="16"/>
                <w:szCs w:val="16"/>
              </w:rPr>
              <w:t>(должность, подпись, Ф.И.О.)</w:t>
            </w:r>
          </w:p>
          <w:p>
            <w:pPr>
              <w:pStyle w:val="Normal"/>
              <w:tabs>
                <w:tab w:val="clear" w:pos="369"/>
                <w:tab w:val="left" w:pos="1350" w:leader="none"/>
              </w:tabs>
              <w:rPr/>
            </w:pPr>
            <w:r>
              <w:rPr/>
            </w:r>
          </w:p>
          <w:p>
            <w:pPr>
              <w:pStyle w:val="Normal"/>
              <w:tabs>
                <w:tab w:val="clear" w:pos="369"/>
                <w:tab w:val="left" w:pos="1350" w:leader="none"/>
              </w:tabs>
              <w:jc w:val="center"/>
              <w:rPr/>
            </w:pPr>
            <w:r>
              <w:rPr/>
              <w:t>________________________</w:t>
            </w:r>
          </w:p>
          <w:p>
            <w:pPr>
              <w:pStyle w:val="Normal"/>
              <w:tabs>
                <w:tab w:val="clear" w:pos="369"/>
                <w:tab w:val="left" w:pos="1350" w:leader="none"/>
              </w:tabs>
              <w:jc w:val="center"/>
              <w:rPr>
                <w:sz w:val="16"/>
                <w:szCs w:val="16"/>
              </w:rPr>
            </w:pPr>
            <w:r>
              <w:rPr>
                <w:sz w:val="16"/>
                <w:szCs w:val="16"/>
              </w:rPr>
              <w:t>(должность, подпись, Ф.И.О.)</w:t>
            </w:r>
          </w:p>
        </w:tc>
        <w:tc>
          <w:tcPr>
            <w:tcW w:w="4608" w:type="dxa"/>
            <w:tcBorders/>
          </w:tcPr>
          <w:p>
            <w:pPr>
              <w:pStyle w:val="Normal"/>
              <w:jc w:val="center"/>
              <w:rPr>
                <w:sz w:val="22"/>
                <w:szCs w:val="22"/>
              </w:rPr>
            </w:pPr>
            <w:r>
              <w:rPr>
                <w:sz w:val="22"/>
                <w:szCs w:val="22"/>
              </w:rPr>
              <w:t>Представители Субподрядчика</w:t>
            </w:r>
          </w:p>
          <w:p>
            <w:pPr>
              <w:pStyle w:val="Normal"/>
              <w:jc w:val="center"/>
              <w:rPr>
                <w:sz w:val="22"/>
                <w:szCs w:val="22"/>
              </w:rPr>
            </w:pPr>
            <w:r>
              <w:rPr>
                <w:sz w:val="22"/>
                <w:szCs w:val="22"/>
              </w:rPr>
            </w:r>
          </w:p>
          <w:p>
            <w:pPr>
              <w:pStyle w:val="Normal"/>
              <w:tabs>
                <w:tab w:val="clear" w:pos="369"/>
                <w:tab w:val="left" w:pos="1350" w:leader="none"/>
              </w:tabs>
              <w:jc w:val="center"/>
              <w:rPr/>
            </w:pPr>
            <w:r>
              <w:rPr/>
              <w:t>________________________</w:t>
            </w:r>
          </w:p>
          <w:p>
            <w:pPr>
              <w:pStyle w:val="Normal"/>
              <w:tabs>
                <w:tab w:val="clear" w:pos="369"/>
                <w:tab w:val="left" w:pos="1350" w:leader="none"/>
              </w:tabs>
              <w:jc w:val="center"/>
              <w:rPr>
                <w:sz w:val="16"/>
                <w:szCs w:val="16"/>
              </w:rPr>
            </w:pPr>
            <w:r>
              <w:rPr>
                <w:sz w:val="16"/>
                <w:szCs w:val="16"/>
              </w:rPr>
              <w:t>(должность, подпись, Ф.И.О.)</w:t>
            </w:r>
          </w:p>
          <w:p>
            <w:pPr>
              <w:pStyle w:val="Normal"/>
              <w:rPr/>
            </w:pPr>
            <w:r>
              <w:rPr/>
            </w:r>
          </w:p>
          <w:p>
            <w:pPr>
              <w:pStyle w:val="Normal"/>
              <w:tabs>
                <w:tab w:val="clear" w:pos="369"/>
                <w:tab w:val="left" w:pos="1350" w:leader="none"/>
              </w:tabs>
              <w:jc w:val="center"/>
              <w:rPr/>
            </w:pPr>
            <w:r>
              <w:rPr/>
              <w:t>________________________</w:t>
            </w:r>
          </w:p>
          <w:p>
            <w:pPr>
              <w:pStyle w:val="Normal"/>
              <w:tabs>
                <w:tab w:val="clear" w:pos="369"/>
                <w:tab w:val="left" w:pos="1350" w:leader="none"/>
              </w:tabs>
              <w:jc w:val="center"/>
              <w:rPr>
                <w:sz w:val="16"/>
                <w:szCs w:val="16"/>
              </w:rPr>
            </w:pPr>
            <w:r>
              <w:rPr>
                <w:sz w:val="16"/>
                <w:szCs w:val="16"/>
              </w:rPr>
              <w:t>(должность, подпись, Ф.И.О.)</w:t>
            </w:r>
          </w:p>
        </w:tc>
      </w:tr>
    </w:tbl>
    <w:p>
      <w:pPr>
        <w:pStyle w:val="Normal"/>
        <w:widowControl w:val="false"/>
        <w:tabs>
          <w:tab w:val="clear" w:pos="369"/>
          <w:tab w:val="left" w:pos="1418" w:leader="none"/>
        </w:tabs>
        <w:jc w:val="both"/>
        <w:rPr>
          <w:b/>
          <w:iCs/>
          <w:color w:val="000000"/>
          <w:sz w:val="22"/>
          <w:szCs w:val="22"/>
        </w:rPr>
      </w:pPr>
      <w:r>
        <w:rPr>
          <w:b/>
          <w:iCs/>
          <w:color w:val="000000"/>
          <w:sz w:val="22"/>
          <w:szCs w:val="22"/>
        </w:rPr>
        <w:t>_____________________________________________________________________________________________________________________________________</w:t>
      </w:r>
    </w:p>
    <w:p>
      <w:pPr>
        <w:pStyle w:val="Normal"/>
        <w:widowControl w:val="false"/>
        <w:tabs>
          <w:tab w:val="clear" w:pos="369"/>
          <w:tab w:val="left" w:pos="1418" w:leader="none"/>
        </w:tabs>
        <w:spacing w:before="0" w:after="0"/>
        <w:jc w:val="center"/>
        <w:rPr>
          <w:b/>
          <w:i/>
          <w:iCs/>
          <w:color w:val="000000"/>
          <w:sz w:val="22"/>
          <w:szCs w:val="22"/>
        </w:rPr>
        <w:sectPr>
          <w:footerReference w:type="default" r:id="rId10"/>
          <w:footerReference w:type="first" r:id="rId11"/>
          <w:type w:val="nextPage"/>
          <w:pgSz w:orient="landscape" w:w="16838" w:h="11906"/>
          <w:pgMar w:left="992" w:right="1134" w:gutter="0" w:header="0" w:top="851" w:footer="709" w:bottom="766"/>
          <w:pgNumType w:fmt="decimal"/>
          <w:formProt w:val="false"/>
          <w:textDirection w:val="lrTb"/>
          <w:docGrid w:type="default" w:linePitch="360" w:charSpace="0"/>
        </w:sectPr>
      </w:pPr>
      <w:r>
        <w:rPr>
          <w:b/>
          <w:i/>
          <w:iCs/>
          <w:color w:val="000000"/>
          <w:sz w:val="22"/>
          <w:szCs w:val="22"/>
        </w:rPr>
        <w:t>конец формы</w:t>
      </w:r>
    </w:p>
    <w:p>
      <w:pPr>
        <w:pStyle w:val="BodyText"/>
        <w:spacing w:before="0" w:after="0"/>
        <w:jc w:val="end"/>
        <w:rPr/>
      </w:pPr>
      <w:r>
        <w:rPr/>
      </w:r>
    </w:p>
    <w:p>
      <w:pPr>
        <w:pStyle w:val="BodyText"/>
        <w:tabs>
          <w:tab w:val="clear" w:pos="369"/>
          <w:tab w:val="left" w:pos="6885" w:leader="none"/>
        </w:tabs>
        <w:spacing w:before="0" w:after="0"/>
        <w:jc w:val="start"/>
        <w:rPr/>
      </w:pPr>
      <w:r>
        <w:rPr/>
        <w:tab/>
      </w:r>
      <w:r>
        <w:br w:type="page"/>
      </w:r>
    </w:p>
    <w:p>
      <w:pPr>
        <w:pStyle w:val="BodyText"/>
        <w:spacing w:before="0" w:after="0"/>
        <w:jc w:val="end"/>
        <w:rPr>
          <w:lang w:val="ru-RU"/>
        </w:rPr>
      </w:pPr>
      <w:r>
        <w:rPr>
          <w:b/>
          <w:shd w:fill="FFFFFF" w:val="clear"/>
          <w:lang w:val="ru-RU"/>
        </w:rPr>
        <w:t xml:space="preserve">Приложение № </w:t>
      </w:r>
      <w:r>
        <w:rPr>
          <w:b/>
          <w:shd w:fill="FFFFFF" w:val="clear"/>
          <w:lang w:val="ru-RU"/>
        </w:rPr>
        <w:t>5</w:t>
      </w:r>
    </w:p>
    <w:p>
      <w:pPr>
        <w:pStyle w:val="Normal"/>
        <w:jc w:val="end"/>
        <w:rPr/>
      </w:pPr>
      <w:r>
        <w:rPr/>
        <w:t>к Техническому заданию</w:t>
      </w:r>
    </w:p>
    <w:p>
      <w:pPr>
        <w:pStyle w:val="Normal"/>
        <w:tabs>
          <w:tab w:val="clear" w:pos="369"/>
          <w:tab w:val="left" w:pos="2542" w:leader="none"/>
        </w:tabs>
        <w:jc w:val="end"/>
        <w:rPr/>
      </w:pPr>
      <w:r>
        <w:rPr/>
      </w:r>
    </w:p>
    <w:p>
      <w:pPr>
        <w:pStyle w:val="Normal"/>
        <w:jc w:val="end"/>
        <w:rPr/>
      </w:pPr>
      <w:r>
        <w:rPr/>
      </w:r>
    </w:p>
    <w:p>
      <w:pPr>
        <w:pStyle w:val="BodyText"/>
        <w:spacing w:before="0" w:after="0"/>
        <w:rPr>
          <w:lang w:val="ru-RU"/>
        </w:rPr>
      </w:pPr>
      <w:r>
        <w:rPr>
          <w:lang w:val="ru-RU"/>
        </w:rPr>
      </w:r>
    </w:p>
    <w:p>
      <w:pPr>
        <w:pStyle w:val="BodyText"/>
        <w:spacing w:before="0" w:after="0"/>
        <w:jc w:val="center"/>
        <w:rPr>
          <w:sz w:val="28"/>
          <w:szCs w:val="28"/>
          <w:lang w:val="ru-RU"/>
        </w:rPr>
      </w:pPr>
      <w:r>
        <w:rPr>
          <w:b/>
          <w:bCs/>
          <w:sz w:val="28"/>
          <w:szCs w:val="28"/>
          <w:lang w:val="ru-RU"/>
        </w:rPr>
        <w:t xml:space="preserve">Состав рабочей и исполнительной </w:t>
      </w:r>
      <w:r>
        <w:rPr>
          <w:b/>
          <w:sz w:val="28"/>
          <w:szCs w:val="28"/>
          <w:lang w:val="ru-RU"/>
        </w:rPr>
        <w:t xml:space="preserve">документации </w:t>
      </w:r>
    </w:p>
    <w:p>
      <w:pPr>
        <w:pStyle w:val="BodyText"/>
        <w:spacing w:before="0" w:after="0"/>
        <w:jc w:val="center"/>
        <w:rPr>
          <w:lang w:val="ru-RU"/>
        </w:rPr>
      </w:pPr>
      <w:r>
        <w:rPr>
          <w:lang w:val="ru-RU"/>
        </w:rPr>
      </w:r>
    </w:p>
    <w:p>
      <w:pPr>
        <w:pStyle w:val="BodyText"/>
        <w:spacing w:before="0" w:after="0"/>
        <w:jc w:val="start"/>
        <w:rPr>
          <w:lang w:val="ru-RU"/>
        </w:rPr>
      </w:pPr>
      <w:r>
        <w:rPr>
          <w:b/>
          <w:bCs/>
          <w:lang w:val="ru-RU"/>
        </w:rPr>
        <w:t>Рабочая документация:</w:t>
      </w:r>
    </w:p>
    <w:p>
      <w:pPr>
        <w:pStyle w:val="BodyText"/>
        <w:numPr>
          <w:ilvl w:val="3"/>
          <w:numId w:val="3"/>
        </w:numPr>
        <w:tabs>
          <w:tab w:val="clear" w:pos="369"/>
        </w:tabs>
        <w:spacing w:before="60" w:after="0"/>
        <w:ind w:hanging="284" w:start="284"/>
        <w:jc w:val="start"/>
        <w:rPr>
          <w:lang w:val="ru-RU"/>
        </w:rPr>
      </w:pPr>
      <w:r>
        <w:rPr>
          <w:lang w:val="ru-RU"/>
        </w:rPr>
        <w:t>Светотехнический расчет;</w:t>
      </w:r>
    </w:p>
    <w:p>
      <w:pPr>
        <w:pStyle w:val="BodyText"/>
        <w:numPr>
          <w:ilvl w:val="3"/>
          <w:numId w:val="3"/>
        </w:numPr>
        <w:tabs>
          <w:tab w:val="clear" w:pos="369"/>
        </w:tabs>
        <w:spacing w:before="60" w:after="0"/>
        <w:ind w:hanging="284" w:start="284"/>
        <w:jc w:val="start"/>
        <w:rPr>
          <w:lang w:val="ru-RU"/>
        </w:rPr>
      </w:pPr>
      <w:r>
        <w:rPr>
          <w:lang w:val="ru-RU"/>
        </w:rPr>
        <w:t>План расстановки осветительных приборов в производственных помещениях Объектов Заказчика;</w:t>
      </w:r>
    </w:p>
    <w:p>
      <w:pPr>
        <w:pStyle w:val="BodyText"/>
        <w:numPr>
          <w:ilvl w:val="3"/>
          <w:numId w:val="3"/>
        </w:numPr>
        <w:tabs>
          <w:tab w:val="clear" w:pos="369"/>
        </w:tabs>
        <w:spacing w:before="60" w:after="0"/>
        <w:ind w:hanging="284" w:start="284"/>
        <w:jc w:val="start"/>
        <w:rPr>
          <w:lang w:val="ru-RU"/>
        </w:rPr>
      </w:pPr>
      <w:r>
        <w:rPr>
          <w:lang w:val="ru-RU"/>
        </w:rPr>
        <w:t>Спецификация.</w:t>
      </w:r>
    </w:p>
    <w:p>
      <w:pPr>
        <w:pStyle w:val="BodyText"/>
        <w:spacing w:before="0" w:after="0"/>
        <w:jc w:val="start"/>
        <w:rPr>
          <w:lang w:val="ru-RU"/>
        </w:rPr>
      </w:pPr>
      <w:r>
        <w:rPr>
          <w:lang w:val="ru-RU"/>
        </w:rPr>
      </w:r>
    </w:p>
    <w:p>
      <w:pPr>
        <w:pStyle w:val="BodyText"/>
        <w:spacing w:before="0" w:after="0"/>
        <w:jc w:val="start"/>
        <w:rPr>
          <w:b/>
          <w:bCs/>
          <w:lang w:val="ru-RU"/>
        </w:rPr>
      </w:pPr>
      <w:r>
        <w:rPr>
          <w:b/>
          <w:bCs/>
          <w:lang w:val="ru-RU"/>
        </w:rPr>
        <w:t>Исполнительная документация:</w:t>
      </w:r>
    </w:p>
    <w:p>
      <w:pPr>
        <w:pStyle w:val="BodyText"/>
        <w:numPr>
          <w:ilvl w:val="0"/>
          <w:numId w:val="7"/>
        </w:numPr>
        <w:spacing w:before="60" w:after="0"/>
        <w:jc w:val="start"/>
        <w:rPr>
          <w:bCs/>
          <w:lang w:val="ru-RU"/>
        </w:rPr>
      </w:pPr>
      <w:r>
        <w:rPr>
          <w:lang w:val="ru-RU"/>
        </w:rPr>
        <w:t>План расстановки осветительных приборов в производственных помещениях Объектов Заказчика;</w:t>
      </w:r>
    </w:p>
    <w:p>
      <w:pPr>
        <w:pStyle w:val="BodyText"/>
        <w:numPr>
          <w:ilvl w:val="0"/>
          <w:numId w:val="7"/>
        </w:numPr>
        <w:spacing w:before="60" w:after="0"/>
        <w:rPr>
          <w:lang w:val="ru-RU"/>
        </w:rPr>
      </w:pPr>
      <w:r>
        <w:rPr>
          <w:lang w:val="ru-RU"/>
        </w:rPr>
        <w:t>Журнал производства работ;</w:t>
      </w:r>
    </w:p>
    <w:p>
      <w:pPr>
        <w:pStyle w:val="BodyText"/>
        <w:numPr>
          <w:ilvl w:val="0"/>
          <w:numId w:val="7"/>
        </w:numPr>
        <w:spacing w:before="60" w:after="0"/>
        <w:rPr>
          <w:lang w:val="ru-RU"/>
        </w:rPr>
      </w:pPr>
      <w:r>
        <w:rPr>
          <w:lang w:val="ru-RU"/>
        </w:rPr>
        <w:t>Исполнительные чертежи с привязками;</w:t>
      </w:r>
    </w:p>
    <w:p>
      <w:pPr>
        <w:pStyle w:val="ListParagraph"/>
        <w:numPr>
          <w:ilvl w:val="0"/>
          <w:numId w:val="7"/>
        </w:numPr>
        <w:spacing w:before="60" w:after="0"/>
        <w:jc w:val="both"/>
        <w:rPr/>
      </w:pPr>
      <w:r>
        <w:rPr>
          <w:shd w:fill="FFFFFF" w:val="clear"/>
        </w:rPr>
        <w:t>Документы, подтверждающие качество,</w:t>
      </w:r>
      <w:r>
        <w:rPr/>
        <w:t xml:space="preserve"> и паспорта на материально-технические ресурсы (каждый лист за печатью организации);</w:t>
      </w:r>
    </w:p>
    <w:p>
      <w:pPr>
        <w:pStyle w:val="ListParagraph"/>
        <w:numPr>
          <w:ilvl w:val="0"/>
          <w:numId w:val="7"/>
        </w:numPr>
        <w:spacing w:before="60" w:after="0"/>
        <w:jc w:val="both"/>
        <w:rPr/>
      </w:pPr>
      <w:r>
        <w:rPr/>
        <w:t>Протокол замера освещенности;</w:t>
      </w:r>
    </w:p>
    <w:p>
      <w:pPr>
        <w:pStyle w:val="ListParagraph"/>
        <w:numPr>
          <w:ilvl w:val="0"/>
          <w:numId w:val="7"/>
        </w:numPr>
        <w:spacing w:before="60" w:after="0"/>
        <w:jc w:val="both"/>
        <w:rPr/>
      </w:pPr>
      <w:r>
        <w:rPr/>
        <w:t xml:space="preserve">Протокол проверки наличия цепи между заземленной электроустановкой и элементами заземленной установки; </w:t>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BodyText"/>
        <w:spacing w:before="0" w:after="0"/>
        <w:rPr>
          <w:sz w:val="22"/>
          <w:szCs w:val="22"/>
          <w:lang w:val="ru-RU"/>
        </w:rPr>
      </w:pPr>
      <w:r>
        <w:rPr>
          <w:sz w:val="22"/>
          <w:szCs w:val="22"/>
          <w:lang w:val="ru-RU"/>
        </w:rPr>
      </w:r>
    </w:p>
    <w:p>
      <w:pPr>
        <w:pStyle w:val="Heading2"/>
        <w:numPr>
          <w:ilvl w:val="1"/>
          <w:numId w:val="4"/>
        </w:numPr>
        <w:spacing w:before="0" w:after="0"/>
        <w:ind w:firstLine="35" w:start="720"/>
        <w:contextualSpacing/>
        <w:jc w:val="end"/>
        <w:rPr>
          <w:b w:val="false"/>
          <w:szCs w:val="24"/>
          <w:lang w:val="ru-RU"/>
        </w:rPr>
      </w:pPr>
      <w:r>
        <w:rPr>
          <w:b w:val="false"/>
          <w:szCs w:val="24"/>
          <w:lang w:val="ru-RU"/>
        </w:rPr>
      </w:r>
    </w:p>
    <w:p>
      <w:pPr>
        <w:pStyle w:val="BodyText"/>
        <w:rPr>
          <w:lang w:val="ru-RU"/>
        </w:rPr>
      </w:pPr>
      <w:r>
        <w:rPr>
          <w:lang w:val="ru-RU"/>
        </w:rPr>
      </w:r>
    </w:p>
    <w:p>
      <w:pPr>
        <w:pStyle w:val="BodyText"/>
        <w:rPr>
          <w:lang w:val="ru-RU"/>
        </w:rPr>
      </w:pPr>
      <w:r>
        <w:rPr>
          <w:lang w:val="ru-RU"/>
        </w:rPr>
      </w:r>
    </w:p>
    <w:p>
      <w:pPr>
        <w:pStyle w:val="BodyText"/>
        <w:rPr>
          <w:lang w:val="ru-RU"/>
        </w:rPr>
      </w:pPr>
      <w:r>
        <w:rPr>
          <w:lang w:val="ru-RU"/>
        </w:rPr>
      </w:r>
    </w:p>
    <w:p>
      <w:pPr>
        <w:pStyle w:val="BodyText"/>
        <w:rPr>
          <w:lang w:val="ru-RU"/>
        </w:rPr>
      </w:pPr>
      <w:r>
        <w:rPr>
          <w:lang w:val="ru-RU"/>
        </w:rPr>
      </w:r>
    </w:p>
    <w:p>
      <w:pPr>
        <w:pStyle w:val="BodyText"/>
        <w:rPr>
          <w:lang w:val="ru-RU"/>
        </w:rPr>
      </w:pPr>
      <w:r>
        <w:rPr>
          <w:lang w:val="ru-RU"/>
        </w:rPr>
      </w:r>
    </w:p>
    <w:p>
      <w:pPr>
        <w:pStyle w:val="BodyText"/>
        <w:rPr>
          <w:lang w:val="ru-RU"/>
        </w:rPr>
      </w:pPr>
      <w:r>
        <w:rPr>
          <w:lang w:val="ru-RU"/>
        </w:rPr>
      </w:r>
    </w:p>
    <w:p>
      <w:pPr>
        <w:pStyle w:val="BodyText"/>
        <w:rPr>
          <w:lang w:val="ru-RU"/>
        </w:rPr>
      </w:pPr>
      <w:r>
        <w:rPr>
          <w:lang w:val="ru-RU"/>
        </w:rPr>
      </w:r>
      <w:r>
        <w:br w:type="page"/>
      </w:r>
    </w:p>
    <w:p>
      <w:pPr>
        <w:pStyle w:val="Heading2"/>
        <w:numPr>
          <w:ilvl w:val="1"/>
          <w:numId w:val="4"/>
        </w:numPr>
        <w:tabs>
          <w:tab w:val="clear" w:pos="369"/>
        </w:tabs>
        <w:spacing w:before="0" w:after="0"/>
        <w:ind w:firstLine="34" w:start="720"/>
        <w:jc w:val="end"/>
        <w:rPr>
          <w:szCs w:val="24"/>
        </w:rPr>
      </w:pPr>
      <w:r>
        <w:rPr>
          <w:b w:val="false"/>
          <w:szCs w:val="24"/>
          <w:shd w:fill="FFFFFF" w:val="clear"/>
        </w:rPr>
        <w:t xml:space="preserve">Приложение № </w:t>
      </w:r>
      <w:r>
        <w:rPr>
          <w:b w:val="false"/>
          <w:szCs w:val="24"/>
          <w:shd w:fill="FFFFFF" w:val="clear"/>
          <w:lang w:val="ru-RU"/>
        </w:rPr>
        <w:t>6</w:t>
      </w:r>
    </w:p>
    <w:p>
      <w:pPr>
        <w:pStyle w:val="Normal"/>
        <w:jc w:val="end"/>
        <w:rPr/>
      </w:pPr>
      <w:r>
        <w:rPr/>
        <w:t>к Техническому заданию</w:t>
      </w:r>
    </w:p>
    <w:p>
      <w:pPr>
        <w:pStyle w:val="BodyText"/>
        <w:tabs>
          <w:tab w:val="clear" w:pos="369"/>
          <w:tab w:val="left" w:pos="284" w:leader="none"/>
        </w:tabs>
        <w:spacing w:before="0" w:after="0"/>
        <w:ind w:firstLine="12"/>
        <w:jc w:val="end"/>
        <w:rPr>
          <w:lang w:val="ru-RU"/>
        </w:rPr>
      </w:pPr>
      <w:r>
        <w:rPr>
          <w:lang w:val="ru-RU"/>
        </w:rPr>
      </w:r>
    </w:p>
    <w:p>
      <w:pPr>
        <w:pStyle w:val="BodyText"/>
        <w:tabs>
          <w:tab w:val="clear" w:pos="369"/>
          <w:tab w:val="left" w:pos="284" w:leader="none"/>
        </w:tabs>
        <w:spacing w:before="0" w:after="0"/>
        <w:ind w:firstLine="12" w:end="194"/>
        <w:jc w:val="center"/>
        <w:rPr>
          <w:b/>
          <w:sz w:val="28"/>
          <w:szCs w:val="28"/>
          <w:lang w:val="ru-RU"/>
        </w:rPr>
      </w:pPr>
      <w:r>
        <w:rPr>
          <w:b/>
          <w:sz w:val="28"/>
          <w:szCs w:val="28"/>
          <w:lang w:val="ru-RU"/>
        </w:rPr>
        <w:t>Методика определения цены на электрическую энергию</w:t>
      </w:r>
    </w:p>
    <w:p>
      <w:pPr>
        <w:pStyle w:val="BodyText"/>
        <w:tabs>
          <w:tab w:val="clear" w:pos="369"/>
          <w:tab w:val="left" w:pos="284" w:leader="none"/>
        </w:tabs>
        <w:spacing w:before="0" w:after="0"/>
        <w:ind w:firstLine="12" w:end="194"/>
        <w:jc w:val="center"/>
        <w:rPr>
          <w:rFonts w:ascii="Verdana" w:hAnsi="Verdana"/>
          <w:b/>
          <w:sz w:val="22"/>
          <w:szCs w:val="22"/>
          <w:lang w:val="ru-RU"/>
        </w:rPr>
      </w:pPr>
      <w:r>
        <w:rPr>
          <w:rFonts w:ascii="Verdana" w:hAnsi="Verdana"/>
          <w:b/>
          <w:sz w:val="22"/>
          <w:szCs w:val="22"/>
          <w:lang w:val="ru-RU"/>
        </w:rPr>
      </w:r>
    </w:p>
    <w:p>
      <w:pPr>
        <w:pStyle w:val="ListParagraph"/>
        <w:tabs>
          <w:tab w:val="clear" w:pos="369"/>
          <w:tab w:val="left" w:pos="851" w:leader="none"/>
        </w:tabs>
        <w:ind w:firstLine="567" w:start="0"/>
        <w:jc w:val="both"/>
        <w:rPr/>
      </w:pPr>
      <w:r>
        <w:rPr/>
        <w:t xml:space="preserve">1. Стороны согласовали, что цена электрической энергии для расчета экономии определяется по формуле: </w:t>
      </w:r>
    </w:p>
    <w:p>
      <w:pPr>
        <w:pStyle w:val="ListParagraph"/>
        <w:tabs>
          <w:tab w:val="clear" w:pos="369"/>
          <w:tab w:val="left" w:pos="851" w:leader="none"/>
        </w:tabs>
        <w:ind w:firstLine="567" w:start="0"/>
        <w:jc w:val="both"/>
        <w:rPr/>
      </w:pPr>
      <w:r>
        <w:rPr/>
      </w:r>
    </w:p>
    <w:p>
      <w:pPr>
        <w:pStyle w:val="ListParagraph"/>
        <w:tabs>
          <w:tab w:val="clear" w:pos="369"/>
          <w:tab w:val="left" w:pos="851" w:leader="none"/>
        </w:tabs>
        <w:ind w:firstLine="567" w:start="0"/>
        <w:jc w:val="center"/>
        <w:rPr/>
      </w:pPr>
      <w:r>
        <w:rPr/>
      </w:r>
      <m:oMathPara xmlns:m="http://schemas.openxmlformats.org/officeDocument/2006/math">
        <m:oMathParaPr>
          <m:jc m:val="center"/>
        </m:oMathParaPr>
        <m:oMath>
          <m:sSup>
            <m:e>
              <m:r>
                <m:t xml:space="preserve">Ц</m:t>
              </m:r>
            </m:e>
            <m:sup>
              <m:r>
                <m:t xml:space="preserve">э</m:t>
              </m:r>
              <m:r>
                <m:t xml:space="preserve">.</m:t>
              </m:r>
              <m:r>
                <m:t xml:space="preserve">э</m:t>
              </m:r>
              <m:r>
                <m:t xml:space="preserve">.</m:t>
              </m:r>
            </m:sup>
          </m:sSup>
          <m:r>
            <m:rPr>
              <m:lit/>
              <m:nor/>
            </m:rPr>
            <m:t xml:space="preserve">=</m:t>
          </m:r>
          <m:sSup>
            <m:e>
              <m:r>
                <m:t xml:space="preserve">Ц</m:t>
              </m:r>
            </m:e>
            <m:sup>
              <m:r>
                <m:t xml:space="preserve">дц</m:t>
              </m:r>
              <m:r>
                <m:rPr>
                  <m:lit/>
                  <m:nor/>
                </m:rPr>
                <m:t xml:space="preserve"> </m:t>
              </m:r>
            </m:sup>
          </m:sSup>
          <m:r>
            <m:rPr>
              <m:lit/>
              <m:nor/>
            </m:rPr>
            <m:t xml:space="preserve">+</m:t>
          </m:r>
          <m:f>
            <m:num>
              <m:sSup>
                <m:e>
                  <m:r>
                    <m:t xml:space="preserve">Ц</m:t>
                  </m:r>
                </m:e>
                <m:sup>
                  <m:r>
                    <m:t xml:space="preserve">п</m:t>
                  </m:r>
                  <m:r>
                    <m:t xml:space="preserve">.</m:t>
                  </m:r>
                  <m:r>
                    <m:t xml:space="preserve">э</m:t>
                  </m:r>
                  <m:r>
                    <m:t xml:space="preserve">.</m:t>
                  </m:r>
                  <m:r>
                    <m:t xml:space="preserve">э</m:t>
                  </m:r>
                  <m:r>
                    <m:t xml:space="preserve">.</m:t>
                  </m:r>
                </m:sup>
              </m:sSup>
              <m:r>
                <m:rPr>
                  <m:lit/>
                  <m:nor/>
                </m:rPr>
                <m:t xml:space="preserve">+</m:t>
              </m:r>
              <m:sSup>
                <m:e>
                  <m:r>
                    <m:t xml:space="preserve">Ц</m:t>
                  </m:r>
                </m:e>
                <m:sup>
                  <m:r>
                    <m:t xml:space="preserve">м</m:t>
                  </m:r>
                </m:sup>
              </m:sSup>
            </m:num>
            <m:den>
              <m:r>
                <m:t xml:space="preserve">24</m:t>
              </m:r>
              <m:r>
                <m:t xml:space="preserve">×</m:t>
              </m:r>
              <m:sSub>
                <m:e>
                  <m:r>
                    <m:t xml:space="preserve">N</m:t>
                  </m:r>
                </m:e>
                <m:sub>
                  <m:r>
                    <m:t xml:space="preserve">суток</m:t>
                  </m:r>
                </m:sub>
              </m:sSub>
            </m:den>
          </m:f>
        </m:oMath>
      </m:oMathPara>
    </w:p>
    <w:p>
      <w:pPr>
        <w:pStyle w:val="Normal"/>
        <w:jc w:val="both"/>
        <w:rPr/>
      </w:pPr>
      <w:r>
        <w:rPr/>
        <w:t>где:</w:t>
      </w:r>
    </w:p>
    <w:p>
      <w:pPr>
        <w:pStyle w:val="Normal"/>
        <w:spacing w:before="60" w:after="0"/>
        <w:jc w:val="both"/>
        <w:rPr/>
      </w:pPr>
      <w:r>
        <w:rPr/>
      </w:r>
      <m:oMath xmlns:m="http://schemas.openxmlformats.org/officeDocument/2006/math">
        <m:sSup>
          <m:e>
            <m:r>
              <m:t xml:space="preserve">Ц</m:t>
            </m:r>
          </m:e>
          <m:sup>
            <m:r>
              <m:t xml:space="preserve">э</m:t>
            </m:r>
            <m:r>
              <m:t xml:space="preserve">.</m:t>
            </m:r>
            <m:r>
              <m:t xml:space="preserve">э</m:t>
            </m:r>
            <m:r>
              <m:t xml:space="preserve">.</m:t>
            </m:r>
          </m:sup>
        </m:sSup>
      </m:oMath>
      <w:r>
        <w:rPr/>
        <w:t xml:space="preserve"> </w:t>
      </w:r>
      <w:r>
        <w:rPr/>
        <w:t>- цена электрической энергии для расчета экономии, руб. за тысячу кВт*ч без НДС;</w:t>
      </w:r>
    </w:p>
    <w:p>
      <w:pPr>
        <w:pStyle w:val="Normal"/>
        <w:spacing w:before="60" w:after="0"/>
        <w:jc w:val="both"/>
        <w:rPr/>
      </w:pPr>
      <w:r>
        <w:rPr/>
      </w:r>
      <m:oMath xmlns:m="http://schemas.openxmlformats.org/officeDocument/2006/math">
        <m:sSup>
          <m:e>
            <m:r>
              <m:t xml:space="preserve">Ц</m:t>
            </m:r>
          </m:e>
          <m:sup>
            <m:r>
              <m:t xml:space="preserve">дц</m:t>
            </m:r>
            <m:r>
              <m:rPr>
                <m:lit/>
                <m:nor/>
              </m:rPr>
              <m:t xml:space="preserve"> </m:t>
            </m:r>
          </m:sup>
        </m:sSup>
      </m:oMath>
      <w:r>
        <w:rPr/>
        <w:t xml:space="preserve"> </w:t>
      </w:r>
      <w:r>
        <w:rPr/>
        <w:t xml:space="preserve">- средняя за  месяц расчетного периода ставка за электрическую энергию предельного уровня нерегулируемой цены, рассчитываемая на основании дифференцированной по часам расчетного периода нерегулируемой цены на электрическую энергию рассчитанной гарантирующим поставщиком (которым на дату заключения Договора является ООО «Магнитогорская энергетическая компания») для четвертой ценовой категории на ФСК - 220кВ и ниже, ежемесячно публикуется на сайте гарантирующего поставщика в сети Интернет (на дату заключения настоящего Договора - ООО «Магнитогорская энергетическая компания», сайт - </w:t>
      </w:r>
      <w:hyperlink r:id="rId12" w:tooltip="http://www.m-e-c.ru)">
        <w:r>
          <w:rPr>
            <w:rStyle w:val="Hyperlink"/>
            <w:color w:val="auto"/>
          </w:rPr>
          <w:t>www.m-e-c.ru)»</w:t>
        </w:r>
      </w:hyperlink>
      <w:r>
        <w:rPr/>
        <w:t>, руб./тыс.кВт*ч без НДС;</w:t>
      </w:r>
    </w:p>
    <w:p>
      <w:pPr>
        <w:pStyle w:val="Normal"/>
        <w:spacing w:before="60" w:after="0"/>
        <w:jc w:val="both"/>
        <w:rPr/>
      </w:pPr>
      <w:r>
        <w:rPr/>
      </w:r>
      <m:oMath xmlns:m="http://schemas.openxmlformats.org/officeDocument/2006/math">
        <m:sSup>
          <m:e>
            <m:r>
              <m:t xml:space="preserve">Ц</m:t>
            </m:r>
          </m:e>
          <m:sup>
            <m:r>
              <m:t xml:space="preserve">п</m:t>
            </m:r>
            <m:r>
              <m:t xml:space="preserve">.</m:t>
            </m:r>
            <m:r>
              <m:t xml:space="preserve">э</m:t>
            </m:r>
            <m:r>
              <m:t xml:space="preserve">.</m:t>
            </m:r>
            <m:r>
              <m:t xml:space="preserve">э</m:t>
            </m:r>
            <m:r>
              <m:t xml:space="preserve">.</m:t>
            </m:r>
          </m:sup>
        </m:sSup>
      </m:oMath>
      <w:r>
        <w:rPr/>
        <w:t xml:space="preserve"> </w:t>
      </w:r>
      <w:r>
        <w:rPr/>
        <w:t>- ставка тарифа на услуги по передаче электрической энергии за содержание электрических сетей для четвертой ценовой категории для подгруппы прочих потребителей «не менее 10 МВт» на ФСК - 220кВ и ниже (ММК), ежемесячно публикуется на сайте гарантирующего поставщика в сети Интернет; руб./тыс.кВт в месяц без НДС;</w:t>
      </w:r>
    </w:p>
    <w:p>
      <w:pPr>
        <w:pStyle w:val="Normal"/>
        <w:spacing w:before="60" w:after="0"/>
        <w:jc w:val="both"/>
        <w:rPr/>
      </w:pPr>
      <w:r>
        <w:rPr/>
      </w:r>
      <m:oMath xmlns:m="http://schemas.openxmlformats.org/officeDocument/2006/math">
        <m:sSup>
          <m:e>
            <m:r>
              <m:t xml:space="preserve">Ц</m:t>
            </m:r>
          </m:e>
          <m:sup>
            <m:r>
              <m:t xml:space="preserve">м</m:t>
            </m:r>
          </m:sup>
        </m:sSup>
      </m:oMath>
      <w:r>
        <w:rPr/>
        <w:t xml:space="preserve"> </w:t>
      </w:r>
      <w:r>
        <w:rPr/>
        <w:t>- ставка за мощность предельного уровня нерегулируемой цены для четвертой ценовой категории на ФСК – 220кВ и ниже для подгруппы прочих потребителей «не менее 10 МВт», ежемесячно публикуется на сайте гарантирующего поставщика в сети Интернет, руб./тыс.кВт в месяц без НДС;</w:t>
      </w:r>
    </w:p>
    <w:p>
      <w:pPr>
        <w:pStyle w:val="BodyText"/>
        <w:tabs>
          <w:tab w:val="clear" w:pos="369"/>
          <w:tab w:val="left" w:pos="284" w:leader="none"/>
        </w:tabs>
        <w:spacing w:before="60" w:after="0"/>
        <w:ind w:end="194"/>
        <w:rPr>
          <w:rFonts w:ascii="Verdana" w:hAnsi="Verdana"/>
          <w:b/>
          <w:sz w:val="22"/>
          <w:szCs w:val="22"/>
          <w:lang w:val="ru-RU"/>
        </w:rPr>
      </w:pPr>
      <w:r>
        <w:rPr>
          <w:lang w:val="en-US"/>
        </w:rPr>
        <w:t>N</w:t>
      </w:r>
      <w:r>
        <w:rPr>
          <w:vertAlign w:val="subscript"/>
          <w:lang w:val="ru-RU"/>
        </w:rPr>
        <w:t>суток</w:t>
      </w:r>
      <w:r>
        <w:rPr>
          <w:lang w:val="ru-RU"/>
        </w:rPr>
        <w:t xml:space="preserve"> – количество суток в месяце расчетного периода.</w:t>
      </w:r>
    </w:p>
    <w:p>
      <w:pPr>
        <w:pStyle w:val="BodyText"/>
        <w:tabs>
          <w:tab w:val="clear" w:pos="369"/>
          <w:tab w:val="left" w:pos="284" w:leader="none"/>
        </w:tabs>
        <w:spacing w:before="120" w:after="0"/>
        <w:ind w:firstLine="709" w:end="193"/>
        <w:rPr>
          <w:lang w:val="ru-RU"/>
        </w:rPr>
      </w:pPr>
      <w:r>
        <w:rPr>
          <w:lang w:val="ru-RU"/>
        </w:rPr>
        <w:t>После каждого этапа расчета полученное значение округляется до второго десятичного знака по правилам округления.</w:t>
      </w:r>
    </w:p>
    <w:p>
      <w:pPr>
        <w:pStyle w:val="BodyText"/>
        <w:tabs>
          <w:tab w:val="clear" w:pos="369"/>
          <w:tab w:val="left" w:pos="284" w:leader="none"/>
        </w:tabs>
        <w:spacing w:before="0" w:after="0"/>
        <w:ind w:firstLine="709" w:end="194"/>
        <w:rPr>
          <w:lang w:val="ru-RU"/>
        </w:rPr>
      </w:pPr>
      <w:r>
        <w:rPr>
          <w:lang w:val="ru-RU"/>
        </w:rPr>
      </w:r>
    </w:p>
    <w:p>
      <w:pPr>
        <w:pStyle w:val="BodyText"/>
        <w:tabs>
          <w:tab w:val="clear" w:pos="369"/>
          <w:tab w:val="left" w:pos="284" w:leader="none"/>
        </w:tabs>
        <w:spacing w:before="0" w:after="0"/>
        <w:ind w:firstLine="709" w:end="194"/>
        <w:rPr>
          <w:lang w:val="ru-RU"/>
        </w:rPr>
      </w:pPr>
      <w:r>
        <w:rPr>
          <w:lang w:val="ru-RU"/>
        </w:rPr>
      </w:r>
    </w:p>
    <w:p>
      <w:pPr>
        <w:pStyle w:val="BodyText"/>
        <w:tabs>
          <w:tab w:val="clear" w:pos="369"/>
          <w:tab w:val="left" w:pos="284" w:leader="none"/>
        </w:tabs>
        <w:spacing w:before="0" w:after="0"/>
        <w:ind w:firstLine="709" w:end="194"/>
        <w:rPr>
          <w:lang w:val="ru-RU"/>
        </w:rPr>
      </w:pPr>
      <w:r>
        <w:rPr>
          <w:lang w:val="ru-RU"/>
        </w:rPr>
      </w:r>
    </w:p>
    <w:p>
      <w:pPr>
        <w:pStyle w:val="BodyText"/>
        <w:tabs>
          <w:tab w:val="clear" w:pos="369"/>
          <w:tab w:val="left" w:pos="284" w:leader="none"/>
        </w:tabs>
        <w:spacing w:before="0" w:after="0"/>
        <w:ind w:firstLine="709" w:end="194"/>
        <w:rPr>
          <w:lang w:val="ru-RU"/>
        </w:rPr>
      </w:pPr>
      <w:r>
        <w:rPr>
          <w:lang w:val="ru-RU"/>
        </w:rPr>
      </w:r>
    </w:p>
    <w:p>
      <w:pPr>
        <w:pStyle w:val="BodyText"/>
        <w:tabs>
          <w:tab w:val="clear" w:pos="369"/>
          <w:tab w:val="left" w:pos="284" w:leader="none"/>
        </w:tabs>
        <w:spacing w:before="0" w:after="0"/>
        <w:ind w:end="194"/>
        <w:rPr>
          <w:rFonts w:ascii="Verdana" w:hAnsi="Verdana"/>
          <w:b/>
          <w:sz w:val="22"/>
          <w:szCs w:val="22"/>
          <w:lang w:val="ru-RU"/>
        </w:rPr>
      </w:pPr>
      <w:r>
        <w:rPr>
          <w:rFonts w:ascii="Verdana" w:hAnsi="Verdana"/>
          <w:b/>
          <w:sz w:val="22"/>
          <w:szCs w:val="22"/>
          <w:lang w:val="ru-RU"/>
        </w:rPr>
      </w:r>
      <w:r>
        <w:br w:type="page"/>
      </w:r>
    </w:p>
    <w:p>
      <w:pPr>
        <w:pStyle w:val="Heading2"/>
        <w:numPr>
          <w:ilvl w:val="1"/>
          <w:numId w:val="4"/>
        </w:numPr>
        <w:tabs>
          <w:tab w:val="clear" w:pos="369"/>
        </w:tabs>
        <w:spacing w:before="0" w:after="0"/>
        <w:ind w:firstLine="34" w:start="720"/>
        <w:jc w:val="end"/>
        <w:rPr>
          <w:szCs w:val="24"/>
        </w:rPr>
      </w:pPr>
      <w:r>
        <w:rPr>
          <w:b w:val="false"/>
          <w:szCs w:val="24"/>
          <w:shd w:fill="FFFFFF" w:val="clear"/>
        </w:rPr>
        <w:t>Приложение</w:t>
      </w:r>
      <w:r>
        <w:rPr>
          <w:b w:val="false"/>
          <w:szCs w:val="24"/>
          <w:shd w:fill="FFFFFF" w:val="clear"/>
          <w:lang w:val="ru-RU"/>
        </w:rPr>
        <w:t xml:space="preserve"> </w:t>
      </w:r>
      <w:r>
        <w:rPr>
          <w:b w:val="false"/>
          <w:szCs w:val="24"/>
          <w:shd w:fill="FFFFFF" w:val="clear"/>
        </w:rPr>
        <w:t xml:space="preserve">№ </w:t>
      </w:r>
      <w:r>
        <w:rPr>
          <w:b w:val="false"/>
          <w:szCs w:val="24"/>
          <w:shd w:fill="FFFFFF" w:val="clear"/>
          <w:lang w:val="ru-RU"/>
        </w:rPr>
        <w:t>7</w:t>
      </w:r>
    </w:p>
    <w:p>
      <w:pPr>
        <w:pStyle w:val="Normal"/>
        <w:jc w:val="end"/>
        <w:rPr/>
      </w:pPr>
      <w:r>
        <w:rPr/>
        <w:t>к Техническому заданию</w:t>
      </w:r>
    </w:p>
    <w:p>
      <w:pPr>
        <w:pStyle w:val="Normal"/>
        <w:jc w:val="center"/>
        <w:rPr>
          <w:rFonts w:ascii="Verdana" w:hAnsi="Verdana"/>
          <w:b/>
          <w:bCs/>
        </w:rPr>
      </w:pPr>
      <w:r>
        <w:rPr>
          <w:rFonts w:ascii="Verdana" w:hAnsi="Verdana"/>
          <w:b/>
          <w:bCs/>
        </w:rPr>
      </w:r>
    </w:p>
    <w:p>
      <w:pPr>
        <w:pStyle w:val="Normal"/>
        <w:jc w:val="center"/>
        <w:rPr>
          <w:rFonts w:ascii="Verdana" w:hAnsi="Verdana"/>
          <w:b/>
          <w:bCs/>
        </w:rPr>
      </w:pPr>
      <w:r>
        <w:rPr>
          <w:rFonts w:ascii="Verdana" w:hAnsi="Verdana"/>
          <w:b/>
          <w:bCs/>
        </w:rPr>
        <w:t>Методика</w:t>
      </w:r>
    </w:p>
    <w:p>
      <w:pPr>
        <w:pStyle w:val="Normal"/>
        <w:jc w:val="center"/>
        <w:rPr>
          <w:rFonts w:ascii="Verdana" w:hAnsi="Verdana"/>
          <w:b/>
          <w:bCs/>
        </w:rPr>
      </w:pPr>
      <w:r>
        <w:rPr>
          <w:rFonts w:ascii="Verdana" w:hAnsi="Verdana"/>
          <w:b/>
          <w:bCs/>
        </w:rPr>
        <w:t xml:space="preserve">оценки </w:t>
      </w:r>
      <w:bookmarkStart w:id="5" w:name="_Hlk212628902"/>
      <w:r>
        <w:rPr>
          <w:rFonts w:ascii="Verdana" w:hAnsi="Verdana"/>
          <w:b/>
          <w:bCs/>
        </w:rPr>
        <w:t>качества световой среды (уровня освещенности)</w:t>
      </w:r>
      <w:bookmarkEnd w:id="5"/>
      <w:r>
        <w:rPr>
          <w:rFonts w:ascii="Verdana" w:hAnsi="Verdana"/>
          <w:b/>
          <w:bCs/>
        </w:rPr>
        <w:t xml:space="preserve"> в результате реализации работ по модернизации систем освещения производственных помещений и территорий ПАО «ММК» </w:t>
      </w:r>
    </w:p>
    <w:p>
      <w:pPr>
        <w:pStyle w:val="Normal"/>
        <w:jc w:val="center"/>
        <w:rPr>
          <w:rFonts w:ascii="Verdana" w:hAnsi="Verdana"/>
          <w:b/>
          <w:bCs/>
        </w:rPr>
      </w:pPr>
      <w:r>
        <w:rPr>
          <w:rFonts w:ascii="Verdana" w:hAnsi="Verdana"/>
          <w:b/>
          <w:bCs/>
        </w:rPr>
      </w:r>
    </w:p>
    <w:p>
      <w:pPr>
        <w:pStyle w:val="Normal"/>
        <w:ind w:firstLine="709"/>
        <w:jc w:val="both"/>
        <w:rPr>
          <w:rFonts w:ascii="Verdana" w:hAnsi="Verdana"/>
        </w:rPr>
      </w:pPr>
      <w:r>
        <w:rPr>
          <w:rFonts w:ascii="Verdana" w:hAnsi="Verdana"/>
        </w:rPr>
        <w:t>1. Общие положения</w:t>
      </w:r>
    </w:p>
    <w:p>
      <w:pPr>
        <w:pStyle w:val="Normal"/>
        <w:ind w:firstLine="709"/>
        <w:jc w:val="both"/>
        <w:rPr>
          <w:rFonts w:ascii="Verdana" w:hAnsi="Verdana"/>
        </w:rPr>
      </w:pPr>
      <w:r>
        <w:rPr>
          <w:rFonts w:ascii="Verdana" w:hAnsi="Verdana"/>
        </w:rPr>
        <w:t>1.1</w:t>
        <w:tab/>
        <w:t>Настоящая Методика используется для определения качества световой среды после реализации работ по модернизации систем освещения производственных помещений и территорий ПАО «ММК».</w:t>
      </w:r>
    </w:p>
    <w:p>
      <w:pPr>
        <w:pStyle w:val="Normal"/>
        <w:ind w:firstLine="709"/>
        <w:jc w:val="both"/>
        <w:rPr>
          <w:rFonts w:ascii="Verdana" w:hAnsi="Verdana"/>
        </w:rPr>
      </w:pPr>
      <w:r>
        <w:rPr>
          <w:rFonts w:ascii="Verdana" w:hAnsi="Verdana"/>
        </w:rPr>
        <w:t>1.2</w:t>
        <w:tab/>
        <w:t>Настоящая Методика устанавливает методы определения минимальной, средней освещенностей от системы общего освещения, на рабочих местах и проходов в помещениях производственных зданий и сооружений, и территории на которых производится специальная оценка условий труда по фактору «Световая среда».</w:t>
      </w:r>
    </w:p>
    <w:p>
      <w:pPr>
        <w:pStyle w:val="Normal"/>
        <w:ind w:firstLine="709"/>
        <w:jc w:val="both"/>
        <w:rPr>
          <w:rFonts w:ascii="Verdana" w:hAnsi="Verdana"/>
        </w:rPr>
      </w:pPr>
      <w:r>
        <w:rPr>
          <w:rFonts w:ascii="Verdana" w:hAnsi="Verdana"/>
        </w:rPr>
        <w:t>2</w:t>
        <w:tab/>
        <w:t>Нормативные ссылки</w:t>
      </w:r>
    </w:p>
    <w:p>
      <w:pPr>
        <w:pStyle w:val="Normal"/>
        <w:ind w:firstLine="709"/>
        <w:jc w:val="both"/>
        <w:rPr>
          <w:rFonts w:ascii="Verdana" w:hAnsi="Verdana"/>
        </w:rPr>
      </w:pPr>
      <w:r>
        <w:rPr>
          <w:rFonts w:ascii="Verdana" w:hAnsi="Verdana"/>
        </w:rPr>
        <w:t>Настоящая методика разработана с учетом основных нормативных положений следующих стандартов и правил:</w:t>
      </w:r>
    </w:p>
    <w:p>
      <w:pPr>
        <w:pStyle w:val="Normal"/>
        <w:ind w:firstLine="709"/>
        <w:jc w:val="both"/>
        <w:rPr>
          <w:rFonts w:ascii="Verdana" w:hAnsi="Verdana"/>
        </w:rPr>
      </w:pPr>
      <w:r>
        <w:rPr>
          <w:rFonts w:ascii="Verdana" w:hAnsi="Verdana"/>
        </w:rPr>
        <w:t>2.1</w:t>
        <w:tab/>
        <w:t>СП 52.13330.2016 «Свод правил. Естественное и искусственное освещение. Актуализированная редакция СНиП 23-05-95*» (утвержден приказом Министерства строительства и жилищно-коммунального хозяйства РФ от 7 ноября 2016 г. N 777/пр и введен в действие с 8 мая 2017 г.);</w:t>
      </w:r>
    </w:p>
    <w:p>
      <w:pPr>
        <w:pStyle w:val="Normal"/>
        <w:ind w:firstLine="709"/>
        <w:jc w:val="both"/>
        <w:rPr>
          <w:rFonts w:ascii="Verdana" w:hAnsi="Verdana"/>
        </w:rPr>
      </w:pPr>
      <w:r>
        <w:rPr>
          <w:rFonts w:ascii="Verdana" w:hAnsi="Verdana"/>
        </w:rPr>
        <w:t>2.2</w:t>
        <w:tab/>
        <w:t xml:space="preserve">ГОСТ 24940-2016 «Здания и сооружения. Методы измерения освещенности» </w:t>
      </w:r>
      <w:bookmarkStart w:id="6" w:name="_Hlk212557859"/>
      <w:r>
        <w:rPr>
          <w:rFonts w:ascii="Verdana" w:hAnsi="Verdana"/>
        </w:rPr>
        <w:t>(утвержден в действия приказом Федерального агентства по техническому регулированию и метрологии от 20 октября 2016 г. № 1442-ст, введен в действие с 01 апреля 2017 г);</w:t>
      </w:r>
      <w:bookmarkEnd w:id="6"/>
    </w:p>
    <w:p>
      <w:pPr>
        <w:pStyle w:val="Normal"/>
        <w:ind w:firstLine="709"/>
        <w:jc w:val="both"/>
        <w:rPr>
          <w:rFonts w:ascii="Verdana" w:hAnsi="Verdana"/>
        </w:rPr>
      </w:pPr>
      <w:r>
        <w:rPr>
          <w:rFonts w:ascii="Verdana" w:hAnsi="Verdana"/>
        </w:rPr>
        <w:t>2.3</w:t>
        <w:tab/>
        <w:t>СанПиН 1.2.3685-21 „Гигиенические нормативы и требования к обеспечению безопасности и (или) безвредности для человека факторов среды обитания“» (утверждены письмом Главного государственного санитарного врача Российской Федерации от 28.01.2021 №2, введены в действие 01 марта 2021 г);</w:t>
      </w:r>
    </w:p>
    <w:p>
      <w:pPr>
        <w:pStyle w:val="Normal"/>
        <w:ind w:firstLine="709"/>
        <w:jc w:val="both"/>
        <w:rPr>
          <w:rFonts w:ascii="Verdana" w:hAnsi="Verdana"/>
        </w:rPr>
      </w:pPr>
      <w:r>
        <w:rPr>
          <w:rFonts w:ascii="Verdana" w:hAnsi="Verdana"/>
        </w:rPr>
        <w:t xml:space="preserve">2.4 </w:t>
      </w:r>
      <w:bookmarkStart w:id="7" w:name="_Hlk212558014"/>
      <w:r>
        <w:rPr>
          <w:rFonts w:ascii="Verdana" w:hAnsi="Verdana"/>
        </w:rPr>
        <w:t>ГОСТ 34935-2023</w:t>
      </w:r>
      <w:bookmarkEnd w:id="7"/>
      <w:r>
        <w:rPr>
          <w:rFonts w:ascii="Verdana" w:hAnsi="Verdana"/>
        </w:rPr>
        <w:t xml:space="preserve"> «Освещение наружное объектов железнодорожного транспорта. Нормы и методы контроля» (утвержден в действия приказом Федерального агентства по техническому регулированию и метрологии от 24.01.2023 г. N 28-ст, введен в действие с 01 сентября 2024 г).</w:t>
      </w:r>
    </w:p>
    <w:p>
      <w:pPr>
        <w:pStyle w:val="Normal"/>
        <w:ind w:firstLine="709"/>
        <w:jc w:val="both"/>
        <w:rPr>
          <w:rFonts w:ascii="Verdana" w:hAnsi="Verdana"/>
        </w:rPr>
      </w:pPr>
      <w:r>
        <w:rPr>
          <w:rFonts w:ascii="Verdana" w:hAnsi="Verdana"/>
        </w:rPr>
        <w:t>3</w:t>
        <w:tab/>
        <w:t>Термины и определения</w:t>
      </w:r>
    </w:p>
    <w:p>
      <w:pPr>
        <w:pStyle w:val="Normal"/>
        <w:ind w:firstLine="709"/>
        <w:jc w:val="both"/>
        <w:rPr>
          <w:rFonts w:ascii="Verdana" w:hAnsi="Verdana"/>
        </w:rPr>
      </w:pPr>
      <w:r>
        <w:rPr>
          <w:rFonts w:ascii="Verdana" w:hAnsi="Verdana"/>
        </w:rPr>
        <w:t>В настоящей Методике применены следующие термины:</w:t>
      </w:r>
    </w:p>
    <w:p>
      <w:pPr>
        <w:pStyle w:val="Normal"/>
        <w:ind w:firstLine="709"/>
        <w:jc w:val="both"/>
        <w:rPr>
          <w:rFonts w:ascii="Verdana" w:hAnsi="Verdana"/>
        </w:rPr>
      </w:pPr>
      <w:r>
        <w:rPr>
          <w:rFonts w:ascii="Verdana" w:hAnsi="Verdana"/>
        </w:rPr>
        <w:t>3.1</w:t>
        <w:tab/>
        <w:t xml:space="preserve">минимальная освещенность </w:t>
      </w:r>
      <w:r>
        <w:rPr>
          <w:rFonts w:ascii="Verdana" w:hAnsi="Verdana"/>
          <w:i/>
          <w:iCs/>
        </w:rPr>
        <w:t>Е</w:t>
      </w:r>
      <w:r>
        <w:rPr>
          <w:rFonts w:ascii="Verdana" w:hAnsi="Verdana"/>
          <w:i/>
          <w:iCs/>
          <w:vertAlign w:val="subscript"/>
        </w:rPr>
        <w:t>мин</w:t>
      </w:r>
      <w:r>
        <w:rPr>
          <w:rFonts w:ascii="Verdana" w:hAnsi="Verdana"/>
        </w:rPr>
        <w:t>, лк - наименьшее значение освещенности в помещении, на освещаемом участке, в рабочей зоне;</w:t>
      </w:r>
    </w:p>
    <w:p>
      <w:pPr>
        <w:pStyle w:val="Normal"/>
        <w:ind w:firstLine="709"/>
        <w:jc w:val="both"/>
        <w:rPr>
          <w:rFonts w:ascii="Verdana" w:hAnsi="Verdana"/>
        </w:rPr>
      </w:pPr>
      <w:r>
        <w:rPr>
          <w:rFonts w:ascii="Verdana" w:hAnsi="Verdana"/>
        </w:rPr>
        <w:t>3.2</w:t>
        <w:tab/>
        <w:t xml:space="preserve">освещенность </w:t>
      </w:r>
      <w:r>
        <w:rPr>
          <w:rFonts w:ascii="Verdana" w:hAnsi="Verdana"/>
          <w:i/>
          <w:iCs/>
        </w:rPr>
        <w:t>Е</w:t>
      </w:r>
      <w:r>
        <w:rPr>
          <w:rFonts w:ascii="Verdana" w:hAnsi="Verdana"/>
        </w:rPr>
        <w:t>, лк: Физическая величина, определяемая отношением светового потока, падающего на элемент поверхности, содержащий рассматриваемую точку, к площади этого элемента;</w:t>
      </w:r>
    </w:p>
    <w:p>
      <w:pPr>
        <w:pStyle w:val="Normal"/>
        <w:ind w:firstLine="709"/>
        <w:jc w:val="both"/>
        <w:rPr>
          <w:rFonts w:ascii="Verdana" w:hAnsi="Verdana"/>
        </w:rPr>
      </w:pPr>
      <w:r>
        <w:rPr>
          <w:rFonts w:ascii="Verdana" w:hAnsi="Verdana"/>
        </w:rPr>
      </w:r>
    </w:p>
    <w:p>
      <w:pPr>
        <w:pStyle w:val="Normal"/>
        <w:ind w:firstLine="709"/>
        <w:jc w:val="both"/>
        <w:rPr>
          <w:rFonts w:ascii="Verdana" w:hAnsi="Verdana"/>
        </w:rPr>
      </w:pPr>
      <w:r>
        <w:rPr>
          <w:rFonts w:ascii="Verdana" w:hAnsi="Verdana"/>
        </w:rPr>
        <w:t>3.3</w:t>
        <w:tab/>
        <w:t>рабочее освещение - освещение, обеспечивающее нормируемые осветительные условия (освещенность, качество освещения) в помещениях и в. местах производства работ вне зданий;</w:t>
      </w:r>
    </w:p>
    <w:p>
      <w:pPr>
        <w:pStyle w:val="Normal"/>
        <w:ind w:firstLine="709"/>
        <w:jc w:val="both"/>
        <w:rPr>
          <w:rFonts w:ascii="Verdana" w:hAnsi="Verdana"/>
        </w:rPr>
      </w:pPr>
      <w:r>
        <w:rPr>
          <w:rFonts w:ascii="Verdana" w:hAnsi="Verdana"/>
        </w:rPr>
        <w:t>3.4</w:t>
        <w:tab/>
        <w:t xml:space="preserve">коэффициент запаса </w:t>
      </w:r>
      <w:r>
        <w:rPr>
          <w:rFonts w:ascii="Verdana" w:hAnsi="Verdana"/>
          <w:i/>
          <w:iCs/>
        </w:rPr>
        <w:t>К</w:t>
      </w:r>
      <w:r>
        <w:rPr>
          <w:rFonts w:ascii="Verdana" w:hAnsi="Verdana"/>
          <w:i/>
          <w:iCs/>
          <w:vertAlign w:val="subscript"/>
        </w:rPr>
        <w:t>з</w:t>
      </w:r>
      <w:r>
        <w:rPr>
          <w:rFonts w:ascii="Verdana" w:hAnsi="Verdana"/>
        </w:rPr>
        <w:t>, отн. ед - расчетный коэффициент, учитывающий снижение освещенности в процессе эксплуатации вследствие загрязнения и старения источников света (ламп) и светильников, а также снижение отражающих свойств поверхностей помещения;</w:t>
      </w:r>
    </w:p>
    <w:p>
      <w:pPr>
        <w:pStyle w:val="Normal"/>
        <w:ind w:firstLine="709"/>
        <w:jc w:val="both"/>
        <w:rPr>
          <w:rFonts w:ascii="Verdana" w:hAnsi="Verdana"/>
        </w:rPr>
      </w:pPr>
      <w:r>
        <w:rPr>
          <w:rFonts w:ascii="Verdana" w:hAnsi="Verdana"/>
        </w:rPr>
        <w:t>3.5</w:t>
        <w:tab/>
        <w:t xml:space="preserve">средняя освещенность </w:t>
      </w:r>
      <w:r>
        <w:rPr>
          <w:rFonts w:ascii="Verdana" w:hAnsi="Verdana"/>
          <w:i/>
          <w:iCs/>
        </w:rPr>
        <w:t>Е</w:t>
      </w:r>
      <w:r>
        <w:rPr>
          <w:rFonts w:ascii="Verdana" w:hAnsi="Verdana"/>
          <w:i/>
          <w:iCs/>
          <w:vertAlign w:val="subscript"/>
        </w:rPr>
        <w:t>ср</w:t>
      </w:r>
      <w:r>
        <w:rPr>
          <w:rFonts w:ascii="Verdana" w:hAnsi="Verdana"/>
        </w:rPr>
        <w:t>, лк: Освещенность, усредненная по площади освещаемого помещения, участка, рабочей зоны.</w:t>
      </w:r>
    </w:p>
    <w:p>
      <w:pPr>
        <w:pStyle w:val="Normal"/>
        <w:ind w:firstLine="709"/>
        <w:jc w:val="both"/>
        <w:rPr>
          <w:rFonts w:ascii="Verdana" w:hAnsi="Verdana"/>
        </w:rPr>
      </w:pPr>
      <w:r>
        <w:rPr>
          <w:rFonts w:ascii="Verdana" w:hAnsi="Verdana"/>
        </w:rPr>
      </w:r>
    </w:p>
    <w:p>
      <w:pPr>
        <w:pStyle w:val="Normal"/>
        <w:ind w:firstLine="709"/>
        <w:jc w:val="both"/>
        <w:rPr>
          <w:rFonts w:ascii="Verdana" w:hAnsi="Verdana"/>
        </w:rPr>
      </w:pPr>
      <w:r>
        <w:rPr>
          <w:rFonts w:ascii="Verdana" w:hAnsi="Verdana"/>
        </w:rPr>
        <w:t>4</w:t>
        <w:tab/>
        <w:t>Средства измерений</w:t>
      </w:r>
    </w:p>
    <w:p>
      <w:pPr>
        <w:pStyle w:val="Normal"/>
        <w:ind w:firstLine="709"/>
        <w:jc w:val="both"/>
        <w:rPr>
          <w:rFonts w:ascii="Verdana" w:hAnsi="Verdana"/>
        </w:rPr>
      </w:pPr>
      <w:r>
        <w:rPr>
          <w:rFonts w:ascii="Verdana" w:hAnsi="Verdana"/>
        </w:rPr>
        <w:t>4.1</w:t>
        <w:tab/>
        <w:t>Для измерения освещенности следует использовать средства измерений — люксметры с измерительными преобразователями излучения, имеющими предел допускаемой относительной погрешности не более 10 %.</w:t>
      </w:r>
    </w:p>
    <w:p>
      <w:pPr>
        <w:pStyle w:val="Normal"/>
        <w:ind w:firstLine="709"/>
        <w:jc w:val="both"/>
        <w:rPr>
          <w:rFonts w:ascii="Verdana" w:hAnsi="Verdana"/>
        </w:rPr>
      </w:pPr>
      <w:r>
        <w:rPr>
          <w:rFonts w:ascii="Verdana" w:hAnsi="Verdana"/>
        </w:rPr>
        <w:t>4.2</w:t>
        <w:tab/>
        <w:t>Средства измерения (люксметры) должны быть внесены в Государственный реестр средств измерений, поверены и иметь действующие свидетельства о поверке средств измерений. Поверка люксметров осуществляется органами стандартизации и метрологии.</w:t>
      </w:r>
    </w:p>
    <w:p>
      <w:pPr>
        <w:pStyle w:val="Normal"/>
        <w:ind w:firstLine="709"/>
        <w:jc w:val="both"/>
        <w:rPr>
          <w:rFonts w:ascii="Verdana" w:hAnsi="Verdana"/>
        </w:rPr>
      </w:pPr>
      <w:r>
        <w:rPr>
          <w:rFonts w:ascii="Verdana" w:hAnsi="Verdana"/>
        </w:rPr>
        <w:t>4.3</w:t>
        <w:tab/>
        <w:t>Для измерения напряжения, в сети следует применять вольтметры класса точности не ниже 1,5 по ГОСТ 8711.</w:t>
      </w:r>
    </w:p>
    <w:p>
      <w:pPr>
        <w:pStyle w:val="Normal"/>
        <w:ind w:firstLine="709"/>
        <w:jc w:val="both"/>
        <w:rPr>
          <w:rFonts w:ascii="Verdana" w:hAnsi="Verdana"/>
        </w:rPr>
      </w:pPr>
      <w:r>
        <w:rPr>
          <w:rFonts w:ascii="Verdana" w:hAnsi="Verdana"/>
        </w:rPr>
      </w:r>
    </w:p>
    <w:p>
      <w:pPr>
        <w:pStyle w:val="Normal"/>
        <w:ind w:firstLine="709"/>
        <w:jc w:val="both"/>
        <w:rPr>
          <w:rFonts w:ascii="Verdana" w:hAnsi="Verdana"/>
        </w:rPr>
      </w:pPr>
      <w:r>
        <w:rPr>
          <w:rFonts w:ascii="Verdana" w:hAnsi="Verdana"/>
        </w:rPr>
        <w:t>5</w:t>
        <w:tab/>
        <w:t>Подготовка к измерениям</w:t>
      </w:r>
    </w:p>
    <w:p>
      <w:pPr>
        <w:pStyle w:val="Normal"/>
        <w:ind w:firstLine="709"/>
        <w:jc w:val="both"/>
        <w:rPr>
          <w:rFonts w:ascii="Verdana" w:hAnsi="Verdana"/>
        </w:rPr>
      </w:pPr>
      <w:r>
        <w:rPr>
          <w:rFonts w:ascii="Verdana" w:hAnsi="Verdana"/>
        </w:rPr>
        <w:t>5.1</w:t>
        <w:tab/>
        <w:t xml:space="preserve"> Перечень помещений и рабочих мест, </w:t>
      </w:r>
      <w:bookmarkStart w:id="8" w:name="_Hlk212629028"/>
      <w:r>
        <w:rPr>
          <w:rFonts w:ascii="Verdana" w:hAnsi="Verdana"/>
        </w:rPr>
        <w:t>на которых производится оценка качества световой среды (уровня освещенности)</w:t>
      </w:r>
      <w:bookmarkEnd w:id="8"/>
      <w:r>
        <w:rPr>
          <w:rFonts w:ascii="Verdana" w:hAnsi="Verdana"/>
        </w:rPr>
        <w:t xml:space="preserve"> с указанием количества контрольных точек, профессии, разряда (под разряда) зрительных работ, плоскости измерения и нормируемых значений освещённости оформляется в соответствии с таблицей приложения 1 к данной Методике.</w:t>
      </w:r>
    </w:p>
    <w:p>
      <w:pPr>
        <w:pStyle w:val="Normal"/>
        <w:ind w:firstLine="709"/>
        <w:jc w:val="both"/>
        <w:rPr>
          <w:rFonts w:ascii="Verdana" w:hAnsi="Verdana"/>
        </w:rPr>
      </w:pPr>
      <w:r>
        <w:rPr>
          <w:rFonts w:ascii="Verdana" w:hAnsi="Verdana"/>
        </w:rPr>
        <w:t>5.2</w:t>
        <w:tab/>
        <w:t xml:space="preserve"> Перед измерениями освещенности помещений на соответствие, требованиям СП 52.13330.2016, СанПиН 1.2.3685-21 и ГОСТ 34935-2023, выбирают и наносят контрольные точки для измерения освещенности на план помещения, сооружения или освещаемого участка (или исполнительный чертеж осветительной установки) с указанием размещения светильников.</w:t>
      </w:r>
    </w:p>
    <w:p>
      <w:pPr>
        <w:pStyle w:val="Normal"/>
        <w:ind w:firstLine="709"/>
        <w:jc w:val="both"/>
        <w:rPr>
          <w:rFonts w:ascii="Verdana" w:hAnsi="Verdana"/>
        </w:rPr>
      </w:pPr>
      <w:r>
        <w:rPr>
          <w:rFonts w:ascii="Verdana" w:hAnsi="Verdana"/>
        </w:rPr>
        <w:t>5.3</w:t>
        <w:tab/>
        <w:t xml:space="preserve"> Перед измерением уровня освещенности, создаваемого системой освещения следует провести предварительную подготовку (замену и/или ремонт неработающих осветительных приборов и чистку светопропускающей поверхности светильников).</w:t>
      </w:r>
    </w:p>
    <w:p>
      <w:pPr>
        <w:pStyle w:val="Normal"/>
        <w:ind w:firstLine="709"/>
        <w:jc w:val="both"/>
        <w:rPr>
          <w:rFonts w:ascii="Verdana" w:hAnsi="Verdana"/>
        </w:rPr>
      </w:pPr>
      <w:r>
        <w:rPr>
          <w:rFonts w:ascii="Verdana" w:hAnsi="Verdana"/>
        </w:rPr>
        <w:t>5.4</w:t>
        <w:tab/>
      </w:r>
      <w:bookmarkStart w:id="9" w:name="_Hlk212616495"/>
      <w:r>
        <w:rPr>
          <w:rFonts w:ascii="Verdana" w:hAnsi="Verdana"/>
        </w:rPr>
        <w:t xml:space="preserve"> Размещение контрольных точек при измерении минимальной и средней освещенности </w:t>
      </w:r>
      <w:r>
        <w:rPr>
          <w:rFonts w:ascii="Verdana" w:hAnsi="Verdana"/>
          <w:color w:val="000000"/>
          <w:lang w:eastAsia="ru-RU" w:bidi="ru-RU"/>
        </w:rPr>
        <w:t>помещений</w:t>
      </w:r>
      <w:bookmarkEnd w:id="9"/>
    </w:p>
    <w:p>
      <w:pPr>
        <w:pStyle w:val="Normal"/>
        <w:ind w:firstLine="709"/>
        <w:jc w:val="both"/>
        <w:rPr>
          <w:rFonts w:ascii="Verdana" w:hAnsi="Verdana"/>
        </w:rPr>
      </w:pPr>
      <w:r>
        <w:rPr>
          <w:rFonts w:ascii="Verdana" w:hAnsi="Verdana"/>
        </w:rPr>
        <w:t>5.4.1</w:t>
        <w:tab/>
        <w:t xml:space="preserve">Контрольные точки измерения минимальной освещенности от рабочего освещения размещают в центре помещения, под светильниками, между светильниками и их рядами, у стен на расстоянии от 0,15 I до 0,25 I, но не более 1 м от стены, где I - расстояние между рядами светильников. </w:t>
      </w:r>
    </w:p>
    <w:p>
      <w:pPr>
        <w:pStyle w:val="Normal"/>
        <w:ind w:firstLine="709"/>
        <w:jc w:val="both"/>
        <w:rPr>
          <w:rFonts w:ascii="Verdana" w:hAnsi="Verdana"/>
        </w:rPr>
      </w:pPr>
      <w:r>
        <w:rPr>
          <w:rFonts w:ascii="Verdana" w:hAnsi="Verdana"/>
        </w:rPr>
        <w:t>5.4.2 Для</w:t>
      </w:r>
      <w:r>
        <w:rPr>
          <w:rFonts w:ascii="Verdana" w:hAnsi="Verdana"/>
          <w:color w:val="000000"/>
          <w:lang w:eastAsia="ru-RU" w:bidi="ru-RU"/>
        </w:rPr>
        <w:t xml:space="preserve"> определения контрольных точек п</w:t>
      </w:r>
      <w:r>
        <w:rPr>
          <w:rFonts w:ascii="Verdana" w:hAnsi="Verdana"/>
        </w:rPr>
        <w:t>ри измерении средней освещенности помещений план помещения разбивают на равные, по возможности квадратные, части. Контрольные точки размещают в центре каждого квадрата. Минимальное число контрольных точек для измерения определяют исходя из размеров помещения и высоты подвеса светильников над рабочей поверхностью. Для этого рассчитывают индекс помещения /по формуле:</w:t>
      </w:r>
    </w:p>
    <w:p>
      <w:pPr>
        <w:pStyle w:val="Normal"/>
        <w:jc w:val="center"/>
        <w:rPr>
          <w:rFonts w:ascii="Verdana" w:hAnsi="Verdana" w:eastAsia="Arial" w:eastAsiaTheme="minorEastAsia"/>
          <w:i/>
          <w:iCs/>
        </w:rPr>
      </w:pPr>
      <w:r>
        <w:rPr/>
      </w:r>
      <m:oMath xmlns:m="http://schemas.openxmlformats.org/officeDocument/2006/math">
        <m:r>
          <m:t xml:space="preserve">j</m:t>
        </m:r>
        <m:r>
          <m:rPr>
            <m:lit/>
            <m:nor/>
          </m:rPr>
          <m:t xml:space="preserve">=</m:t>
        </m:r>
        <m:f>
          <m:num>
            <m:r>
              <m:t xml:space="preserve">ab</m:t>
            </m:r>
          </m:num>
          <m:den>
            <m:r>
              <m:t xml:space="preserve">hO</m:t>
            </m:r>
            <m:r>
              <m:t xml:space="preserve">(</m:t>
            </m:r>
            <m:r>
              <m:t xml:space="preserve">a</m:t>
            </m:r>
            <m:r>
              <m:rPr>
                <m:lit/>
                <m:nor/>
              </m:rPr>
              <m:t xml:space="preserve">+</m:t>
            </m:r>
            <m:r>
              <m:t xml:space="preserve">b</m:t>
            </m:r>
            <m:r>
              <m:t xml:space="preserve">)</m:t>
            </m:r>
          </m:den>
        </m:f>
      </m:oMath>
      <w:r>
        <w:rPr>
          <w:rFonts w:eastAsia="Arial" w:ascii="Verdana" w:hAnsi="Verdana" w:eastAsiaTheme="minorEastAsia"/>
          <w:i/>
          <w:iCs/>
        </w:rPr>
        <w:t xml:space="preserve">                                                        </w:t>
      </w:r>
      <w:r>
        <w:rPr>
          <w:rFonts w:eastAsia="Arial" w:ascii="Verdana" w:hAnsi="Verdana" w:eastAsiaTheme="minorEastAsia"/>
        </w:rPr>
        <w:t>[1]</w:t>
      </w:r>
    </w:p>
    <w:p>
      <w:pPr>
        <w:pStyle w:val="Normal"/>
        <w:rPr>
          <w:rFonts w:ascii="Verdana" w:hAnsi="Verdana" w:eastAsia="Arial" w:eastAsiaTheme="minorEastAsia"/>
        </w:rPr>
      </w:pPr>
      <w:r>
        <w:rPr>
          <w:rFonts w:eastAsia="Arial" w:ascii="Verdana" w:hAnsi="Verdana" w:eastAsiaTheme="minorEastAsia"/>
        </w:rPr>
        <w:t>где</w:t>
      </w:r>
    </w:p>
    <w:p>
      <w:pPr>
        <w:pStyle w:val="Normal"/>
        <w:jc w:val="both"/>
        <w:rPr>
          <w:rFonts w:ascii="Verdana" w:hAnsi="Verdana"/>
        </w:rPr>
      </w:pPr>
      <w:r>
        <w:rPr>
          <w:rFonts w:ascii="Verdana" w:hAnsi="Verdana"/>
          <w:i/>
          <w:iCs/>
          <w:lang w:val="en-US"/>
        </w:rPr>
        <w:t>a</w:t>
      </w:r>
      <w:r>
        <w:rPr>
          <w:rFonts w:ascii="Verdana" w:hAnsi="Verdana"/>
          <w:i/>
          <w:iCs/>
        </w:rPr>
        <w:t xml:space="preserve"> и </w:t>
      </w:r>
      <w:r>
        <w:rPr>
          <w:rFonts w:ascii="Verdana" w:hAnsi="Verdana"/>
          <w:i/>
          <w:iCs/>
          <w:lang w:val="en-US"/>
        </w:rPr>
        <w:t>b</w:t>
      </w:r>
      <w:r>
        <w:rPr>
          <w:rFonts w:ascii="Verdana" w:hAnsi="Verdana"/>
          <w:i/>
          <w:iCs/>
        </w:rPr>
        <w:t xml:space="preserve"> - </w:t>
      </w:r>
      <w:r>
        <w:rPr>
          <w:rFonts w:ascii="Verdana" w:hAnsi="Verdana"/>
        </w:rPr>
        <w:t>длина и ширина помещения соответственно, м;</w:t>
      </w:r>
    </w:p>
    <w:p>
      <w:pPr>
        <w:pStyle w:val="Normal"/>
        <w:jc w:val="both"/>
        <w:rPr>
          <w:rFonts w:ascii="Verdana" w:hAnsi="Verdana"/>
        </w:rPr>
      </w:pPr>
      <w:r>
        <w:rPr>
          <w:rFonts w:ascii="Verdana" w:hAnsi="Verdana"/>
          <w:i/>
          <w:iCs/>
        </w:rPr>
        <w:t xml:space="preserve">hO - </w:t>
      </w:r>
      <w:r>
        <w:rPr>
          <w:rFonts w:ascii="Verdana" w:hAnsi="Verdana"/>
        </w:rPr>
        <w:t>высота подвеса светильников над рабочей поверхностью, м.</w:t>
      </w:r>
    </w:p>
    <w:p>
      <w:pPr>
        <w:pStyle w:val="Normal"/>
        <w:ind w:firstLine="708"/>
        <w:jc w:val="both"/>
        <w:rPr>
          <w:rFonts w:ascii="Verdana" w:hAnsi="Verdana"/>
        </w:rPr>
      </w:pPr>
      <w:r>
        <w:rPr>
          <w:rFonts w:ascii="Verdana" w:hAnsi="Verdana"/>
        </w:rPr>
        <w:t xml:space="preserve">Минимальное число контрольных точек </w:t>
      </w:r>
      <w:r>
        <w:rPr>
          <w:rFonts w:ascii="Verdana" w:hAnsi="Verdana"/>
          <w:i/>
          <w:iCs/>
        </w:rPr>
        <w:t>N</w:t>
      </w:r>
      <w:r>
        <w:rPr>
          <w:rFonts w:ascii="Verdana" w:hAnsi="Verdana"/>
        </w:rPr>
        <w:t xml:space="preserve"> для измерения средней освещенности квадратного помещения определяют по таблице 1.</w:t>
      </w:r>
    </w:p>
    <w:p>
      <w:pPr>
        <w:pStyle w:val="Normal"/>
        <w:ind w:firstLine="708"/>
        <w:jc w:val="end"/>
        <w:rPr>
          <w:rFonts w:ascii="Verdana" w:hAnsi="Verdana"/>
        </w:rPr>
      </w:pPr>
      <w:r>
        <w:rPr>
          <w:rFonts w:ascii="Verdana" w:hAnsi="Verdana"/>
        </w:rPr>
        <w:t>Таблица 1</w:t>
      </w:r>
    </w:p>
    <w:p>
      <w:pPr>
        <w:pStyle w:val="Normal"/>
        <w:ind w:firstLine="708"/>
        <w:jc w:val="center"/>
        <w:rPr>
          <w:rFonts w:ascii="Verdana" w:hAnsi="Verdana"/>
        </w:rPr>
      </w:pPr>
      <w:r>
        <w:rPr>
          <w:rFonts w:ascii="Verdana" w:hAnsi="Verdana"/>
        </w:rPr>
        <w:t>Минимальное число контрольных точек измерения</w:t>
      </w:r>
    </w:p>
    <w:tbl>
      <w:tblPr>
        <w:tblW w:w="5688" w:type="dxa"/>
        <w:jc w:val="center"/>
        <w:tblInd w:w="0" w:type="dxa"/>
        <w:tblLayout w:type="fixed"/>
        <w:tblCellMar>
          <w:top w:w="0" w:type="dxa"/>
          <w:start w:w="10" w:type="dxa"/>
          <w:bottom w:w="0" w:type="dxa"/>
          <w:end w:w="10" w:type="dxa"/>
        </w:tblCellMar>
        <w:tblLook w:val="0000" w:noHBand="0" w:noVBand="0" w:firstColumn="0" w:lastRow="0" w:lastColumn="0" w:firstRow="0"/>
      </w:tblPr>
      <w:tblGrid>
        <w:gridCol w:w="2688"/>
        <w:gridCol w:w="3000"/>
      </w:tblGrid>
      <w:tr>
        <w:trPr>
          <w:trHeight w:val="709" w:hRule="exact"/>
        </w:trPr>
        <w:tc>
          <w:tcPr>
            <w:tcW w:w="2688" w:type="dxa"/>
            <w:tcBorders>
              <w:top w:val="single" w:sz="4" w:space="0" w:color="000000"/>
              <w:start w:val="single" w:sz="4" w:space="0" w:color="000000"/>
            </w:tcBorders>
            <w:shd w:color="auto" w:fill="FFFFFF" w:val="clear"/>
            <w:vAlign w:val="center"/>
          </w:tcPr>
          <w:p>
            <w:pPr>
              <w:pStyle w:val="Normal"/>
              <w:widowControl w:val="false"/>
              <w:spacing w:lineRule="exact" w:line="240"/>
              <w:ind w:start="200"/>
              <w:rPr>
                <w:rFonts w:ascii="Verdana" w:hAnsi="Verdana" w:eastAsia="Microsoft Sans Serif" w:cs="Microsoft Sans Serif"/>
                <w:color w:val="000000"/>
                <w:lang w:eastAsia="ru-RU" w:bidi="ru-RU"/>
              </w:rPr>
            </w:pPr>
            <w:r>
              <w:rPr>
                <w:rFonts w:eastAsia="Trebuchet MS" w:cs="Trebuchet MS" w:ascii="Verdana" w:hAnsi="Verdana"/>
                <w:color w:val="000000"/>
                <w:lang w:eastAsia="ru-RU" w:bidi="ru-RU"/>
              </w:rPr>
              <w:t xml:space="preserve">Индекс помещения </w:t>
            </w:r>
            <w:r>
              <w:rPr>
                <w:rFonts w:eastAsia="Bookman Old Style" w:cs="Bookman Old Style" w:ascii="Verdana" w:hAnsi="Verdana"/>
                <w:i/>
                <w:iCs/>
                <w:color w:val="000000"/>
                <w:lang w:val="en-US" w:bidi="en-US"/>
              </w:rPr>
              <w:t>j</w:t>
            </w:r>
          </w:p>
        </w:tc>
        <w:tc>
          <w:tcPr>
            <w:tcW w:w="3000" w:type="dxa"/>
            <w:tcBorders>
              <w:top w:val="single" w:sz="4" w:space="0" w:color="000000"/>
              <w:start w:val="single" w:sz="4" w:space="0" w:color="000000"/>
              <w:end w:val="single" w:sz="4" w:space="0" w:color="000000"/>
            </w:tcBorders>
            <w:shd w:color="auto" w:fill="FFFFFF" w:val="clear"/>
            <w:vAlign w:val="center"/>
          </w:tcPr>
          <w:p>
            <w:pPr>
              <w:pStyle w:val="Normal"/>
              <w:widowControl w:val="false"/>
              <w:spacing w:lineRule="exact" w:line="263"/>
              <w:jc w:val="center"/>
              <w:rPr>
                <w:rFonts w:ascii="Verdana" w:hAnsi="Verdana" w:eastAsia="Microsoft Sans Serif" w:cs="Microsoft Sans Serif"/>
                <w:color w:val="000000"/>
                <w:lang w:eastAsia="ru-RU" w:bidi="ru-RU"/>
              </w:rPr>
            </w:pPr>
            <w:r>
              <w:rPr>
                <w:rFonts w:eastAsia="Trebuchet MS" w:cs="Trebuchet MS" w:ascii="Verdana" w:hAnsi="Verdana"/>
                <w:color w:val="000000"/>
                <w:lang w:eastAsia="ru-RU" w:bidi="ru-RU"/>
              </w:rPr>
              <w:t>Количество точек измерения</w:t>
            </w:r>
          </w:p>
        </w:tc>
      </w:tr>
      <w:tr>
        <w:trPr>
          <w:trHeight w:val="436" w:hRule="exact"/>
        </w:trPr>
        <w:tc>
          <w:tcPr>
            <w:tcW w:w="2688" w:type="dxa"/>
            <w:tcBorders>
              <w:top w:val="single" w:sz="4" w:space="0" w:color="000000"/>
              <w:start w:val="single" w:sz="4" w:space="0" w:color="000000"/>
            </w:tcBorders>
            <w:shd w:color="auto" w:fill="FFFFFF" w:val="clear"/>
            <w:vAlign w:val="center"/>
          </w:tcPr>
          <w:p>
            <w:pPr>
              <w:pStyle w:val="Normal"/>
              <w:widowControl w:val="false"/>
              <w:spacing w:lineRule="exact" w:line="240"/>
              <w:jc w:val="center"/>
              <w:rPr>
                <w:rFonts w:ascii="Verdana" w:hAnsi="Verdana" w:eastAsia="Microsoft Sans Serif" w:cs="Microsoft Sans Serif"/>
                <w:color w:val="000000"/>
                <w:lang w:eastAsia="ru-RU" w:bidi="ru-RU"/>
              </w:rPr>
            </w:pPr>
            <w:r>
              <w:rPr>
                <w:rFonts w:eastAsia="Trebuchet MS" w:cs="Trebuchet MS" w:ascii="Verdana" w:hAnsi="Verdana"/>
                <w:color w:val="000000"/>
                <w:lang w:eastAsia="ru-RU" w:bidi="ru-RU"/>
              </w:rPr>
              <w:t>Менее 1</w:t>
            </w:r>
          </w:p>
        </w:tc>
        <w:tc>
          <w:tcPr>
            <w:tcW w:w="3000" w:type="dxa"/>
            <w:tcBorders>
              <w:top w:val="single" w:sz="4" w:space="0" w:color="000000"/>
              <w:start w:val="single" w:sz="4" w:space="0" w:color="000000"/>
              <w:end w:val="single" w:sz="4" w:space="0" w:color="000000"/>
            </w:tcBorders>
            <w:shd w:color="auto" w:fill="FFFFFF" w:val="clear"/>
            <w:vAlign w:val="center"/>
          </w:tcPr>
          <w:p>
            <w:pPr>
              <w:pStyle w:val="Normal"/>
              <w:widowControl w:val="false"/>
              <w:spacing w:lineRule="exact" w:line="240"/>
              <w:jc w:val="center"/>
              <w:rPr>
                <w:rFonts w:ascii="Verdana" w:hAnsi="Verdana" w:eastAsia="Microsoft Sans Serif" w:cs="Microsoft Sans Serif"/>
                <w:color w:val="000000"/>
                <w:lang w:eastAsia="ru-RU" w:bidi="ru-RU"/>
              </w:rPr>
            </w:pPr>
            <w:r>
              <w:rPr>
                <w:rFonts w:eastAsia="Trebuchet MS" w:cs="Trebuchet MS" w:ascii="Verdana" w:hAnsi="Verdana"/>
                <w:color w:val="000000"/>
                <w:lang w:eastAsia="ru-RU" w:bidi="ru-RU"/>
              </w:rPr>
              <w:t>4</w:t>
            </w:r>
          </w:p>
        </w:tc>
      </w:tr>
      <w:tr>
        <w:trPr>
          <w:trHeight w:val="443" w:hRule="exact"/>
        </w:trPr>
        <w:tc>
          <w:tcPr>
            <w:tcW w:w="2688" w:type="dxa"/>
            <w:tcBorders>
              <w:top w:val="single" w:sz="4" w:space="0" w:color="000000"/>
              <w:start w:val="single" w:sz="4" w:space="0" w:color="000000"/>
            </w:tcBorders>
            <w:shd w:color="auto" w:fill="FFFFFF" w:val="clear"/>
            <w:vAlign w:val="center"/>
          </w:tcPr>
          <w:p>
            <w:pPr>
              <w:pStyle w:val="Normal"/>
              <w:widowControl w:val="false"/>
              <w:spacing w:lineRule="exact" w:line="240"/>
              <w:jc w:val="center"/>
              <w:rPr>
                <w:rFonts w:ascii="Verdana" w:hAnsi="Verdana" w:eastAsia="Microsoft Sans Serif" w:cs="Microsoft Sans Serif"/>
                <w:color w:val="000000"/>
                <w:lang w:eastAsia="ru-RU" w:bidi="ru-RU"/>
              </w:rPr>
            </w:pPr>
            <w:r>
              <w:rPr>
                <w:rFonts w:eastAsia="Trebuchet MS" w:cs="Trebuchet MS" w:ascii="Verdana" w:hAnsi="Verdana"/>
                <w:color w:val="000000"/>
                <w:lang w:eastAsia="ru-RU" w:bidi="ru-RU"/>
              </w:rPr>
              <w:t>От 1 до 2 включ.</w:t>
            </w:r>
          </w:p>
        </w:tc>
        <w:tc>
          <w:tcPr>
            <w:tcW w:w="3000" w:type="dxa"/>
            <w:tcBorders>
              <w:top w:val="single" w:sz="4" w:space="0" w:color="000000"/>
              <w:start w:val="single" w:sz="4" w:space="0" w:color="000000"/>
              <w:end w:val="single" w:sz="4" w:space="0" w:color="000000"/>
            </w:tcBorders>
            <w:shd w:color="auto" w:fill="FFFFFF" w:val="clear"/>
            <w:vAlign w:val="center"/>
          </w:tcPr>
          <w:p>
            <w:pPr>
              <w:pStyle w:val="Normal"/>
              <w:widowControl w:val="false"/>
              <w:spacing w:lineRule="exact" w:line="240"/>
              <w:jc w:val="center"/>
              <w:rPr>
                <w:rFonts w:ascii="Verdana" w:hAnsi="Verdana" w:eastAsia="Microsoft Sans Serif" w:cs="Microsoft Sans Serif"/>
                <w:color w:val="000000"/>
                <w:lang w:eastAsia="ru-RU" w:bidi="ru-RU"/>
              </w:rPr>
            </w:pPr>
            <w:r>
              <w:rPr>
                <w:rFonts w:eastAsia="Trebuchet MS" w:cs="Trebuchet MS" w:ascii="Verdana" w:hAnsi="Verdana"/>
                <w:color w:val="000000"/>
                <w:lang w:eastAsia="ru-RU" w:bidi="ru-RU"/>
              </w:rPr>
              <w:t>9</w:t>
            </w:r>
          </w:p>
        </w:tc>
      </w:tr>
      <w:tr>
        <w:trPr>
          <w:trHeight w:val="436" w:hRule="exact"/>
        </w:trPr>
        <w:tc>
          <w:tcPr>
            <w:tcW w:w="2688" w:type="dxa"/>
            <w:tcBorders>
              <w:top w:val="single" w:sz="4" w:space="0" w:color="000000"/>
              <w:start w:val="single" w:sz="4" w:space="0" w:color="000000"/>
            </w:tcBorders>
            <w:shd w:color="auto" w:fill="FFFFFF" w:val="clear"/>
            <w:vAlign w:val="center"/>
          </w:tcPr>
          <w:p>
            <w:pPr>
              <w:pStyle w:val="Normal"/>
              <w:widowControl w:val="false"/>
              <w:spacing w:lineRule="exact" w:line="240"/>
              <w:jc w:val="center"/>
              <w:rPr>
                <w:rFonts w:ascii="Verdana" w:hAnsi="Verdana" w:eastAsia="Microsoft Sans Serif" w:cs="Microsoft Sans Serif"/>
                <w:color w:val="000000"/>
                <w:lang w:eastAsia="ru-RU" w:bidi="ru-RU"/>
              </w:rPr>
            </w:pPr>
            <w:r>
              <w:rPr>
                <w:rFonts w:eastAsia="Trebuchet MS" w:cs="Trebuchet MS" w:ascii="Verdana" w:hAnsi="Verdana"/>
                <w:color w:val="000000"/>
                <w:lang w:eastAsia="ru-RU" w:bidi="ru-RU"/>
              </w:rPr>
              <w:t>Св. 2 до 3 включ.</w:t>
            </w:r>
          </w:p>
        </w:tc>
        <w:tc>
          <w:tcPr>
            <w:tcW w:w="3000" w:type="dxa"/>
            <w:tcBorders>
              <w:top w:val="single" w:sz="4" w:space="0" w:color="000000"/>
              <w:start w:val="single" w:sz="4" w:space="0" w:color="000000"/>
              <w:end w:val="single" w:sz="4" w:space="0" w:color="000000"/>
            </w:tcBorders>
            <w:shd w:color="auto" w:fill="FFFFFF" w:val="clear"/>
            <w:vAlign w:val="center"/>
          </w:tcPr>
          <w:p>
            <w:pPr>
              <w:pStyle w:val="Normal"/>
              <w:widowControl w:val="false"/>
              <w:spacing w:lineRule="exact" w:line="240"/>
              <w:jc w:val="center"/>
              <w:rPr>
                <w:rFonts w:ascii="Verdana" w:hAnsi="Verdana" w:eastAsia="Microsoft Sans Serif" w:cs="Microsoft Sans Serif"/>
                <w:color w:val="000000"/>
                <w:lang w:eastAsia="ru-RU" w:bidi="ru-RU"/>
              </w:rPr>
            </w:pPr>
            <w:r>
              <w:rPr>
                <w:rFonts w:eastAsia="Trebuchet MS" w:cs="Trebuchet MS" w:ascii="Verdana" w:hAnsi="Verdana"/>
                <w:color w:val="000000"/>
                <w:lang w:eastAsia="ru-RU" w:bidi="ru-RU"/>
              </w:rPr>
              <w:t>16</w:t>
            </w:r>
          </w:p>
        </w:tc>
      </w:tr>
      <w:tr>
        <w:trPr>
          <w:trHeight w:val="439" w:hRule="exact"/>
        </w:trPr>
        <w:tc>
          <w:tcPr>
            <w:tcW w:w="2688" w:type="dxa"/>
            <w:tcBorders>
              <w:top w:val="single" w:sz="4" w:space="0" w:color="000000"/>
              <w:start w:val="single" w:sz="4" w:space="0" w:color="000000"/>
              <w:bottom w:val="single" w:sz="4" w:space="0" w:color="000000"/>
            </w:tcBorders>
            <w:shd w:color="auto" w:fill="FFFFFF" w:val="clear"/>
            <w:vAlign w:val="center"/>
          </w:tcPr>
          <w:p>
            <w:pPr>
              <w:pStyle w:val="Normal"/>
              <w:widowControl w:val="false"/>
              <w:spacing w:lineRule="exact" w:line="240"/>
              <w:jc w:val="center"/>
              <w:rPr>
                <w:rFonts w:ascii="Verdana" w:hAnsi="Verdana" w:eastAsia="Microsoft Sans Serif" w:cs="Microsoft Sans Serif"/>
                <w:color w:val="000000"/>
                <w:lang w:eastAsia="ru-RU" w:bidi="ru-RU"/>
              </w:rPr>
            </w:pPr>
            <w:r>
              <w:rPr>
                <w:rFonts w:eastAsia="Trebuchet MS" w:cs="Trebuchet MS" w:ascii="Verdana" w:hAnsi="Verdana"/>
                <w:color w:val="000000"/>
                <w:lang w:eastAsia="ru-RU" w:bidi="ru-RU"/>
              </w:rPr>
              <w:t>Св. 3</w:t>
            </w:r>
          </w:p>
        </w:tc>
        <w:tc>
          <w:tcPr>
            <w:tcW w:w="3000"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exact" w:line="240"/>
              <w:jc w:val="center"/>
              <w:rPr>
                <w:rFonts w:ascii="Verdana" w:hAnsi="Verdana" w:eastAsia="Microsoft Sans Serif" w:cs="Microsoft Sans Serif"/>
                <w:color w:val="000000"/>
                <w:lang w:eastAsia="ru-RU" w:bidi="ru-RU"/>
              </w:rPr>
            </w:pPr>
            <w:r>
              <w:rPr>
                <w:rFonts w:eastAsia="Trebuchet MS" w:cs="Trebuchet MS" w:ascii="Verdana" w:hAnsi="Verdana"/>
                <w:color w:val="000000"/>
                <w:lang w:eastAsia="ru-RU" w:bidi="ru-RU"/>
              </w:rPr>
              <w:t>25</w:t>
            </w:r>
          </w:p>
        </w:tc>
      </w:tr>
    </w:tbl>
    <w:p>
      <w:pPr>
        <w:pStyle w:val="Normal"/>
        <w:ind w:firstLine="708"/>
        <w:rPr>
          <w:rFonts w:ascii="Verdana" w:hAnsi="Verdana"/>
        </w:rPr>
      </w:pPr>
      <w:r>
        <w:rPr>
          <w:rFonts w:ascii="Verdana" w:hAnsi="Verdana"/>
        </w:rPr>
      </w:r>
    </w:p>
    <w:p>
      <w:pPr>
        <w:pStyle w:val="Normal"/>
        <w:ind w:firstLine="709"/>
        <w:rPr>
          <w:rFonts w:ascii="Verdana" w:hAnsi="Verdana"/>
          <w:color w:val="000000"/>
          <w:lang w:eastAsia="ru-RU" w:bidi="ru-RU"/>
        </w:rPr>
      </w:pPr>
      <w:r>
        <w:rPr>
          <w:rFonts w:ascii="Verdana" w:hAnsi="Verdana"/>
        </w:rPr>
        <w:t xml:space="preserve">5.4.3 </w:t>
      </w:r>
      <w:r>
        <w:rPr>
          <w:rFonts w:ascii="Verdana" w:hAnsi="Verdana"/>
          <w:color w:val="000000"/>
          <w:lang w:eastAsia="ru-RU" w:bidi="ru-RU"/>
        </w:rPr>
        <w:t xml:space="preserve">В неквадратных помещениях выделяют квадрат наибольшей площадью </w:t>
      </w:r>
      <w:r>
        <w:rPr>
          <w:rStyle w:val="2BookmanOldStyle1"/>
          <w:rFonts w:ascii="Verdana" w:hAnsi="Verdana"/>
          <w:sz w:val="22"/>
          <w:szCs w:val="22"/>
        </w:rPr>
        <w:t>Sk</w:t>
      </w:r>
      <w:r>
        <w:rPr>
          <w:rFonts w:ascii="Verdana" w:hAnsi="Verdana"/>
          <w:color w:val="000000"/>
          <w:lang w:eastAsia="ru-RU" w:bidi="ru-RU"/>
        </w:rPr>
        <w:t xml:space="preserve">, для которого определяют число точек измерения </w:t>
      </w:r>
      <w:r>
        <w:rPr>
          <w:rStyle w:val="2BookmanOldStyle"/>
          <w:rFonts w:ascii="Verdana" w:hAnsi="Verdana"/>
          <w:sz w:val="22"/>
          <w:szCs w:val="22"/>
        </w:rPr>
        <w:t>N</w:t>
      </w:r>
      <w:r>
        <w:rPr>
          <w:rStyle w:val="2BookmanOldStyle"/>
          <w:rFonts w:ascii="Verdana" w:hAnsi="Verdana"/>
          <w:sz w:val="22"/>
          <w:szCs w:val="22"/>
          <w:lang w:val="ru-RU"/>
        </w:rPr>
        <w:t>1</w:t>
      </w:r>
      <w:r>
        <w:rPr>
          <w:rFonts w:ascii="Verdana" w:hAnsi="Verdana"/>
          <w:color w:val="000000"/>
          <w:lang w:bidi="en-US"/>
        </w:rPr>
        <w:t xml:space="preserve"> </w:t>
      </w:r>
      <w:r>
        <w:rPr>
          <w:rFonts w:ascii="Verdana" w:hAnsi="Verdana"/>
          <w:color w:val="000000"/>
          <w:lang w:eastAsia="ru-RU" w:bidi="ru-RU"/>
        </w:rPr>
        <w:t xml:space="preserve">в соответствии с 5.4.2 Минимальное число точек измерения средней освещенности </w:t>
      </w:r>
      <w:r>
        <w:rPr>
          <w:rStyle w:val="2BookmanOldStyle"/>
          <w:rFonts w:ascii="Verdana" w:hAnsi="Verdana"/>
          <w:sz w:val="22"/>
          <w:szCs w:val="22"/>
        </w:rPr>
        <w:t>N</w:t>
      </w:r>
      <w:r>
        <w:rPr>
          <w:rFonts w:ascii="Verdana" w:hAnsi="Verdana"/>
          <w:color w:val="000000"/>
          <w:lang w:bidi="en-US"/>
        </w:rPr>
        <w:t xml:space="preserve"> </w:t>
      </w:r>
      <w:r>
        <w:rPr>
          <w:rFonts w:ascii="Verdana" w:hAnsi="Verdana"/>
          <w:color w:val="000000"/>
          <w:lang w:eastAsia="ru-RU" w:bidi="ru-RU"/>
        </w:rPr>
        <w:t>рассчитывают по формуле:</w:t>
      </w:r>
    </w:p>
    <w:p>
      <w:pPr>
        <w:pStyle w:val="Normal"/>
        <w:ind w:firstLine="709"/>
        <w:jc w:val="center"/>
        <w:rPr>
          <w:rFonts w:ascii="Verdana" w:hAnsi="Verdana" w:eastAsia="Arial" w:eastAsiaTheme="minorEastAsia"/>
          <w:i/>
          <w:iCs/>
          <w:color w:val="000000"/>
          <w:lang w:eastAsia="ru-RU" w:bidi="ru-RU"/>
        </w:rPr>
      </w:pPr>
      <w:r>
        <w:rPr/>
      </w:r>
      <m:oMath xmlns:m="http://schemas.openxmlformats.org/officeDocument/2006/math">
        <m:r>
          <m:t xml:space="preserve">N</m:t>
        </m:r>
        <m:r>
          <m:rPr>
            <m:lit/>
            <m:nor/>
          </m:rPr>
          <m:t xml:space="preserve">=</m:t>
        </m:r>
        <m:r>
          <m:t xml:space="preserve">N</m:t>
        </m:r>
        <m:r>
          <m:t xml:space="preserve">1</m:t>
        </m:r>
        <m:f>
          <m:num>
            <m:r>
              <m:t xml:space="preserve">Sп</m:t>
            </m:r>
          </m:num>
          <m:den>
            <m:r>
              <m:t xml:space="preserve">S</m:t>
            </m:r>
            <m:r>
              <m:t xml:space="preserve">к</m:t>
            </m:r>
          </m:den>
        </m:f>
      </m:oMath>
      <w:r>
        <w:rPr>
          <w:rFonts w:eastAsia="Arial" w:ascii="Verdana" w:hAnsi="Verdana" w:eastAsiaTheme="minorEastAsia"/>
          <w:i/>
          <w:iCs/>
          <w:color w:val="000000"/>
          <w:lang w:eastAsia="ru-RU" w:bidi="ru-RU"/>
        </w:rPr>
        <w:t xml:space="preserve">                                                       </w:t>
      </w:r>
      <w:r>
        <w:rPr>
          <w:color w:val="000000"/>
          <w:lang w:eastAsia="ru-RU" w:bidi="ru-RU"/>
        </w:rPr>
        <w:t>[2]</w:t>
      </w:r>
    </w:p>
    <w:p>
      <w:pPr>
        <w:pStyle w:val="Normal"/>
        <w:ind w:firstLine="709"/>
        <w:rPr>
          <w:rFonts w:ascii="Verdana" w:hAnsi="Verdana" w:eastAsia="Arial" w:eastAsiaTheme="minorEastAsia"/>
          <w:color w:val="000000"/>
          <w:lang w:eastAsia="ru-RU" w:bidi="ru-RU"/>
        </w:rPr>
      </w:pPr>
      <w:r>
        <w:rPr>
          <w:rFonts w:eastAsia="Arial" w:ascii="Verdana" w:hAnsi="Verdana" w:eastAsiaTheme="minorEastAsia"/>
          <w:color w:val="000000"/>
          <w:lang w:eastAsia="ru-RU" w:bidi="ru-RU"/>
        </w:rPr>
        <w:t>где</w:t>
      </w:r>
    </w:p>
    <w:p>
      <w:pPr>
        <w:pStyle w:val="Normal"/>
        <w:ind w:firstLine="709"/>
        <w:rPr>
          <w:rFonts w:ascii="Verdana" w:hAnsi="Verdana"/>
        </w:rPr>
      </w:pPr>
      <w:r>
        <w:rPr>
          <w:rFonts w:ascii="Verdana" w:hAnsi="Verdana"/>
          <w:i/>
          <w:iCs/>
        </w:rPr>
        <w:t>Sп</w:t>
      </w:r>
      <w:r>
        <w:rPr>
          <w:rFonts w:ascii="Verdana" w:hAnsi="Verdana"/>
        </w:rPr>
        <w:t xml:space="preserve"> — площадь помещения, м2;</w:t>
      </w:r>
    </w:p>
    <w:p>
      <w:pPr>
        <w:pStyle w:val="Normal"/>
        <w:ind w:firstLine="709"/>
        <w:rPr>
          <w:rFonts w:ascii="Verdana" w:hAnsi="Verdana"/>
        </w:rPr>
      </w:pPr>
      <w:r>
        <w:rPr>
          <w:rFonts w:ascii="Verdana" w:hAnsi="Verdana"/>
          <w:i/>
          <w:iCs/>
        </w:rPr>
        <w:t>Sк</w:t>
      </w:r>
      <w:r>
        <w:rPr>
          <w:rFonts w:ascii="Verdana" w:hAnsi="Verdana"/>
        </w:rPr>
        <w:t>— площадь квадрата, м2.</w:t>
      </w:r>
    </w:p>
    <w:p>
      <w:pPr>
        <w:pStyle w:val="Normal"/>
        <w:ind w:firstLine="709"/>
        <w:jc w:val="both"/>
        <w:rPr>
          <w:rFonts w:ascii="Verdana" w:hAnsi="Verdana"/>
        </w:rPr>
      </w:pPr>
      <w:r>
        <w:rPr>
          <w:rFonts w:ascii="Verdana" w:hAnsi="Verdana"/>
        </w:rPr>
        <w:t>5.4.4 При размещении контрольных точек на плане помещения их сетка не должна совпадать с сеткой размещения светильников. В случае совпадения сеток количество контрольных точек на плане помещения целесообразно увеличить. При расположении в помещении крупногабаритного оборудования контрольные точки не должны располагаться на оборудовании. Если контрольные точки попадают на оборудование, то сетку контрольных точек следует сделать более частой и исключить точки, попадающие на оборудование.</w:t>
      </w:r>
    </w:p>
    <w:p>
      <w:pPr>
        <w:pStyle w:val="Normal"/>
        <w:ind w:firstLine="709"/>
        <w:jc w:val="both"/>
        <w:rPr>
          <w:rFonts w:ascii="Verdana" w:hAnsi="Verdana"/>
        </w:rPr>
      </w:pPr>
      <w:r>
        <w:rPr>
          <w:rFonts w:ascii="Verdana" w:hAnsi="Verdana"/>
        </w:rPr>
        <w:t>5.5 Размещение контрольных точек при измерении освещенности от систем наружного освещения</w:t>
      </w:r>
    </w:p>
    <w:p>
      <w:pPr>
        <w:pStyle w:val="Normal"/>
        <w:ind w:firstLine="709"/>
        <w:jc w:val="both"/>
        <w:rPr>
          <w:rFonts w:ascii="Verdana" w:hAnsi="Verdana"/>
        </w:rPr>
      </w:pPr>
      <w:r>
        <w:rPr>
          <w:rFonts w:ascii="Verdana" w:hAnsi="Verdana"/>
        </w:rPr>
        <w:t xml:space="preserve">5.5.1 Контрольные точки </w:t>
      </w:r>
      <w:bookmarkStart w:id="10" w:name="_Hlk212615117"/>
      <w:r>
        <w:rPr>
          <w:rFonts w:ascii="Verdana" w:hAnsi="Verdana"/>
        </w:rPr>
        <w:t xml:space="preserve">для измерения средней освещенности </w:t>
      </w:r>
      <w:bookmarkEnd w:id="10"/>
      <w:r>
        <w:rPr>
          <w:rFonts w:ascii="Verdana" w:hAnsi="Verdana"/>
        </w:rPr>
        <w:t xml:space="preserve">мест производства работ вне зданий должны быть расположены равномерно на участке, ограниченном шагом светильников, на расстоянии </w:t>
      </w:r>
      <w:r>
        <w:rPr>
          <w:rFonts w:ascii="Verdana" w:hAnsi="Verdana"/>
          <w:i/>
          <w:iCs/>
          <w:lang w:val="en-US"/>
        </w:rPr>
        <w:t>D</w:t>
      </w:r>
      <w:r>
        <w:rPr>
          <w:rFonts w:ascii="Verdana" w:hAnsi="Verdana"/>
          <w:i/>
          <w:iCs/>
        </w:rPr>
        <w:t>=</w:t>
      </w:r>
      <w:r>
        <w:rPr>
          <w:rFonts w:ascii="Verdana" w:hAnsi="Verdana"/>
          <w:i/>
          <w:iCs/>
          <w:lang w:val="en-US"/>
        </w:rPr>
        <w:t>S</w:t>
      </w:r>
      <w:r>
        <w:rPr>
          <w:rFonts w:ascii="Verdana" w:hAnsi="Verdana"/>
          <w:i/>
          <w:iCs/>
        </w:rPr>
        <w:t>/</w:t>
      </w:r>
      <w:r>
        <w:rPr>
          <w:rFonts w:ascii="Verdana" w:hAnsi="Verdana"/>
          <w:i/>
          <w:iCs/>
          <w:lang w:val="en-US"/>
        </w:rPr>
        <w:t>N</w:t>
      </w:r>
      <w:r>
        <w:rPr>
          <w:rFonts w:ascii="Verdana" w:hAnsi="Verdana"/>
        </w:rPr>
        <w:t xml:space="preserve">, где </w:t>
      </w:r>
      <w:r>
        <w:rPr>
          <w:rFonts w:ascii="Verdana" w:hAnsi="Verdana"/>
          <w:i/>
          <w:iCs/>
          <w:lang w:val="en-US"/>
        </w:rPr>
        <w:t>S</w:t>
      </w:r>
      <w:r>
        <w:rPr>
          <w:rFonts w:ascii="Verdana" w:hAnsi="Verdana"/>
        </w:rPr>
        <w:t xml:space="preserve"> – шаг между осветительными приборами.</w:t>
      </w:r>
    </w:p>
    <w:p>
      <w:pPr>
        <w:pStyle w:val="Normal"/>
        <w:ind w:firstLine="709"/>
        <w:jc w:val="both"/>
        <w:rPr>
          <w:rFonts w:ascii="Verdana" w:hAnsi="Verdana"/>
        </w:rPr>
      </w:pPr>
      <w:r>
        <w:rPr>
          <w:rFonts w:ascii="Verdana" w:hAnsi="Verdana"/>
        </w:rPr>
        <w:tab/>
        <w:t xml:space="preserve">При шаге между осветительными приборами </w:t>
      </w:r>
      <w:r>
        <w:rPr>
          <w:rFonts w:ascii="Verdana" w:hAnsi="Verdana"/>
          <w:i/>
          <w:iCs/>
          <w:lang w:val="en-US"/>
        </w:rPr>
        <w:t>S</w:t>
      </w:r>
      <w:r>
        <w:rPr>
          <w:rFonts w:ascii="Verdana" w:hAnsi="Verdana"/>
        </w:rPr>
        <w:t xml:space="preserve">≤30 м </w:t>
      </w:r>
      <w:r>
        <w:rPr>
          <w:rFonts w:ascii="Verdana" w:hAnsi="Verdana"/>
          <w:i/>
          <w:iCs/>
          <w:lang w:val="en-US"/>
        </w:rPr>
        <w:t>N</w:t>
      </w:r>
      <w:r>
        <w:rPr>
          <w:rFonts w:ascii="Verdana" w:hAnsi="Verdana"/>
        </w:rPr>
        <w:t xml:space="preserve">=10, при шаге между осветительными приборами </w:t>
      </w:r>
      <w:r>
        <w:rPr>
          <w:rFonts w:ascii="Verdana" w:hAnsi="Verdana"/>
          <w:i/>
          <w:iCs/>
          <w:lang w:val="en-US"/>
        </w:rPr>
        <w:t>S</w:t>
      </w:r>
      <w:r>
        <w:rPr>
          <w:rFonts w:ascii="Verdana" w:hAnsi="Verdana"/>
        </w:rPr>
        <w:t xml:space="preserve">&gt;30 м </w:t>
      </w:r>
      <w:r>
        <w:rPr>
          <w:rFonts w:ascii="Verdana" w:hAnsi="Verdana"/>
          <w:i/>
          <w:iCs/>
          <w:lang w:val="en-US"/>
        </w:rPr>
        <w:t>D</w:t>
      </w:r>
      <w:r>
        <w:rPr>
          <w:rFonts w:ascii="Verdana" w:hAnsi="Verdana"/>
        </w:rPr>
        <w:t>≤3 м. Число контрольных точек должно быть не менее 10.</w:t>
      </w:r>
    </w:p>
    <w:p>
      <w:pPr>
        <w:pStyle w:val="Normal"/>
        <w:ind w:firstLine="709"/>
        <w:jc w:val="both"/>
        <w:rPr>
          <w:rFonts w:ascii="Verdana" w:hAnsi="Verdana"/>
        </w:rPr>
      </w:pPr>
      <w:r>
        <w:rPr>
          <w:rFonts w:ascii="Verdana" w:hAnsi="Verdana"/>
        </w:rPr>
        <w:t xml:space="preserve">5.5.2 Контрольные точки для измерения освещенности на объектах железнодорожного транспорта следует располагать в плоскости нормирования освещенности на уровне нормируемой поверхности. При наличии нескольких рабочих поверхностей освещенность измеряют на каждой из них. </w:t>
      </w:r>
    </w:p>
    <w:p>
      <w:pPr>
        <w:pStyle w:val="Normal"/>
        <w:ind w:firstLine="709"/>
        <w:jc w:val="both"/>
        <w:rPr>
          <w:rFonts w:ascii="Verdana" w:hAnsi="Verdana"/>
        </w:rPr>
      </w:pPr>
      <w:r>
        <w:rPr>
          <w:rFonts w:ascii="Verdana" w:hAnsi="Verdana"/>
        </w:rPr>
        <w:t>Размещение контрольных точек должно быть, по возможности, равномерным. Также необходимо проводить измерения в наиболее темных и светлых местах освещаемой поверхности (при их наличии) между контрольными точками.</w:t>
      </w:r>
    </w:p>
    <w:p>
      <w:pPr>
        <w:pStyle w:val="Normal"/>
        <w:ind w:firstLine="709"/>
        <w:jc w:val="both"/>
        <w:rPr>
          <w:rFonts w:ascii="Verdana" w:hAnsi="Verdana"/>
        </w:rPr>
      </w:pPr>
      <w:r>
        <w:rPr>
          <w:rFonts w:ascii="Verdana" w:hAnsi="Verdana"/>
        </w:rPr>
        <w:t>Измерение освещенности в парках станций независимо от типа системы следует проводить при занятости смежных путей крытым подвижным составом и при отсутствии подвижного состава на путях. Контрольные точки размещают по оси междупутий и путей с интервалом не более 25 м. При отсутствии подвижного состава на путях допускается измерение освещенности на типовых участках парков, например вдоль одного междупутья и пути, если парк освещен одинаковыми светильниками с жестких поперечин и расстояние между ними одинаковое.</w:t>
      </w:r>
    </w:p>
    <w:p>
      <w:pPr>
        <w:pStyle w:val="Normal"/>
        <w:ind w:firstLine="709"/>
        <w:jc w:val="both"/>
        <w:rPr>
          <w:rFonts w:ascii="Verdana" w:hAnsi="Verdana"/>
        </w:rPr>
      </w:pPr>
      <w:r>
        <w:rPr>
          <w:rFonts w:ascii="Verdana" w:hAnsi="Verdana"/>
        </w:rPr>
        <w:t>Измерение освещенности в горловинах станций и на отдельных стрелочных переводах проводят в двух точках: между остряками и на крестовине стрелочного перевода.</w:t>
      </w:r>
    </w:p>
    <w:p>
      <w:pPr>
        <w:pStyle w:val="Normal"/>
        <w:ind w:firstLine="709"/>
        <w:jc w:val="both"/>
        <w:rPr>
          <w:rFonts w:ascii="Verdana" w:hAnsi="Verdana"/>
        </w:rPr>
      </w:pPr>
      <w:r>
        <w:rPr>
          <w:rFonts w:ascii="Verdana" w:hAnsi="Verdana"/>
        </w:rPr>
        <w:t>На железнодорожном переезде контрольные точки размещают в границах переезда по осям каждой полосы автомобильной дороги, как минимум, на границе переезда и в точках пересечения с осями путей.</w:t>
      </w:r>
    </w:p>
    <w:p>
      <w:pPr>
        <w:pStyle w:val="Normal"/>
        <w:ind w:firstLine="709"/>
        <w:jc w:val="both"/>
        <w:rPr>
          <w:rFonts w:ascii="Verdana" w:hAnsi="Verdana"/>
        </w:rPr>
      </w:pPr>
      <w:r>
        <w:rPr>
          <w:rFonts w:ascii="Verdana" w:hAnsi="Verdana"/>
        </w:rPr>
        <w:t>6</w:t>
        <w:tab/>
        <w:t>Проведение измерений</w:t>
      </w:r>
    </w:p>
    <w:p>
      <w:pPr>
        <w:pStyle w:val="Normal"/>
        <w:ind w:firstLine="709"/>
        <w:jc w:val="both"/>
        <w:rPr>
          <w:rFonts w:ascii="Verdana" w:hAnsi="Verdana"/>
        </w:rPr>
      </w:pPr>
      <w:r>
        <w:rPr>
          <w:rFonts w:ascii="Verdana" w:hAnsi="Verdana"/>
        </w:rPr>
        <w:t>6.1</w:t>
        <w:tab/>
        <w:t>Измерение освещенности при рабочем освещении, следует проводить в темное время суток, когда отношение естественной освещенности к искусственной составляет не более 0,1.</w:t>
      </w:r>
    </w:p>
    <w:p>
      <w:pPr>
        <w:pStyle w:val="Normal"/>
        <w:ind w:firstLine="709"/>
        <w:jc w:val="both"/>
        <w:rPr>
          <w:rFonts w:ascii="Verdana" w:hAnsi="Verdana"/>
        </w:rPr>
      </w:pPr>
      <w:r>
        <w:rPr>
          <w:rFonts w:ascii="Verdana" w:hAnsi="Verdana"/>
        </w:rPr>
        <w:t>6.2</w:t>
        <w:tab/>
        <w:t>В начале и в конце измерений следует измерить напряжение на щитках распределительных сетей освещения. Результаты измерения заносят в протоколы, форма которых приведена в приложении 2 к данной Методике.</w:t>
      </w:r>
    </w:p>
    <w:p>
      <w:pPr>
        <w:pStyle w:val="Normal"/>
        <w:ind w:firstLine="709"/>
        <w:jc w:val="both"/>
        <w:rPr>
          <w:rFonts w:ascii="Verdana" w:hAnsi="Verdana"/>
        </w:rPr>
      </w:pPr>
      <w:r>
        <w:rPr>
          <w:rFonts w:ascii="Verdana" w:hAnsi="Verdana"/>
        </w:rPr>
        <w:t>6.3</w:t>
        <w:tab/>
        <w:t>Измерения должны проводиться после стабилизации светового потока осветительной установки. Не ранее/ чем через 100 часов работы световых приборов с момента их установки и не ранее, чем через 1 час после включения светового прибора.</w:t>
      </w:r>
    </w:p>
    <w:p>
      <w:pPr>
        <w:pStyle w:val="Normal"/>
        <w:ind w:firstLine="709"/>
        <w:jc w:val="both"/>
        <w:rPr>
          <w:rFonts w:ascii="Verdana" w:hAnsi="Verdana"/>
        </w:rPr>
      </w:pPr>
      <w:r>
        <w:rPr>
          <w:rFonts w:ascii="Verdana" w:hAnsi="Verdana"/>
        </w:rPr>
        <w:t>6.4</w:t>
        <w:tab/>
        <w:t>При измерениях освещенности на измерительный фотометрический датчик не должна падать тень от человека, посторонних предметов, а также свет от других источников света.</w:t>
      </w:r>
    </w:p>
    <w:p>
      <w:pPr>
        <w:pStyle w:val="Normal"/>
        <w:ind w:firstLine="709"/>
        <w:jc w:val="both"/>
        <w:rPr>
          <w:rFonts w:ascii="Verdana" w:hAnsi="Verdana"/>
        </w:rPr>
      </w:pPr>
      <w:r>
        <w:rPr>
          <w:rFonts w:ascii="Verdana" w:hAnsi="Verdana"/>
        </w:rPr>
        <w:t>6.5</w:t>
        <w:tab/>
        <w:t>Измерения освещенности на рабочих местах проводит организация (лаборатория), аккредитованная на право проведения специальной оценки условии труда на рабочих местах (физические факторы - параметры световой среды).</w:t>
      </w:r>
    </w:p>
    <w:p>
      <w:pPr>
        <w:pStyle w:val="Normal"/>
        <w:ind w:firstLine="709"/>
        <w:jc w:val="both"/>
        <w:rPr>
          <w:rFonts w:ascii="Verdana" w:hAnsi="Verdana"/>
        </w:rPr>
      </w:pPr>
      <w:r>
        <w:rPr>
          <w:rFonts w:ascii="Verdana" w:hAnsi="Verdana"/>
        </w:rPr>
        <w:t>6.6</w:t>
        <w:tab/>
        <w:t>Результаты измерения освещенности оформляют в соответствии с приложением 2 к данной методике.</w:t>
      </w:r>
    </w:p>
    <w:p>
      <w:pPr>
        <w:pStyle w:val="Normal"/>
        <w:ind w:firstLine="709"/>
        <w:jc w:val="both"/>
        <w:rPr>
          <w:rFonts w:ascii="Verdana" w:hAnsi="Verdana"/>
        </w:rPr>
      </w:pPr>
      <w:r>
        <w:rPr>
          <w:rFonts w:ascii="Verdana" w:hAnsi="Verdana"/>
        </w:rPr>
        <w:t>7</w:t>
        <w:tab/>
        <w:t>Обработка результатов измерений</w:t>
      </w:r>
    </w:p>
    <w:p>
      <w:pPr>
        <w:pStyle w:val="Normal"/>
        <w:ind w:firstLine="709"/>
        <w:jc w:val="both"/>
        <w:rPr>
          <w:rFonts w:ascii="Verdana" w:hAnsi="Verdana"/>
        </w:rPr>
      </w:pPr>
      <w:r>
        <w:rPr>
          <w:rFonts w:ascii="Verdana" w:hAnsi="Verdana"/>
        </w:rPr>
        <w:t>7.1</w:t>
        <w:tab/>
        <w:t>Определение параметров искусственного освещения</w:t>
      </w:r>
    </w:p>
    <w:p>
      <w:pPr>
        <w:pStyle w:val="Normal"/>
        <w:ind w:firstLine="709"/>
        <w:jc w:val="both"/>
        <w:rPr>
          <w:rFonts w:ascii="Verdana" w:hAnsi="Verdana"/>
        </w:rPr>
      </w:pPr>
      <w:r>
        <w:rPr>
          <w:rFonts w:ascii="Verdana" w:hAnsi="Verdana"/>
        </w:rPr>
        <w:t>7.1.1</w:t>
        <w:tab/>
        <w:t xml:space="preserve">Минимальную освещенность в помещениях и вне зданий определяют, как минимальные измеренные значения освещенности из последовательности их значений в контрольных точках </w:t>
      </w:r>
      <w:r>
        <w:rPr>
          <w:rFonts w:ascii="Verdana" w:hAnsi="Verdana"/>
          <w:i/>
          <w:iCs/>
        </w:rPr>
        <w:t>Е</w:t>
      </w:r>
      <w:r>
        <w:rPr>
          <w:rFonts w:ascii="Verdana" w:hAnsi="Verdana"/>
          <w:i/>
          <w:iCs/>
          <w:vertAlign w:val="subscript"/>
        </w:rPr>
        <w:t>мин</w:t>
      </w:r>
      <w:r>
        <w:rPr>
          <w:rFonts w:ascii="Verdana" w:hAnsi="Verdana"/>
        </w:rPr>
        <w:t xml:space="preserve"> по формуле:</w:t>
      </w:r>
    </w:p>
    <w:p>
      <w:pPr>
        <w:pStyle w:val="Normal"/>
        <w:ind w:firstLine="709"/>
        <w:jc w:val="center"/>
        <w:rPr>
          <w:color w:val="000000"/>
          <w:lang w:eastAsia="ru-RU" w:bidi="ru-RU"/>
        </w:rPr>
      </w:pPr>
      <w:r>
        <w:rPr/>
      </w:r>
      <m:oMath xmlns:m="http://schemas.openxmlformats.org/officeDocument/2006/math">
        <m:r>
          <m:t xml:space="preserve">Eмин</m:t>
        </m:r>
        <m:r>
          <m:rPr>
            <m:lit/>
            <m:nor/>
          </m:rPr>
          <m:t xml:space="preserve">=</m:t>
        </m:r>
        <m:r>
          <m:t xml:space="preserve">min</m:t>
        </m:r>
        <m:r>
          <m:t xml:space="preserve">⁡</m:t>
        </m:r>
        <m:r>
          <m:t xml:space="preserve">(</m:t>
        </m:r>
        <m:r>
          <m:t xml:space="preserve">Ei</m:t>
        </m:r>
        <m:r>
          <m:t xml:space="preserve">)</m:t>
        </m:r>
      </m:oMath>
      <w:bookmarkStart w:id="11" w:name="_Hlk212618678"/>
      <w:bookmarkEnd w:id="11"/>
      <w:r>
        <w:rPr>
          <w:rFonts w:eastAsia="Arial" w:ascii="Verdana" w:hAnsi="Verdana" w:eastAsiaTheme="minorEastAsia"/>
          <w:i/>
        </w:rPr>
        <w:t xml:space="preserve">                                        </w:t>
      </w:r>
      <w:bookmarkStart w:id="12" w:name="_Hlk212619068"/>
      <w:r>
        <w:rPr>
          <w:color w:val="000000"/>
          <w:lang w:eastAsia="ru-RU" w:bidi="ru-RU"/>
        </w:rPr>
        <w:t>[3]</w:t>
      </w:r>
      <w:bookmarkEnd w:id="12"/>
    </w:p>
    <w:p>
      <w:pPr>
        <w:pStyle w:val="Normal"/>
        <w:ind w:firstLine="709"/>
        <w:rPr>
          <w:rFonts w:ascii="Verdana" w:hAnsi="Verdana"/>
          <w:color w:val="000000"/>
          <w:lang w:eastAsia="ru-RU" w:bidi="ru-RU"/>
        </w:rPr>
      </w:pPr>
      <w:r>
        <w:rPr>
          <w:rFonts w:ascii="Verdana" w:hAnsi="Verdana"/>
          <w:color w:val="000000"/>
          <w:lang w:eastAsia="ru-RU" w:bidi="ru-RU"/>
        </w:rPr>
        <w:t>где</w:t>
      </w:r>
    </w:p>
    <w:p>
      <w:pPr>
        <w:pStyle w:val="Normal"/>
        <w:ind w:firstLine="709"/>
        <w:rPr>
          <w:rFonts w:ascii="Verdana" w:hAnsi="Verdana"/>
          <w:iCs/>
        </w:rPr>
      </w:pPr>
      <w:r>
        <w:rPr>
          <w:rFonts w:ascii="Verdana" w:hAnsi="Verdana"/>
          <w:i/>
          <w:lang w:val="en-US"/>
        </w:rPr>
        <w:t>Ei</w:t>
      </w:r>
      <w:r>
        <w:rPr>
          <w:rFonts w:ascii="Verdana" w:hAnsi="Verdana"/>
          <w:i/>
        </w:rPr>
        <w:t xml:space="preserve"> - </w:t>
      </w:r>
      <w:r>
        <w:rPr>
          <w:rFonts w:ascii="Verdana" w:hAnsi="Verdana"/>
          <w:iCs/>
        </w:rPr>
        <w:t>измеренные значения освещённости в контрольных точках, лк.</w:t>
      </w:r>
    </w:p>
    <w:p>
      <w:pPr>
        <w:pStyle w:val="213"/>
        <w:numPr>
          <w:ilvl w:val="0"/>
          <w:numId w:val="10"/>
        </w:numPr>
        <w:shd w:val="clear" w:color="auto" w:fill="auto"/>
        <w:tabs>
          <w:tab w:val="clear" w:pos="369"/>
          <w:tab w:val="left" w:pos="1446" w:leader="none"/>
        </w:tabs>
        <w:spacing w:lineRule="exact" w:line="313"/>
        <w:ind w:firstLine="709"/>
        <w:rPr/>
      </w:pPr>
      <w:r>
        <w:rPr>
          <w:color w:val="000000"/>
          <w:sz w:val="24"/>
          <w:szCs w:val="24"/>
          <w:lang w:bidi="ru-RU"/>
        </w:rPr>
        <w:t xml:space="preserve">Среднюю освещенность в помещении </w:t>
      </w:r>
      <w:r>
        <w:rPr>
          <w:i/>
          <w:iCs/>
          <w:color w:val="000000"/>
          <w:sz w:val="24"/>
          <w:szCs w:val="24"/>
          <w:lang w:val="en-US" w:bidi="ru-RU"/>
        </w:rPr>
        <w:t>E</w:t>
      </w:r>
      <w:r>
        <w:rPr>
          <w:i/>
          <w:iCs/>
          <w:color w:val="000000"/>
          <w:sz w:val="24"/>
          <w:szCs w:val="24"/>
          <w:lang w:bidi="ru-RU"/>
        </w:rPr>
        <w:t>ср</w:t>
      </w:r>
      <w:r>
        <w:rPr>
          <w:color w:val="000000"/>
          <w:sz w:val="24"/>
          <w:szCs w:val="24"/>
          <w:lang w:bidi="ru-RU"/>
        </w:rPr>
        <w:t>, лк, определяют, как среднеарифметическое значение измеренных освещенностей в контрольных точках помещения по формуле:</w:t>
      </w:r>
    </w:p>
    <w:p>
      <w:pPr>
        <w:pStyle w:val="213"/>
        <w:shd w:val="clear" w:color="auto" w:fill="auto"/>
        <w:tabs>
          <w:tab w:val="clear" w:pos="369"/>
          <w:tab w:val="left" w:pos="1446" w:leader="none"/>
        </w:tabs>
        <w:spacing w:lineRule="exact" w:line="313"/>
        <w:ind w:hanging="300" w:start="709"/>
        <w:rPr/>
      </w:pPr>
      <w:r>
        <w:rPr/>
      </w:r>
    </w:p>
    <w:p>
      <w:pPr>
        <w:pStyle w:val="Normal"/>
        <w:ind w:firstLine="709"/>
        <w:jc w:val="center"/>
        <w:rPr>
          <w:rFonts w:ascii="Verdana" w:hAnsi="Verdana" w:eastAsia="Arial" w:eastAsiaTheme="minorEastAsia"/>
          <w:iCs/>
        </w:rPr>
      </w:pPr>
      <w:r>
        <w:rPr/>
      </w:r>
      <m:oMath xmlns:m="http://schemas.openxmlformats.org/officeDocument/2006/math">
        <m:r>
          <m:t xml:space="preserve">Eср</m:t>
        </m:r>
        <m:r>
          <m:rPr>
            <m:lit/>
            <m:nor/>
          </m:rPr>
          <m:t xml:space="preserve">=</m:t>
        </m:r>
        <m:f>
          <m:num>
            <m:r>
              <m:t xml:space="preserve">1</m:t>
            </m:r>
          </m:num>
          <m:den>
            <m:r>
              <m:t xml:space="preserve">N</m:t>
            </m:r>
          </m:den>
        </m:f>
        <m:nary>
          <m:naryPr>
            <m:chr m:val="∑"/>
          </m:naryPr>
          <m:sub>
            <m:r>
              <m:t xml:space="preserve">i</m:t>
            </m:r>
            <m:r>
              <m:rPr>
                <m:lit/>
                <m:nor/>
              </m:rPr>
              <m:t xml:space="preserve">=</m:t>
            </m:r>
            <m:r>
              <m:t xml:space="preserve">1</m:t>
            </m:r>
          </m:sub>
          <m:sup>
            <m:r>
              <m:t xml:space="preserve">N</m:t>
            </m:r>
          </m:sup>
          <m:e>
            <m:r>
              <m:t xml:space="preserve">Ei</m:t>
            </m:r>
          </m:e>
        </m:nary>
      </m:oMath>
      <w:r>
        <w:rPr>
          <w:rFonts w:eastAsia="Arial" w:ascii="Verdana" w:hAnsi="Verdana" w:eastAsiaTheme="minorEastAsia"/>
          <w:iCs/>
        </w:rPr>
        <w:t xml:space="preserve">                                            </w:t>
      </w:r>
      <w:r>
        <w:rPr>
          <w:rFonts w:eastAsia="Arial" w:ascii="Verdana" w:hAnsi="Verdana" w:eastAsiaTheme="minorEastAsia"/>
          <w:iCs/>
        </w:rPr>
        <w:t>[4]</w:t>
      </w:r>
    </w:p>
    <w:p>
      <w:pPr>
        <w:pStyle w:val="Normal"/>
        <w:ind w:firstLine="709"/>
        <w:rPr>
          <w:rFonts w:ascii="Verdana" w:hAnsi="Verdana"/>
          <w:iCs/>
        </w:rPr>
      </w:pPr>
      <w:r>
        <w:rPr>
          <w:rFonts w:ascii="Verdana" w:hAnsi="Verdana"/>
          <w:iCs/>
        </w:rPr>
        <w:t>где</w:t>
      </w:r>
    </w:p>
    <w:p>
      <w:pPr>
        <w:pStyle w:val="Normal"/>
        <w:ind w:firstLine="709"/>
        <w:rPr>
          <w:rFonts w:ascii="Verdana" w:hAnsi="Verdana"/>
          <w:iCs/>
        </w:rPr>
      </w:pPr>
      <w:r>
        <w:rPr>
          <w:rFonts w:ascii="Verdana" w:hAnsi="Verdana"/>
          <w:i/>
        </w:rPr>
        <w:t>Ei</w:t>
      </w:r>
      <w:r>
        <w:rPr>
          <w:rFonts w:ascii="Verdana" w:hAnsi="Verdana"/>
          <w:iCs/>
        </w:rPr>
        <w:t xml:space="preserve"> - измеренные значения освещенности в контрольных точках помещения, лк;</w:t>
      </w:r>
    </w:p>
    <w:p>
      <w:pPr>
        <w:pStyle w:val="Normal"/>
        <w:ind w:firstLine="709"/>
        <w:rPr>
          <w:rFonts w:ascii="Verdana" w:hAnsi="Verdana"/>
          <w:iCs/>
        </w:rPr>
      </w:pPr>
      <w:r>
        <w:rPr>
          <w:rFonts w:ascii="Verdana" w:hAnsi="Verdana"/>
          <w:i/>
        </w:rPr>
        <w:t>N</w:t>
      </w:r>
      <w:r>
        <w:rPr>
          <w:rFonts w:ascii="Verdana" w:hAnsi="Verdana"/>
          <w:iCs/>
        </w:rPr>
        <w:t xml:space="preserve"> - количество точек измерения.</w:t>
      </w:r>
    </w:p>
    <w:p>
      <w:pPr>
        <w:pStyle w:val="Normal"/>
        <w:ind w:firstLine="709"/>
        <w:jc w:val="both"/>
        <w:rPr>
          <w:rFonts w:ascii="Verdana" w:hAnsi="Verdana"/>
          <w:iCs/>
        </w:rPr>
      </w:pPr>
      <w:r>
        <w:rPr>
          <w:rFonts w:ascii="Verdana" w:hAnsi="Verdana"/>
          <w:iCs/>
        </w:rPr>
        <w:t>7.1.3</w:t>
        <w:tab/>
        <w:t xml:space="preserve">При отклонении напряжения сети от номинального значения более чем на 5% фактическое значение освещенности </w:t>
      </w:r>
      <w:r>
        <w:rPr>
          <w:rFonts w:ascii="Verdana" w:hAnsi="Verdana"/>
          <w:i/>
          <w:lang w:val="en-US"/>
        </w:rPr>
        <w:t>E</w:t>
      </w:r>
      <w:r>
        <w:rPr>
          <w:rFonts w:ascii="Verdana" w:hAnsi="Verdana"/>
          <w:iCs/>
        </w:rPr>
        <w:t>ф, лк, определяют по формуле:</w:t>
      </w:r>
    </w:p>
    <w:p>
      <w:pPr>
        <w:pStyle w:val="Normal"/>
        <w:ind w:firstLine="709"/>
        <w:jc w:val="center"/>
        <w:rPr>
          <w:rFonts w:ascii="Verdana" w:hAnsi="Verdana" w:eastAsia="Arial" w:eastAsiaTheme="minorEastAsia"/>
          <w:iCs/>
        </w:rPr>
      </w:pPr>
      <w:r>
        <w:rPr/>
      </w:r>
      <m:oMath xmlns:m="http://schemas.openxmlformats.org/officeDocument/2006/math">
        <m:r>
          <m:t xml:space="preserve">E</m:t>
        </m:r>
        <m:r>
          <m:t xml:space="preserve">ф</m:t>
        </m:r>
        <m:r>
          <m:rPr>
            <m:lit/>
            <m:nor/>
          </m:rPr>
          <m:t xml:space="preserve">=</m:t>
        </m:r>
        <m:r>
          <m:t xml:space="preserve">E</m:t>
        </m:r>
        <m:f>
          <m:num>
            <m:r>
              <m:t xml:space="preserve">U</m:t>
            </m:r>
            <m:r>
              <m:t xml:space="preserve">ном</m:t>
            </m:r>
          </m:num>
          <m:den>
            <m:r>
              <m:t xml:space="preserve">U</m:t>
            </m:r>
            <m:r>
              <m:t xml:space="preserve">ном</m:t>
            </m:r>
            <m:r>
              <m:rPr>
                <m:lit/>
                <m:nor/>
              </m:rPr>
              <m:t xml:space="preserve">-</m:t>
            </m:r>
            <m:r>
              <m:t xml:space="preserve">K</m:t>
            </m:r>
            <m:r>
              <m:t xml:space="preserve">(</m:t>
            </m:r>
            <m:r>
              <m:t xml:space="preserve">U</m:t>
            </m:r>
            <m:r>
              <m:t xml:space="preserve">ном</m:t>
            </m:r>
            <m:r>
              <m:rPr>
                <m:lit/>
                <m:nor/>
              </m:rPr>
              <m:t xml:space="preserve">-</m:t>
            </m:r>
            <m:r>
              <m:t xml:space="preserve">U</m:t>
            </m:r>
            <m:r>
              <m:t xml:space="preserve">ср</m:t>
            </m:r>
            <m:r>
              <m:t xml:space="preserve">)</m:t>
            </m:r>
          </m:den>
        </m:f>
      </m:oMath>
      <w:r>
        <w:rPr>
          <w:rFonts w:eastAsia="Arial" w:ascii="Verdana" w:hAnsi="Verdana" w:eastAsiaTheme="minorEastAsia"/>
          <w:iCs/>
        </w:rPr>
        <w:t xml:space="preserve">                                   </w:t>
      </w:r>
      <w:r>
        <w:rPr>
          <w:rFonts w:eastAsia="Arial" w:ascii="Verdana" w:hAnsi="Verdana" w:eastAsiaTheme="minorEastAsia"/>
          <w:iCs/>
        </w:rPr>
        <w:t>[5]</w:t>
      </w:r>
    </w:p>
    <w:p>
      <w:pPr>
        <w:pStyle w:val="Normal"/>
        <w:ind w:firstLine="709"/>
        <w:rPr>
          <w:rFonts w:ascii="Verdana" w:hAnsi="Verdana" w:eastAsia="Arial" w:eastAsiaTheme="minorEastAsia"/>
          <w:iCs/>
        </w:rPr>
      </w:pPr>
      <w:r>
        <w:rPr>
          <w:rFonts w:eastAsia="Arial" w:ascii="Verdana" w:hAnsi="Verdana" w:eastAsiaTheme="minorEastAsia"/>
          <w:iCs/>
        </w:rPr>
        <w:t>где</w:t>
      </w:r>
    </w:p>
    <w:p>
      <w:pPr>
        <w:pStyle w:val="Normal"/>
        <w:ind w:firstLine="709"/>
        <w:rPr>
          <w:rFonts w:ascii="Verdana" w:hAnsi="Verdana"/>
          <w:iCs/>
        </w:rPr>
      </w:pPr>
      <w:r>
        <w:rPr>
          <w:rFonts w:ascii="Verdana" w:hAnsi="Verdana"/>
          <w:i/>
        </w:rPr>
        <w:t xml:space="preserve">Е </w:t>
      </w:r>
      <w:r>
        <w:rPr>
          <w:rFonts w:ascii="Verdana" w:hAnsi="Verdana"/>
          <w:iCs/>
        </w:rPr>
        <w:t>- минимальная, средняя, освещенности, определенные по 7.1.1, 7.1.2, лк;</w:t>
      </w:r>
    </w:p>
    <w:p>
      <w:pPr>
        <w:pStyle w:val="Normal"/>
        <w:ind w:firstLine="709"/>
        <w:rPr>
          <w:rFonts w:ascii="Verdana" w:hAnsi="Verdana"/>
          <w:iCs/>
        </w:rPr>
      </w:pPr>
      <w:bookmarkStart w:id="13" w:name="_Hlk212621021"/>
      <w:r>
        <w:rPr>
          <w:rFonts w:ascii="Verdana" w:hAnsi="Verdana"/>
          <w:i/>
          <w:lang w:val="en-US"/>
        </w:rPr>
        <w:t>U</w:t>
      </w:r>
      <w:r>
        <w:rPr>
          <w:rFonts w:ascii="Verdana" w:hAnsi="Verdana"/>
          <w:i/>
        </w:rPr>
        <w:t xml:space="preserve">ном - </w:t>
      </w:r>
      <w:r>
        <w:rPr>
          <w:rFonts w:ascii="Verdana" w:hAnsi="Verdana"/>
          <w:iCs/>
        </w:rPr>
        <w:t>номинальное напряжение сети, В</w:t>
      </w:r>
      <w:bookmarkEnd w:id="13"/>
      <w:r>
        <w:rPr>
          <w:rFonts w:ascii="Verdana" w:hAnsi="Verdana"/>
          <w:iCs/>
        </w:rPr>
        <w:t>;</w:t>
      </w:r>
    </w:p>
    <w:p>
      <w:pPr>
        <w:pStyle w:val="Normal"/>
        <w:ind w:firstLine="709"/>
        <w:jc w:val="both"/>
        <w:rPr>
          <w:rFonts w:ascii="Verdana" w:hAnsi="Verdana"/>
          <w:iCs/>
        </w:rPr>
      </w:pPr>
      <w:r>
        <w:rPr>
          <w:rFonts w:ascii="Verdana" w:hAnsi="Verdana"/>
          <w:i/>
        </w:rPr>
        <w:t>К</w:t>
      </w:r>
      <w:r>
        <w:rPr>
          <w:rFonts w:ascii="Verdana" w:hAnsi="Verdana"/>
          <w:iCs/>
        </w:rPr>
        <w:t xml:space="preserve"> - коэффициент, равный 0 для светодиодов с импульсными блоками питания, 1 - для люминесцентных ламп при использовании емкостного балластного сопротивления и электронных пускорегулирующих аппаратов, 2</w:t>
        <w:tab/>
        <w:t>- для люминесцентных ламп при использовании индуктивного балластного сопротивления и дуговых ртутных ламп (ДРЛ), 3 - для металлогалогенных ламп (ИГЛ), дуговых</w:t>
      </w:r>
      <w:r>
        <w:rPr/>
        <w:t xml:space="preserve"> </w:t>
      </w:r>
      <w:r>
        <w:rPr>
          <w:rFonts w:ascii="Verdana" w:hAnsi="Verdana"/>
          <w:iCs/>
        </w:rPr>
        <w:t>ртутных ламп с излучающими добавками (ДРИ), натриевых ламп высокого давления (ДНаТ), 4 - для ламп накаливания и светодиодов с мостовыми схемами включения;</w:t>
      </w:r>
    </w:p>
    <w:p>
      <w:pPr>
        <w:pStyle w:val="Normal"/>
        <w:ind w:firstLine="709"/>
        <w:jc w:val="both"/>
        <w:rPr>
          <w:rFonts w:ascii="Verdana" w:hAnsi="Verdana"/>
          <w:iCs/>
        </w:rPr>
      </w:pPr>
      <w:r>
        <w:rPr>
          <w:rFonts w:ascii="Verdana" w:hAnsi="Verdana"/>
          <w:i/>
        </w:rPr>
        <w:t>Uср</w:t>
      </w:r>
      <w:r>
        <w:rPr>
          <w:rFonts w:ascii="Verdana" w:hAnsi="Verdana"/>
          <w:iCs/>
        </w:rPr>
        <w:t xml:space="preserve"> - номинальное напряжение сети, В</w:t>
      </w:r>
      <w:r>
        <w:rPr/>
        <w:t xml:space="preserve"> </w:t>
      </w:r>
      <w:r>
        <w:rPr>
          <w:rFonts w:ascii="Verdana" w:hAnsi="Verdana"/>
          <w:iCs/>
        </w:rPr>
        <w:t>определяемое по формуле:</w:t>
      </w:r>
    </w:p>
    <w:p>
      <w:pPr>
        <w:pStyle w:val="Normal"/>
        <w:ind w:firstLine="709"/>
        <w:jc w:val="center"/>
        <w:rPr>
          <w:rFonts w:ascii="Verdana" w:hAnsi="Verdana" w:eastAsia="Arial" w:eastAsiaTheme="minorEastAsia"/>
          <w:iCs/>
        </w:rPr>
      </w:pPr>
      <w:r>
        <w:rPr/>
      </w:r>
      <m:oMath xmlns:m="http://schemas.openxmlformats.org/officeDocument/2006/math">
        <m:r>
          <m:t xml:space="preserve">U</m:t>
        </m:r>
        <m:r>
          <m:t xml:space="preserve">ср</m:t>
        </m:r>
        <m:r>
          <m:rPr>
            <m:lit/>
            <m:nor/>
          </m:rPr>
          <m:t xml:space="preserve">=</m:t>
        </m:r>
        <m:f>
          <m:num>
            <m:r>
              <m:t xml:space="preserve">U</m:t>
            </m:r>
            <m:r>
              <m:t xml:space="preserve">1</m:t>
            </m:r>
            <m:r>
              <m:rPr>
                <m:lit/>
                <m:nor/>
              </m:rPr>
              <m:t xml:space="preserve">+</m:t>
            </m:r>
            <m:r>
              <m:t xml:space="preserve">U</m:t>
            </m:r>
            <m:r>
              <m:t xml:space="preserve">2</m:t>
            </m:r>
          </m:num>
          <m:den>
            <m:r>
              <m:t xml:space="preserve">2</m:t>
            </m:r>
          </m:den>
        </m:f>
      </m:oMath>
      <w:r>
        <w:rPr>
          <w:rFonts w:eastAsia="Arial" w:ascii="Verdana" w:hAnsi="Verdana" w:eastAsiaTheme="minorEastAsia"/>
          <w:iCs/>
        </w:rPr>
        <w:t xml:space="preserve">                                             </w:t>
      </w:r>
      <w:r>
        <w:rPr>
          <w:rFonts w:eastAsia="Arial" w:ascii="Verdana" w:hAnsi="Verdana" w:eastAsiaTheme="minorEastAsia"/>
          <w:iCs/>
        </w:rPr>
        <w:t>[5]</w:t>
      </w:r>
    </w:p>
    <w:p>
      <w:pPr>
        <w:pStyle w:val="Normal"/>
        <w:ind w:firstLine="709"/>
        <w:rPr>
          <w:rFonts w:ascii="Verdana" w:hAnsi="Verdana" w:eastAsia="Arial" w:eastAsiaTheme="minorEastAsia"/>
          <w:iCs/>
        </w:rPr>
      </w:pPr>
      <w:r>
        <w:rPr>
          <w:rFonts w:eastAsia="Arial" w:ascii="Verdana" w:hAnsi="Verdana" w:eastAsiaTheme="minorEastAsia"/>
          <w:iCs/>
        </w:rPr>
        <w:t>где</w:t>
      </w:r>
    </w:p>
    <w:p>
      <w:pPr>
        <w:pStyle w:val="Normal"/>
        <w:ind w:firstLine="709"/>
        <w:rPr>
          <w:rFonts w:ascii="Verdana" w:hAnsi="Verdana"/>
          <w:iCs/>
        </w:rPr>
      </w:pPr>
      <w:r>
        <w:rPr>
          <w:rFonts w:ascii="Verdana" w:hAnsi="Verdana"/>
          <w:i/>
          <w:lang w:val="en-US"/>
        </w:rPr>
        <w:t>U</w:t>
      </w:r>
      <w:r>
        <w:rPr>
          <w:rFonts w:ascii="Verdana" w:hAnsi="Verdana"/>
          <w:i/>
        </w:rPr>
        <w:t>1</w:t>
      </w:r>
      <w:r>
        <w:rPr>
          <w:rFonts w:ascii="Verdana" w:hAnsi="Verdana"/>
          <w:iCs/>
        </w:rPr>
        <w:t xml:space="preserve"> - напряжение сети в начале измерения, В;</w:t>
      </w:r>
    </w:p>
    <w:p>
      <w:pPr>
        <w:pStyle w:val="Normal"/>
        <w:ind w:firstLine="709"/>
        <w:rPr>
          <w:rFonts w:ascii="Verdana" w:hAnsi="Verdana"/>
          <w:iCs/>
        </w:rPr>
      </w:pPr>
      <w:r>
        <w:rPr>
          <w:rFonts w:ascii="Verdana" w:hAnsi="Verdana"/>
          <w:i/>
          <w:lang w:val="en-US"/>
        </w:rPr>
        <w:t>U</w:t>
      </w:r>
      <w:r>
        <w:rPr>
          <w:rFonts w:ascii="Verdana" w:hAnsi="Verdana"/>
          <w:i/>
        </w:rPr>
        <w:t>2</w:t>
      </w:r>
      <w:r>
        <w:rPr>
          <w:rFonts w:ascii="Verdana" w:hAnsi="Verdana"/>
          <w:iCs/>
        </w:rPr>
        <w:t xml:space="preserve"> - напряжение сети в конце измерения, В.</w:t>
      </w:r>
    </w:p>
    <w:p>
      <w:pPr>
        <w:pStyle w:val="Normal"/>
        <w:ind w:firstLine="709"/>
        <w:jc w:val="both"/>
        <w:rPr>
          <w:rFonts w:ascii="Verdana" w:hAnsi="Verdana" w:cs="Verdana"/>
          <w:iCs/>
        </w:rPr>
      </w:pPr>
      <w:r>
        <w:rPr>
          <w:rFonts w:eastAsia="Verdana" w:cs="Verdana" w:ascii="Verdana" w:hAnsi="Verdana"/>
          <w:iCs/>
          <w:sz w:val="22"/>
          <w:szCs w:val="22"/>
        </w:rPr>
        <w:t>7.2</w:t>
        <w:tab/>
        <w:t xml:space="preserve">По завершению обработки результатов измерения освещенности на рабочих местах/ пространствах/ </w:t>
      </w:r>
      <w:r>
        <w:rPr>
          <w:rFonts w:eastAsia="Verdana" w:cs="Verdana" w:ascii="Verdana" w:hAnsi="Verdana"/>
          <w:color w:val="000000"/>
          <w:sz w:val="22"/>
          <w:szCs w:val="22"/>
          <w:lang w:eastAsia="ru-RU" w:bidi="ru-RU"/>
        </w:rPr>
        <w:t>железнодорожных объектах</w:t>
      </w:r>
      <w:r>
        <w:rPr>
          <w:rFonts w:eastAsia="Verdana" w:cs="Verdana" w:ascii="Verdana" w:hAnsi="Verdana"/>
          <w:iCs/>
          <w:sz w:val="22"/>
          <w:szCs w:val="22"/>
        </w:rPr>
        <w:t>, оформляется протокол с результатами проведенных исследований.</w:t>
      </w:r>
    </w:p>
    <w:p>
      <w:pPr>
        <w:pStyle w:val="Normal"/>
        <w:ind w:firstLine="709"/>
        <w:rPr>
          <w:rFonts w:ascii="Verdana" w:hAnsi="Verdana"/>
          <w:iCs/>
        </w:rPr>
      </w:pPr>
      <w:r>
        <w:rPr>
          <w:rFonts w:ascii="Verdana" w:hAnsi="Verdana"/>
          <w:iCs/>
        </w:rPr>
        <w:t>8</w:t>
        <w:tab/>
        <w:t>Оценка результатов измерений</w:t>
      </w:r>
    </w:p>
    <w:p>
      <w:pPr>
        <w:pStyle w:val="Normal"/>
        <w:ind w:firstLine="709"/>
        <w:rPr>
          <w:rFonts w:ascii="Verdana" w:hAnsi="Verdana" w:cs="Verdana"/>
          <w:sz w:val="22"/>
          <w:szCs w:val="22"/>
        </w:rPr>
      </w:pPr>
      <w:r>
        <w:rPr>
          <w:rFonts w:eastAsia="Verdana" w:cs="Verdana" w:ascii="Verdana" w:hAnsi="Verdana"/>
          <w:spacing w:val="2"/>
          <w:sz w:val="22"/>
          <w:szCs w:val="22"/>
        </w:rPr>
        <w:t>8.1</w:t>
        <w:tab/>
        <w:t>Оценку и формирование результатов измерений искусственной освещенности следует проводить в соответствии с примечанием 4 таблицы 4.3 СП 52.13330-2016 «Коэффициент эксплуатации при применении световых приборов со светодиодами следует умножать на коэффициент 1,05», а также с учетом перевода коэффициента запаса в коэффициент эксплуатации согласно п.п. 3.3 ГОСТ 24940-2016.</w:t>
      </w:r>
    </w:p>
    <w:p>
      <w:pPr>
        <w:pStyle w:val="Normal"/>
        <w:ind w:firstLine="709"/>
        <w:jc w:val="both"/>
        <w:rPr>
          <w:rFonts w:ascii="Verdana" w:hAnsi="Verdana"/>
          <w:iCs/>
        </w:rPr>
      </w:pPr>
      <w:r>
        <w:rPr>
          <w:rFonts w:ascii="Verdana" w:hAnsi="Verdana"/>
          <w:iCs/>
        </w:rPr>
        <w:t>8.2</w:t>
        <w:tab/>
        <w:t>Оценку и формирование результатов измерений искусственной освещенности следует проводить в соответствии с таблицей 2.</w:t>
      </w:r>
    </w:p>
    <w:p>
      <w:pPr>
        <w:pStyle w:val="Normal"/>
        <w:ind w:firstLine="709"/>
        <w:jc w:val="end"/>
        <w:rPr>
          <w:rFonts w:ascii="Verdana" w:hAnsi="Verdana"/>
          <w:iCs/>
        </w:rPr>
      </w:pPr>
      <w:r>
        <w:rPr>
          <w:rFonts w:ascii="Verdana" w:hAnsi="Verdana"/>
          <w:iCs/>
        </w:rPr>
        <w:t>Таблица 2</w:t>
      </w:r>
    </w:p>
    <w:p>
      <w:pPr>
        <w:pStyle w:val="Normal"/>
        <w:ind w:firstLine="709"/>
        <w:jc w:val="center"/>
        <w:rPr>
          <w:rFonts w:ascii="Verdana" w:hAnsi="Verdana"/>
          <w:iCs/>
        </w:rPr>
      </w:pPr>
      <w:r>
        <w:rPr>
          <w:rFonts w:ascii="Verdana" w:hAnsi="Verdana"/>
          <w:iCs/>
        </w:rPr>
        <w:t>Оценка результатов измерений</w:t>
      </w:r>
    </w:p>
    <w:tbl>
      <w:tblPr>
        <w:tblW w:w="10051" w:type="dxa"/>
        <w:jc w:val="start"/>
        <w:tblInd w:w="10" w:type="dxa"/>
        <w:tblLayout w:type="fixed"/>
        <w:tblCellMar>
          <w:top w:w="0" w:type="dxa"/>
          <w:start w:w="10" w:type="dxa"/>
          <w:bottom w:w="0" w:type="dxa"/>
          <w:end w:w="10" w:type="dxa"/>
        </w:tblCellMar>
        <w:tblLook w:val="0000" w:noHBand="0" w:noVBand="0" w:firstColumn="0" w:lastRow="0" w:lastColumn="0" w:firstRow="0"/>
      </w:tblPr>
      <w:tblGrid>
        <w:gridCol w:w="2390"/>
        <w:gridCol w:w="1829"/>
        <w:gridCol w:w="1882"/>
        <w:gridCol w:w="2102"/>
        <w:gridCol w:w="1848"/>
      </w:tblGrid>
      <w:tr>
        <w:trPr>
          <w:trHeight w:val="655" w:hRule="exact"/>
        </w:trPr>
        <w:tc>
          <w:tcPr>
            <w:tcW w:w="2390" w:type="dxa"/>
            <w:vMerge w:val="restart"/>
            <w:tcBorders>
              <w:top w:val="single" w:sz="4" w:space="0" w:color="000000"/>
              <w:start w:val="single" w:sz="4" w:space="0" w:color="000000"/>
            </w:tcBorders>
            <w:shd w:color="auto" w:fill="FFFFFF" w:val="clear"/>
            <w:vAlign w:val="center"/>
          </w:tcPr>
          <w:p>
            <w:pPr>
              <w:pStyle w:val="Normal"/>
              <w:widowControl w:val="false"/>
              <w:spacing w:lineRule="exact" w:line="240"/>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Вид контроля</w:t>
            </w:r>
          </w:p>
        </w:tc>
        <w:tc>
          <w:tcPr>
            <w:tcW w:w="5813" w:type="dxa"/>
            <w:gridSpan w:val="3"/>
            <w:tcBorders>
              <w:top w:val="single" w:sz="4" w:space="0" w:color="000000"/>
              <w:start w:val="single" w:sz="4" w:space="0" w:color="000000"/>
            </w:tcBorders>
            <w:shd w:color="auto" w:fill="FFFFFF" w:val="clear"/>
            <w:vAlign w:val="center"/>
          </w:tcPr>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Соотношение между измеренными и нормируемыми значениями освещенности</w:t>
            </w:r>
          </w:p>
        </w:tc>
        <w:tc>
          <w:tcPr>
            <w:tcW w:w="1848" w:type="dxa"/>
            <w:vMerge w:val="restart"/>
            <w:tcBorders>
              <w:top w:val="single" w:sz="4" w:space="0" w:color="000000"/>
              <w:start w:val="single" w:sz="4" w:space="0" w:color="000000"/>
              <w:end w:val="single" w:sz="4" w:space="0" w:color="000000"/>
            </w:tcBorders>
            <w:shd w:color="auto" w:fill="FFFFFF" w:val="clear"/>
            <w:vAlign w:val="center"/>
          </w:tcPr>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Оценка</w:t>
            </w:r>
          </w:p>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результатов</w:t>
            </w:r>
          </w:p>
          <w:p>
            <w:pPr>
              <w:pStyle w:val="Normal"/>
              <w:widowControl w:val="false"/>
              <w:spacing w:lineRule="exact" w:line="313"/>
              <w:ind w:start="340"/>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измерений</w:t>
            </w:r>
          </w:p>
        </w:tc>
      </w:tr>
      <w:tr>
        <w:trPr>
          <w:trHeight w:val="644" w:hRule="exact"/>
        </w:trPr>
        <w:tc>
          <w:tcPr>
            <w:tcW w:w="2390" w:type="dxa"/>
            <w:vMerge w:val="continue"/>
            <w:tcBorders>
              <w:start w:val="single" w:sz="4" w:space="0" w:color="000000"/>
            </w:tcBorders>
            <w:shd w:color="auto" w:fill="FFFFFF" w:val="clear"/>
            <w:vAlign w:val="center"/>
          </w:tcPr>
          <w:p>
            <w:pPr>
              <w:pStyle w:val="Normal"/>
              <w:widowControl w:val="false"/>
              <w:rPr>
                <w:rFonts w:ascii="Verdana" w:hAnsi="Verdana" w:eastAsia="Microsoft Sans Serif" w:cs="Microsoft Sans Serif"/>
                <w:color w:val="000000"/>
                <w:sz w:val="20"/>
                <w:szCs w:val="20"/>
                <w:lang w:eastAsia="ru-RU" w:bidi="ru-RU"/>
              </w:rPr>
            </w:pPr>
            <w:r>
              <w:rPr>
                <w:rFonts w:eastAsia="Microsoft Sans Serif" w:cs="Microsoft Sans Serif" w:ascii="Verdana" w:hAnsi="Verdana"/>
                <w:color w:val="000000"/>
                <w:sz w:val="20"/>
                <w:szCs w:val="20"/>
                <w:lang w:eastAsia="ru-RU" w:bidi="ru-RU"/>
              </w:rPr>
            </w:r>
          </w:p>
        </w:tc>
        <w:tc>
          <w:tcPr>
            <w:tcW w:w="1829" w:type="dxa"/>
            <w:vMerge w:val="restart"/>
            <w:tcBorders>
              <w:top w:val="single" w:sz="4" w:space="0" w:color="000000"/>
              <w:start w:val="single" w:sz="4" w:space="0" w:color="000000"/>
            </w:tcBorders>
            <w:shd w:color="auto" w:fill="FFFFFF" w:val="clear"/>
            <w:vAlign w:val="center"/>
          </w:tcPr>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Система</w:t>
            </w:r>
          </w:p>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общего</w:t>
            </w:r>
          </w:p>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освещения</w:t>
            </w:r>
          </w:p>
        </w:tc>
        <w:tc>
          <w:tcPr>
            <w:tcW w:w="3984" w:type="dxa"/>
            <w:gridSpan w:val="2"/>
            <w:tcBorders>
              <w:top w:val="single" w:sz="4" w:space="0" w:color="000000"/>
              <w:start w:val="single" w:sz="4" w:space="0" w:color="000000"/>
            </w:tcBorders>
            <w:shd w:color="auto" w:fill="FFFFFF" w:val="clear"/>
            <w:vAlign w:val="center"/>
          </w:tcPr>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Система комбинированного освещения</w:t>
            </w:r>
          </w:p>
        </w:tc>
        <w:tc>
          <w:tcPr>
            <w:tcW w:w="1848" w:type="dxa"/>
            <w:vMerge w:val="continue"/>
            <w:tcBorders>
              <w:start w:val="single" w:sz="4" w:space="0" w:color="000000"/>
              <w:end w:val="single" w:sz="4" w:space="0" w:color="000000"/>
            </w:tcBorders>
            <w:shd w:color="auto" w:fill="FFFFFF" w:val="clear"/>
            <w:vAlign w:val="center"/>
          </w:tcPr>
          <w:p>
            <w:pPr>
              <w:pStyle w:val="Normal"/>
              <w:widowControl w:val="false"/>
              <w:rPr>
                <w:rFonts w:ascii="Verdana" w:hAnsi="Verdana" w:eastAsia="Microsoft Sans Serif" w:cs="Microsoft Sans Serif"/>
                <w:color w:val="000000"/>
                <w:sz w:val="20"/>
                <w:szCs w:val="20"/>
                <w:lang w:eastAsia="ru-RU" w:bidi="ru-RU"/>
              </w:rPr>
            </w:pPr>
            <w:r>
              <w:rPr>
                <w:rFonts w:eastAsia="Microsoft Sans Serif" w:cs="Microsoft Sans Serif" w:ascii="Verdana" w:hAnsi="Verdana"/>
                <w:color w:val="000000"/>
                <w:sz w:val="20"/>
                <w:szCs w:val="20"/>
                <w:lang w:eastAsia="ru-RU" w:bidi="ru-RU"/>
              </w:rPr>
            </w:r>
          </w:p>
        </w:tc>
      </w:tr>
      <w:tr>
        <w:trPr>
          <w:trHeight w:val="648" w:hRule="exact"/>
        </w:trPr>
        <w:tc>
          <w:tcPr>
            <w:tcW w:w="2390" w:type="dxa"/>
            <w:vMerge w:val="continue"/>
            <w:tcBorders>
              <w:start w:val="single" w:sz="4" w:space="0" w:color="000000"/>
            </w:tcBorders>
            <w:shd w:color="auto" w:fill="FFFFFF" w:val="clear"/>
            <w:vAlign w:val="center"/>
          </w:tcPr>
          <w:p>
            <w:pPr>
              <w:pStyle w:val="Normal"/>
              <w:widowControl w:val="false"/>
              <w:rPr>
                <w:rFonts w:ascii="Verdana" w:hAnsi="Verdana" w:eastAsia="Microsoft Sans Serif" w:cs="Microsoft Sans Serif"/>
                <w:color w:val="000000"/>
                <w:sz w:val="20"/>
                <w:szCs w:val="20"/>
                <w:lang w:eastAsia="ru-RU" w:bidi="ru-RU"/>
              </w:rPr>
            </w:pPr>
            <w:r>
              <w:rPr>
                <w:rFonts w:eastAsia="Microsoft Sans Serif" w:cs="Microsoft Sans Serif" w:ascii="Verdana" w:hAnsi="Verdana"/>
                <w:color w:val="000000"/>
                <w:sz w:val="20"/>
                <w:szCs w:val="20"/>
                <w:lang w:eastAsia="ru-RU" w:bidi="ru-RU"/>
              </w:rPr>
            </w:r>
          </w:p>
        </w:tc>
        <w:tc>
          <w:tcPr>
            <w:tcW w:w="1829" w:type="dxa"/>
            <w:vMerge w:val="continue"/>
            <w:tcBorders>
              <w:start w:val="single" w:sz="4" w:space="0" w:color="000000"/>
            </w:tcBorders>
            <w:shd w:color="auto" w:fill="FFFFFF" w:val="clear"/>
            <w:vAlign w:val="center"/>
          </w:tcPr>
          <w:p>
            <w:pPr>
              <w:pStyle w:val="Normal"/>
              <w:widowControl w:val="false"/>
              <w:rPr>
                <w:rFonts w:ascii="Verdana" w:hAnsi="Verdana" w:eastAsia="Microsoft Sans Serif" w:cs="Microsoft Sans Serif"/>
                <w:color w:val="000000"/>
                <w:sz w:val="20"/>
                <w:szCs w:val="20"/>
                <w:lang w:eastAsia="ru-RU" w:bidi="ru-RU"/>
              </w:rPr>
            </w:pPr>
            <w:r>
              <w:rPr>
                <w:rFonts w:eastAsia="Microsoft Sans Serif" w:cs="Microsoft Sans Serif" w:ascii="Verdana" w:hAnsi="Verdana"/>
                <w:color w:val="000000"/>
                <w:sz w:val="20"/>
                <w:szCs w:val="20"/>
                <w:lang w:eastAsia="ru-RU" w:bidi="ru-RU"/>
              </w:rPr>
            </w:r>
          </w:p>
        </w:tc>
        <w:tc>
          <w:tcPr>
            <w:tcW w:w="1882" w:type="dxa"/>
            <w:tcBorders>
              <w:top w:val="single" w:sz="4" w:space="0" w:color="000000"/>
              <w:start w:val="single" w:sz="4" w:space="0" w:color="000000"/>
            </w:tcBorders>
            <w:shd w:color="auto" w:fill="FFFFFF" w:val="clear"/>
            <w:vAlign w:val="center"/>
          </w:tcPr>
          <w:p>
            <w:pPr>
              <w:pStyle w:val="Normal"/>
              <w:widowControl w:val="false"/>
              <w:spacing w:lineRule="exact" w:line="240"/>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Общее</w:t>
            </w:r>
          </w:p>
        </w:tc>
        <w:tc>
          <w:tcPr>
            <w:tcW w:w="2102" w:type="dxa"/>
            <w:tcBorders>
              <w:top w:val="single" w:sz="4" w:space="0" w:color="000000"/>
              <w:start w:val="single" w:sz="4" w:space="0" w:color="000000"/>
            </w:tcBorders>
            <w:shd w:color="auto" w:fill="FFFFFF" w:val="clear"/>
            <w:vAlign w:val="center"/>
          </w:tcPr>
          <w:p>
            <w:pPr>
              <w:pStyle w:val="Normal"/>
              <w:widowControl w:val="false"/>
              <w:spacing w:lineRule="exact" w:line="320"/>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 xml:space="preserve">Общее </w:t>
            </w:r>
            <w:r>
              <w:rPr>
                <w:rFonts w:eastAsia="Trebuchet MS" w:cs="Trebuchet MS" w:ascii="Verdana" w:hAnsi="Verdana"/>
                <w:color w:val="000000"/>
                <w:sz w:val="20"/>
                <w:szCs w:val="20"/>
                <w:lang w:val="en-US" w:eastAsia="ru-RU" w:bidi="ru-RU"/>
              </w:rPr>
              <w:t>+</w:t>
            </w:r>
            <w:r>
              <w:rPr>
                <w:rFonts w:eastAsia="Trebuchet MS" w:cs="Trebuchet MS" w:ascii="Verdana" w:hAnsi="Verdana"/>
                <w:color w:val="000000"/>
                <w:sz w:val="20"/>
                <w:szCs w:val="20"/>
                <w:lang w:eastAsia="ru-RU" w:bidi="ru-RU"/>
              </w:rPr>
              <w:t xml:space="preserve"> местное</w:t>
            </w:r>
          </w:p>
        </w:tc>
        <w:tc>
          <w:tcPr>
            <w:tcW w:w="1848" w:type="dxa"/>
            <w:vMerge w:val="continue"/>
            <w:tcBorders>
              <w:start w:val="single" w:sz="4" w:space="0" w:color="000000"/>
              <w:end w:val="single" w:sz="4" w:space="0" w:color="000000"/>
            </w:tcBorders>
            <w:shd w:color="auto" w:fill="FFFFFF" w:val="clear"/>
            <w:vAlign w:val="center"/>
          </w:tcPr>
          <w:p>
            <w:pPr>
              <w:pStyle w:val="Normal"/>
              <w:widowControl w:val="false"/>
              <w:rPr>
                <w:rFonts w:ascii="Verdana" w:hAnsi="Verdana" w:eastAsia="Microsoft Sans Serif" w:cs="Microsoft Sans Serif"/>
                <w:color w:val="000000"/>
                <w:sz w:val="20"/>
                <w:szCs w:val="20"/>
                <w:lang w:eastAsia="ru-RU" w:bidi="ru-RU"/>
              </w:rPr>
            </w:pPr>
            <w:r>
              <w:rPr>
                <w:rFonts w:eastAsia="Microsoft Sans Serif" w:cs="Microsoft Sans Serif" w:ascii="Verdana" w:hAnsi="Verdana"/>
                <w:color w:val="000000"/>
                <w:sz w:val="20"/>
                <w:szCs w:val="20"/>
                <w:lang w:eastAsia="ru-RU" w:bidi="ru-RU"/>
              </w:rPr>
            </w:r>
          </w:p>
        </w:tc>
      </w:tr>
      <w:tr>
        <w:trPr>
          <w:trHeight w:val="648" w:hRule="exact"/>
        </w:trPr>
        <w:tc>
          <w:tcPr>
            <w:tcW w:w="2390" w:type="dxa"/>
            <w:vMerge w:val="restart"/>
            <w:tcBorders>
              <w:top w:val="single" w:sz="4" w:space="0" w:color="000000"/>
              <w:start w:val="single" w:sz="4" w:space="0" w:color="000000"/>
            </w:tcBorders>
            <w:shd w:color="auto" w:fill="FFFFFF" w:val="clear"/>
            <w:vAlign w:val="center"/>
          </w:tcPr>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Приемка осветительной установки в эксплуатацию в промышленных помещениях</w:t>
            </w:r>
          </w:p>
        </w:tc>
        <w:tc>
          <w:tcPr>
            <w:tcW w:w="1829" w:type="dxa"/>
            <w:tcBorders>
              <w:top w:val="single" w:sz="4" w:space="0" w:color="000000"/>
              <w:start w:val="single" w:sz="4" w:space="0" w:color="000000"/>
            </w:tcBorders>
            <w:shd w:color="auto" w:fill="FFFFFF" w:val="clear"/>
            <w:vAlign w:val="center"/>
          </w:tcPr>
          <w:p>
            <w:pPr>
              <w:pStyle w:val="Normal"/>
              <w:spacing w:lineRule="atLeast" w:line="315"/>
              <w:jc w:val="start"/>
              <w:rPr>
                <w:i/>
              </w:rPr>
            </w:pPr>
            <w:r>
              <w:rPr/>
            </w:r>
            <m:oMathPara xmlns:m="http://schemas.openxmlformats.org/officeDocument/2006/math">
              <m:oMathParaPr>
                <m:jc m:val="left"/>
              </m:oMathParaPr>
              <m:oMath>
                <m:r>
                  <m:t xml:space="preserve">E</m:t>
                </m:r>
                <m:r>
                  <m:t xml:space="preserve">≥</m:t>
                </m:r>
                <m:f>
                  <m:num>
                    <m:r>
                      <m:t xml:space="preserve">0,9</m:t>
                    </m:r>
                    <m:r>
                      <m:rPr>
                        <m:lit/>
                        <m:nor/>
                      </m:rPr>
                      <m:t xml:space="preserve">*</m:t>
                    </m:r>
                    <m:r>
                      <m:t xml:space="preserve">E</m:t>
                    </m:r>
                    <m:r>
                      <m:t xml:space="preserve">н</m:t>
                    </m:r>
                  </m:num>
                  <m:den>
                    <m:r>
                      <m:t xml:space="preserve">MF</m:t>
                    </m:r>
                    <m:r>
                      <m:rPr>
                        <m:lit/>
                        <m:nor/>
                      </m:rPr>
                      <m:t xml:space="preserve">*</m:t>
                    </m:r>
                    <m:r>
                      <m:t xml:space="preserve">1,05</m:t>
                    </m:r>
                  </m:den>
                </m:f>
              </m:oMath>
            </m:oMathPara>
          </w:p>
          <w:p>
            <w:pPr>
              <w:pStyle w:val="Normal"/>
              <w:widowControl w:val="false"/>
              <w:spacing w:lineRule="exact" w:line="240"/>
              <w:ind w:start="140"/>
              <w:jc w:val="center"/>
              <w:rPr>
                <w:rFonts w:ascii="Verdana" w:hAnsi="Verdana" w:cs="Verdana"/>
                <w:bCs/>
                <w:i/>
                <w:color w:val="000000"/>
                <w:sz w:val="20"/>
                <w:szCs w:val="20"/>
              </w:rPr>
            </w:pPr>
            <w:r>
              <w:rPr>
                <w:rFonts w:cs="Verdana" w:ascii="Verdana" w:hAnsi="Verdana"/>
                <w:bCs/>
                <w:i/>
                <w:color w:val="000000"/>
                <w:sz w:val="20"/>
                <w:szCs w:val="20"/>
              </w:rPr>
            </w:r>
          </w:p>
        </w:tc>
        <w:tc>
          <w:tcPr>
            <w:tcW w:w="1882" w:type="dxa"/>
            <w:tcBorders>
              <w:top w:val="single" w:sz="4" w:space="0" w:color="000000"/>
              <w:start w:val="single" w:sz="4" w:space="0" w:color="000000"/>
            </w:tcBorders>
            <w:shd w:color="auto" w:fill="FFFFFF" w:val="clear"/>
            <w:vAlign w:val="center"/>
          </w:tcPr>
          <w:p>
            <w:pPr>
              <w:pStyle w:val="Normal"/>
              <w:spacing w:lineRule="atLeast" w:line="315"/>
              <w:jc w:val="start"/>
              <w:rPr>
                <w:i/>
              </w:rPr>
            </w:pPr>
            <w:r>
              <w:rPr/>
            </w:r>
            <m:oMathPara xmlns:m="http://schemas.openxmlformats.org/officeDocument/2006/math">
              <m:oMathParaPr>
                <m:jc m:val="left"/>
              </m:oMathParaPr>
              <m:oMath>
                <m:r>
                  <m:t xml:space="preserve">E</m:t>
                </m:r>
                <m:r>
                  <m:t xml:space="preserve">≥</m:t>
                </m:r>
                <m:f>
                  <m:num>
                    <m:r>
                      <m:t xml:space="preserve">0,9</m:t>
                    </m:r>
                    <m:r>
                      <m:rPr>
                        <m:lit/>
                        <m:nor/>
                      </m:rPr>
                      <m:t xml:space="preserve">*</m:t>
                    </m:r>
                    <m:r>
                      <m:t xml:space="preserve">E</m:t>
                    </m:r>
                    <m:r>
                      <m:t xml:space="preserve">но</m:t>
                    </m:r>
                  </m:num>
                  <m:den>
                    <m:r>
                      <m:t xml:space="preserve">MF</m:t>
                    </m:r>
                    <m:r>
                      <m:rPr>
                        <m:lit/>
                        <m:nor/>
                      </m:rPr>
                      <m:t xml:space="preserve">*</m:t>
                    </m:r>
                    <m:r>
                      <m:t xml:space="preserve">1,05</m:t>
                    </m:r>
                  </m:den>
                </m:f>
              </m:oMath>
            </m:oMathPara>
          </w:p>
          <w:p>
            <w:pPr>
              <w:pStyle w:val="Normal"/>
              <w:widowControl w:val="false"/>
              <w:spacing w:lineRule="exact" w:line="240"/>
              <w:jc w:val="center"/>
              <w:rPr>
                <w:rFonts w:ascii="Verdana" w:hAnsi="Verdana" w:cs="Verdana"/>
                <w:bCs/>
                <w:i/>
                <w:color w:val="000000"/>
                <w:sz w:val="20"/>
                <w:szCs w:val="20"/>
              </w:rPr>
            </w:pPr>
            <w:r>
              <w:rPr>
                <w:rFonts w:cs="Verdana" w:ascii="Verdana" w:hAnsi="Verdana"/>
                <w:bCs/>
                <w:i/>
                <w:color w:val="000000"/>
                <w:sz w:val="20"/>
                <w:szCs w:val="20"/>
              </w:rPr>
            </w:r>
          </w:p>
        </w:tc>
        <w:tc>
          <w:tcPr>
            <w:tcW w:w="2102" w:type="dxa"/>
            <w:tcBorders>
              <w:top w:val="single" w:sz="4" w:space="0" w:color="000000"/>
              <w:start w:val="single" w:sz="4" w:space="0" w:color="000000"/>
            </w:tcBorders>
            <w:shd w:color="auto" w:fill="FFFFFF" w:val="clear"/>
            <w:vAlign w:val="center"/>
          </w:tcPr>
          <w:p>
            <w:pPr>
              <w:pStyle w:val="Normal"/>
              <w:spacing w:lineRule="atLeast" w:line="315"/>
              <w:jc w:val="start"/>
              <w:rPr>
                <w:i/>
              </w:rPr>
            </w:pPr>
            <w:r>
              <w:rPr/>
            </w:r>
            <m:oMathPara xmlns:m="http://schemas.openxmlformats.org/officeDocument/2006/math">
              <m:oMathParaPr>
                <m:jc m:val="left"/>
              </m:oMathParaPr>
              <m:oMath>
                <m:r>
                  <m:t xml:space="preserve">E</m:t>
                </m:r>
                <m:r>
                  <m:t xml:space="preserve">≥</m:t>
                </m:r>
                <m:r>
                  <m:t xml:space="preserve">E</m:t>
                </m:r>
                <m:r>
                  <m:t xml:space="preserve">н</m:t>
                </m:r>
              </m:oMath>
            </m:oMathPara>
          </w:p>
          <w:p>
            <w:pPr>
              <w:pStyle w:val="Normal"/>
              <w:widowControl w:val="false"/>
              <w:spacing w:lineRule="exact" w:line="240"/>
              <w:jc w:val="center"/>
              <w:rPr>
                <w:rFonts w:ascii="Verdana" w:hAnsi="Verdana" w:cs="Verdana"/>
                <w:i/>
                <w:iCs/>
                <w:color w:val="000000"/>
                <w:sz w:val="20"/>
                <w:szCs w:val="20"/>
              </w:rPr>
            </w:pPr>
            <w:r>
              <w:rPr>
                <w:rFonts w:cs="Verdana" w:ascii="Verdana" w:hAnsi="Verdana"/>
                <w:i/>
                <w:iCs/>
                <w:color w:val="000000"/>
                <w:sz w:val="20"/>
                <w:szCs w:val="20"/>
              </w:rPr>
            </w:r>
          </w:p>
        </w:tc>
        <w:tc>
          <w:tcPr>
            <w:tcW w:w="1848" w:type="dxa"/>
            <w:tcBorders>
              <w:top w:val="single" w:sz="4" w:space="0" w:color="000000"/>
              <w:start w:val="single" w:sz="4" w:space="0" w:color="000000"/>
              <w:end w:val="single" w:sz="4" w:space="0" w:color="000000"/>
            </w:tcBorders>
            <w:shd w:color="auto" w:fill="FFFFFF" w:val="clear"/>
            <w:vAlign w:val="center"/>
          </w:tcPr>
          <w:p>
            <w:pPr>
              <w:pStyle w:val="Normal"/>
              <w:widowControl w:val="false"/>
              <w:spacing w:lineRule="exact" w:line="240" w:before="0" w:after="120"/>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Соответствует</w:t>
            </w:r>
          </w:p>
          <w:p>
            <w:pPr>
              <w:pStyle w:val="Normal"/>
              <w:widowControl w:val="false"/>
              <w:spacing w:lineRule="exact" w:line="240" w:before="120" w:after="0"/>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нормам</w:t>
            </w:r>
          </w:p>
        </w:tc>
      </w:tr>
      <w:tr>
        <w:trPr>
          <w:trHeight w:val="1260" w:hRule="exact"/>
        </w:trPr>
        <w:tc>
          <w:tcPr>
            <w:tcW w:w="2390" w:type="dxa"/>
            <w:vMerge w:val="continue"/>
            <w:tcBorders>
              <w:start w:val="single" w:sz="4" w:space="0" w:color="000000"/>
            </w:tcBorders>
            <w:shd w:color="auto" w:fill="FFFFFF" w:val="clear"/>
            <w:vAlign w:val="center"/>
          </w:tcPr>
          <w:p>
            <w:pPr>
              <w:pStyle w:val="Normal"/>
              <w:widowControl w:val="false"/>
              <w:rPr>
                <w:rFonts w:ascii="Verdana" w:hAnsi="Verdana" w:eastAsia="Microsoft Sans Serif" w:cs="Microsoft Sans Serif"/>
                <w:color w:val="000000"/>
                <w:sz w:val="20"/>
                <w:szCs w:val="20"/>
                <w:lang w:eastAsia="ru-RU" w:bidi="ru-RU"/>
              </w:rPr>
            </w:pPr>
            <w:r>
              <w:rPr>
                <w:rFonts w:eastAsia="Microsoft Sans Serif" w:cs="Microsoft Sans Serif" w:ascii="Verdana" w:hAnsi="Verdana"/>
                <w:color w:val="000000"/>
                <w:sz w:val="20"/>
                <w:szCs w:val="20"/>
                <w:lang w:eastAsia="ru-RU" w:bidi="ru-RU"/>
              </w:rPr>
            </w:r>
          </w:p>
        </w:tc>
        <w:tc>
          <w:tcPr>
            <w:tcW w:w="1829" w:type="dxa"/>
            <w:tcBorders>
              <w:top w:val="single" w:sz="4" w:space="0" w:color="000000"/>
              <w:start w:val="single" w:sz="4" w:space="0" w:color="000000"/>
            </w:tcBorders>
            <w:shd w:color="auto" w:fill="FFFFFF" w:val="clear"/>
            <w:vAlign w:val="center"/>
          </w:tcPr>
          <w:p>
            <w:pPr>
              <w:pStyle w:val="Normal"/>
              <w:spacing w:lineRule="atLeast" w:line="315"/>
              <w:jc w:val="start"/>
              <w:rPr>
                <w:i/>
              </w:rPr>
            </w:pPr>
            <w:r>
              <w:rPr/>
            </w:r>
            <m:oMathPara xmlns:m="http://schemas.openxmlformats.org/officeDocument/2006/math">
              <m:oMathParaPr>
                <m:jc m:val="left"/>
              </m:oMathParaPr>
              <m:oMath>
                <m:r>
                  <m:t xml:space="preserve">E</m:t>
                </m:r>
                <m:r>
                  <m:rPr>
                    <m:lit/>
                    <m:nor/>
                  </m:rPr>
                  <m:t xml:space="preserve">&lt;</m:t>
                </m:r>
                <m:f>
                  <m:num>
                    <m:r>
                      <m:t xml:space="preserve">0,9</m:t>
                    </m:r>
                    <m:r>
                      <m:rPr>
                        <m:lit/>
                        <m:nor/>
                      </m:rPr>
                      <m:t xml:space="preserve">*</m:t>
                    </m:r>
                    <m:r>
                      <m:t xml:space="preserve">E</m:t>
                    </m:r>
                    <m:r>
                      <m:t xml:space="preserve">н</m:t>
                    </m:r>
                  </m:num>
                  <m:den>
                    <m:r>
                      <m:t xml:space="preserve">MF</m:t>
                    </m:r>
                    <m:r>
                      <m:rPr>
                        <m:lit/>
                        <m:nor/>
                      </m:rPr>
                      <m:t xml:space="preserve">*</m:t>
                    </m:r>
                    <m:r>
                      <m:t xml:space="preserve">1,05</m:t>
                    </m:r>
                  </m:den>
                </m:f>
              </m:oMath>
            </m:oMathPara>
          </w:p>
          <w:p>
            <w:pPr>
              <w:pStyle w:val="Subtitle"/>
              <w:jc w:val="center"/>
              <w:rPr>
                <w:rFonts w:ascii="Verdana" w:hAnsi="Verdana" w:cs="Verdana"/>
                <w:i/>
                <w:iCs/>
                <w:sz w:val="20"/>
                <w:szCs w:val="20"/>
              </w:rPr>
            </w:pPr>
            <w:r>
              <w:rPr>
                <w:rFonts w:cs="Verdana" w:ascii="Verdana" w:hAnsi="Verdana"/>
                <w:i/>
                <w:iCs/>
                <w:sz w:val="20"/>
                <w:szCs w:val="20"/>
              </w:rPr>
            </w:r>
          </w:p>
        </w:tc>
        <w:tc>
          <w:tcPr>
            <w:tcW w:w="1882" w:type="dxa"/>
            <w:tcBorders>
              <w:top w:val="single" w:sz="4" w:space="0" w:color="000000"/>
              <w:start w:val="single" w:sz="4" w:space="0" w:color="000000"/>
            </w:tcBorders>
            <w:shd w:color="auto" w:fill="FFFFFF" w:val="clear"/>
            <w:vAlign w:val="center"/>
          </w:tcPr>
          <w:p>
            <w:pPr>
              <w:pStyle w:val="Normal"/>
              <w:spacing w:lineRule="atLeast" w:line="315"/>
              <w:jc w:val="start"/>
              <w:rPr>
                <w:i/>
              </w:rPr>
            </w:pPr>
            <w:r>
              <w:rPr/>
            </w:r>
            <m:oMathPara xmlns:m="http://schemas.openxmlformats.org/officeDocument/2006/math">
              <m:oMathParaPr>
                <m:jc m:val="left"/>
              </m:oMathParaPr>
              <m:oMath>
                <m:r>
                  <m:t xml:space="preserve">E</m:t>
                </m:r>
                <m:r>
                  <m:rPr>
                    <m:lit/>
                    <m:nor/>
                  </m:rPr>
                  <m:t xml:space="preserve">&lt;</m:t>
                </m:r>
                <m:f>
                  <m:num>
                    <m:r>
                      <m:t xml:space="preserve">0,9</m:t>
                    </m:r>
                    <m:r>
                      <m:rPr>
                        <m:lit/>
                        <m:nor/>
                      </m:rPr>
                      <m:t xml:space="preserve">*</m:t>
                    </m:r>
                    <m:r>
                      <m:t xml:space="preserve">E</m:t>
                    </m:r>
                    <m:r>
                      <m:t xml:space="preserve">но</m:t>
                    </m:r>
                  </m:num>
                  <m:den>
                    <m:r>
                      <m:t xml:space="preserve">MF</m:t>
                    </m:r>
                    <m:r>
                      <m:rPr>
                        <m:lit/>
                        <m:nor/>
                      </m:rPr>
                      <m:t xml:space="preserve">*</m:t>
                    </m:r>
                    <m:r>
                      <m:t xml:space="preserve">1,05</m:t>
                    </m:r>
                  </m:den>
                </m:f>
              </m:oMath>
            </m:oMathPara>
          </w:p>
        </w:tc>
        <w:tc>
          <w:tcPr>
            <w:tcW w:w="2102" w:type="dxa"/>
            <w:tcBorders>
              <w:top w:val="single" w:sz="4" w:space="0" w:color="000000"/>
              <w:start w:val="single" w:sz="4" w:space="0" w:color="000000"/>
            </w:tcBorders>
            <w:shd w:color="auto" w:fill="FFFFFF" w:val="clear"/>
            <w:vAlign w:val="center"/>
          </w:tcPr>
          <w:p>
            <w:pPr>
              <w:pStyle w:val="Normal"/>
              <w:spacing w:lineRule="atLeast" w:line="315"/>
              <w:jc w:val="start"/>
              <w:rPr>
                <w:i/>
              </w:rPr>
            </w:pPr>
            <w:r>
              <w:rPr/>
            </w:r>
            <m:oMathPara xmlns:m="http://schemas.openxmlformats.org/officeDocument/2006/math">
              <m:oMathParaPr>
                <m:jc m:val="left"/>
              </m:oMathParaPr>
              <m:oMath>
                <m:r>
                  <m:t xml:space="preserve">E</m:t>
                </m:r>
                <m:r>
                  <m:rPr>
                    <m:lit/>
                    <m:nor/>
                  </m:rPr>
                  <m:t xml:space="preserve">&lt;</m:t>
                </m:r>
                <m:r>
                  <m:t xml:space="preserve">E</m:t>
                </m:r>
                <m:r>
                  <m:t xml:space="preserve">н</m:t>
                </m:r>
              </m:oMath>
            </m:oMathPara>
          </w:p>
          <w:p>
            <w:pPr>
              <w:pStyle w:val="Normal"/>
              <w:widowControl w:val="false"/>
              <w:spacing w:lineRule="exact" w:line="240"/>
              <w:jc w:val="center"/>
              <w:rPr>
                <w:rFonts w:ascii="Verdana" w:hAnsi="Verdana" w:cs="Verdana"/>
                <w:i/>
                <w:iCs/>
                <w:color w:val="000000"/>
                <w:sz w:val="20"/>
                <w:szCs w:val="20"/>
              </w:rPr>
            </w:pPr>
            <w:r>
              <w:rPr>
                <w:rFonts w:cs="Verdana" w:ascii="Verdana" w:hAnsi="Verdana"/>
                <w:i/>
                <w:iCs/>
                <w:color w:val="000000"/>
                <w:sz w:val="20"/>
                <w:szCs w:val="20"/>
              </w:rPr>
            </w:r>
          </w:p>
        </w:tc>
        <w:tc>
          <w:tcPr>
            <w:tcW w:w="1848" w:type="dxa"/>
            <w:tcBorders>
              <w:top w:val="single" w:sz="4" w:space="0" w:color="000000"/>
              <w:start w:val="single" w:sz="4" w:space="0" w:color="000000"/>
              <w:end w:val="single" w:sz="4" w:space="0" w:color="000000"/>
            </w:tcBorders>
            <w:shd w:color="auto" w:fill="FFFFFF" w:val="clear"/>
            <w:vAlign w:val="center"/>
          </w:tcPr>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Не</w:t>
            </w:r>
          </w:p>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соответствует</w:t>
            </w:r>
          </w:p>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нормам</w:t>
            </w:r>
          </w:p>
        </w:tc>
      </w:tr>
      <w:tr>
        <w:trPr>
          <w:trHeight w:val="644" w:hRule="exact"/>
        </w:trPr>
        <w:tc>
          <w:tcPr>
            <w:tcW w:w="2390" w:type="dxa"/>
            <w:vMerge w:val="restart"/>
            <w:tcBorders>
              <w:top w:val="single" w:sz="4" w:space="0" w:color="000000"/>
              <w:start w:val="single" w:sz="4" w:space="0" w:color="000000"/>
              <w:bottom w:val="single" w:sz="4" w:space="0" w:color="000000"/>
            </w:tcBorders>
            <w:shd w:color="auto" w:fill="FFFFFF" w:val="clear"/>
            <w:vAlign w:val="center"/>
          </w:tcPr>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Инспекторский контроль на рабочих местах</w:t>
            </w:r>
          </w:p>
        </w:tc>
        <w:tc>
          <w:tcPr>
            <w:tcW w:w="1829" w:type="dxa"/>
            <w:tcBorders>
              <w:top w:val="single" w:sz="4" w:space="0" w:color="000000"/>
              <w:start w:val="single" w:sz="4" w:space="0" w:color="000000"/>
            </w:tcBorders>
            <w:shd w:color="auto" w:fill="FFFFFF" w:val="clear"/>
            <w:vAlign w:val="center"/>
          </w:tcPr>
          <w:p>
            <w:pPr>
              <w:pStyle w:val="Normal"/>
              <w:spacing w:lineRule="atLeast" w:line="315"/>
              <w:jc w:val="start"/>
              <w:rPr>
                <w:szCs w:val="22"/>
              </w:rPr>
            </w:pPr>
            <w:r>
              <w:rPr/>
            </w:r>
            <m:oMathPara xmlns:m="http://schemas.openxmlformats.org/officeDocument/2006/math">
              <m:oMathParaPr>
                <m:jc m:val="left"/>
              </m:oMathParaPr>
              <m:oMath>
                <m:r>
                  <m:t xml:space="preserve">E</m:t>
                </m:r>
                <m:r>
                  <m:t xml:space="preserve">≥</m:t>
                </m:r>
                <m:r>
                  <m:t xml:space="preserve">E</m:t>
                </m:r>
                <m:r>
                  <m:t xml:space="preserve">н</m:t>
                </m:r>
              </m:oMath>
            </m:oMathPara>
          </w:p>
        </w:tc>
        <w:tc>
          <w:tcPr>
            <w:tcW w:w="1882" w:type="dxa"/>
            <w:tcBorders>
              <w:top w:val="single" w:sz="4" w:space="0" w:color="000000"/>
              <w:start w:val="single" w:sz="4" w:space="0" w:color="000000"/>
            </w:tcBorders>
            <w:shd w:color="auto" w:fill="FFFFFF" w:val="clear"/>
            <w:vAlign w:val="center"/>
          </w:tcPr>
          <w:p>
            <w:pPr>
              <w:pStyle w:val="Normal"/>
              <w:spacing w:lineRule="atLeast" w:line="315"/>
              <w:jc w:val="start"/>
              <w:rPr>
                <w:szCs w:val="22"/>
              </w:rPr>
            </w:pPr>
            <w:r>
              <w:rPr/>
            </w:r>
            <m:oMathPara xmlns:m="http://schemas.openxmlformats.org/officeDocument/2006/math">
              <m:oMathParaPr>
                <m:jc m:val="left"/>
              </m:oMathParaPr>
              <m:oMath>
                <m:r>
                  <m:t xml:space="preserve">E</m:t>
                </m:r>
                <m:r>
                  <m:t xml:space="preserve">≥</m:t>
                </m:r>
                <m:r>
                  <m:t xml:space="preserve">E</m:t>
                </m:r>
                <m:r>
                  <m:t xml:space="preserve">но</m:t>
                </m:r>
              </m:oMath>
            </m:oMathPara>
          </w:p>
        </w:tc>
        <w:tc>
          <w:tcPr>
            <w:tcW w:w="2102" w:type="dxa"/>
            <w:tcBorders>
              <w:top w:val="single" w:sz="4" w:space="0" w:color="000000"/>
              <w:start w:val="single" w:sz="4" w:space="0" w:color="000000"/>
            </w:tcBorders>
            <w:shd w:color="auto" w:fill="FFFFFF" w:val="clear"/>
            <w:vAlign w:val="center"/>
          </w:tcPr>
          <w:p>
            <w:pPr>
              <w:pStyle w:val="Normal"/>
              <w:spacing w:lineRule="atLeast" w:line="315"/>
              <w:jc w:val="start"/>
              <w:rPr>
                <w:szCs w:val="22"/>
              </w:rPr>
            </w:pPr>
            <w:r>
              <w:rPr/>
            </w:r>
            <m:oMathPara xmlns:m="http://schemas.openxmlformats.org/officeDocument/2006/math">
              <m:oMathParaPr>
                <m:jc m:val="left"/>
              </m:oMathParaPr>
              <m:oMath>
                <m:r>
                  <m:t xml:space="preserve">E</m:t>
                </m:r>
                <m:r>
                  <m:t xml:space="preserve">≥</m:t>
                </m:r>
                <m:r>
                  <m:t xml:space="preserve">E</m:t>
                </m:r>
                <m:r>
                  <m:t xml:space="preserve">н</m:t>
                </m:r>
              </m:oMath>
            </m:oMathPara>
          </w:p>
        </w:tc>
        <w:tc>
          <w:tcPr>
            <w:tcW w:w="1848" w:type="dxa"/>
            <w:tcBorders>
              <w:top w:val="single" w:sz="4" w:space="0" w:color="000000"/>
              <w:start w:val="single" w:sz="4" w:space="0" w:color="000000"/>
              <w:end w:val="single" w:sz="4" w:space="0" w:color="000000"/>
            </w:tcBorders>
            <w:shd w:color="auto" w:fill="FFFFFF" w:val="clear"/>
            <w:vAlign w:val="center"/>
          </w:tcPr>
          <w:p>
            <w:pPr>
              <w:pStyle w:val="Normal"/>
              <w:widowControl w:val="false"/>
              <w:spacing w:lineRule="exact" w:line="240" w:before="0" w:after="120"/>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Соответствует</w:t>
            </w:r>
          </w:p>
          <w:p>
            <w:pPr>
              <w:pStyle w:val="Normal"/>
              <w:widowControl w:val="false"/>
              <w:spacing w:lineRule="exact" w:line="240" w:before="120" w:after="0"/>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нормам</w:t>
            </w:r>
          </w:p>
        </w:tc>
      </w:tr>
      <w:tr>
        <w:trPr>
          <w:trHeight w:val="979" w:hRule="exact"/>
        </w:trPr>
        <w:tc>
          <w:tcPr>
            <w:tcW w:w="2390" w:type="dxa"/>
            <w:vMerge w:val="continue"/>
            <w:tcBorders>
              <w:start w:val="single" w:sz="4" w:space="0" w:color="000000"/>
              <w:bottom w:val="single" w:sz="4" w:space="0" w:color="000000"/>
            </w:tcBorders>
            <w:shd w:color="auto" w:fill="FFFFFF" w:val="clear"/>
            <w:vAlign w:val="center"/>
          </w:tcPr>
          <w:p>
            <w:pPr>
              <w:pStyle w:val="Normal"/>
              <w:widowControl w:val="false"/>
              <w:rPr>
                <w:rFonts w:ascii="Verdana" w:hAnsi="Verdana" w:eastAsia="Microsoft Sans Serif" w:cs="Microsoft Sans Serif"/>
                <w:color w:val="000000"/>
                <w:sz w:val="20"/>
                <w:szCs w:val="20"/>
                <w:lang w:eastAsia="ru-RU" w:bidi="ru-RU"/>
              </w:rPr>
            </w:pPr>
            <w:r>
              <w:rPr>
                <w:rFonts w:eastAsia="Microsoft Sans Serif" w:cs="Microsoft Sans Serif" w:ascii="Verdana" w:hAnsi="Verdana"/>
                <w:color w:val="000000"/>
                <w:sz w:val="20"/>
                <w:szCs w:val="20"/>
                <w:lang w:eastAsia="ru-RU" w:bidi="ru-RU"/>
              </w:rPr>
            </w:r>
          </w:p>
        </w:tc>
        <w:tc>
          <w:tcPr>
            <w:tcW w:w="1829" w:type="dxa"/>
            <w:tcBorders>
              <w:top w:val="single" w:sz="4" w:space="0" w:color="000000"/>
              <w:start w:val="single" w:sz="4" w:space="0" w:color="000000"/>
              <w:bottom w:val="single" w:sz="4" w:space="0" w:color="000000"/>
            </w:tcBorders>
            <w:shd w:color="auto" w:fill="FFFFFF" w:val="clear"/>
            <w:vAlign w:val="center"/>
          </w:tcPr>
          <w:p>
            <w:pPr>
              <w:pStyle w:val="Normal"/>
              <w:spacing w:lineRule="atLeast" w:line="315"/>
              <w:jc w:val="start"/>
              <w:rPr>
                <w:szCs w:val="22"/>
              </w:rPr>
            </w:pPr>
            <w:r>
              <w:rPr/>
            </w:r>
            <m:oMathPara xmlns:m="http://schemas.openxmlformats.org/officeDocument/2006/math">
              <m:oMathParaPr>
                <m:jc m:val="left"/>
              </m:oMathParaPr>
              <m:oMath>
                <m:r>
                  <m:t xml:space="preserve">E</m:t>
                </m:r>
                <m:r>
                  <m:rPr>
                    <m:lit/>
                    <m:nor/>
                  </m:rPr>
                  <m:t xml:space="preserve">&lt;</m:t>
                </m:r>
                <m:r>
                  <m:t xml:space="preserve">E</m:t>
                </m:r>
                <m:r>
                  <m:t xml:space="preserve">н</m:t>
                </m:r>
              </m:oMath>
            </m:oMathPara>
          </w:p>
        </w:tc>
        <w:tc>
          <w:tcPr>
            <w:tcW w:w="1882" w:type="dxa"/>
            <w:tcBorders>
              <w:top w:val="single" w:sz="4" w:space="0" w:color="000000"/>
              <w:start w:val="single" w:sz="4" w:space="0" w:color="000000"/>
              <w:bottom w:val="single" w:sz="4" w:space="0" w:color="000000"/>
            </w:tcBorders>
            <w:shd w:color="auto" w:fill="FFFFFF" w:val="clear"/>
            <w:vAlign w:val="center"/>
          </w:tcPr>
          <w:p>
            <w:pPr>
              <w:pStyle w:val="Normal"/>
              <w:spacing w:lineRule="atLeast" w:line="315"/>
              <w:jc w:val="start"/>
              <w:rPr>
                <w:i/>
                <w:szCs w:val="22"/>
              </w:rPr>
            </w:pPr>
            <w:r>
              <w:rPr/>
            </w:r>
            <m:oMathPara xmlns:m="http://schemas.openxmlformats.org/officeDocument/2006/math">
              <m:oMathParaPr>
                <m:jc m:val="left"/>
              </m:oMathParaPr>
              <m:oMath>
                <m:r>
                  <m:t xml:space="preserve">E</m:t>
                </m:r>
                <m:r>
                  <m:rPr>
                    <m:lit/>
                    <m:nor/>
                  </m:rPr>
                  <m:t xml:space="preserve">&lt;</m:t>
                </m:r>
                <m:r>
                  <m:t xml:space="preserve">E</m:t>
                </m:r>
                <m:r>
                  <m:t xml:space="preserve">но</m:t>
                </m:r>
              </m:oMath>
            </m:oMathPara>
          </w:p>
        </w:tc>
        <w:tc>
          <w:tcPr>
            <w:tcW w:w="2102" w:type="dxa"/>
            <w:tcBorders>
              <w:top w:val="single" w:sz="4" w:space="0" w:color="000000"/>
              <w:start w:val="single" w:sz="4" w:space="0" w:color="000000"/>
              <w:bottom w:val="single" w:sz="4" w:space="0" w:color="000000"/>
            </w:tcBorders>
            <w:shd w:color="auto" w:fill="FFFFFF" w:val="clear"/>
            <w:vAlign w:val="center"/>
          </w:tcPr>
          <w:p>
            <w:pPr>
              <w:pStyle w:val="Normal"/>
              <w:spacing w:lineRule="atLeast" w:line="315"/>
              <w:jc w:val="start"/>
              <w:rPr>
                <w:szCs w:val="22"/>
              </w:rPr>
            </w:pPr>
            <w:r>
              <w:rPr/>
            </w:r>
            <m:oMathPara xmlns:m="http://schemas.openxmlformats.org/officeDocument/2006/math">
              <m:oMathParaPr>
                <m:jc m:val="left"/>
              </m:oMathParaPr>
              <m:oMath>
                <m:r>
                  <m:t xml:space="preserve">E</m:t>
                </m:r>
                <m:r>
                  <m:rPr>
                    <m:lit/>
                    <m:nor/>
                  </m:rPr>
                  <m:t xml:space="preserve">&lt;</m:t>
                </m:r>
                <m:r>
                  <m:t xml:space="preserve">E</m:t>
                </m:r>
                <m:r>
                  <m:t xml:space="preserve">н</m:t>
                </m:r>
              </m:oMath>
            </m:oMathPara>
          </w:p>
        </w:tc>
        <w:tc>
          <w:tcPr>
            <w:tcW w:w="184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Не</w:t>
            </w:r>
          </w:p>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соответствует</w:t>
            </w:r>
          </w:p>
          <w:p>
            <w:pPr>
              <w:pStyle w:val="Normal"/>
              <w:widowControl w:val="false"/>
              <w:spacing w:lineRule="exact" w:line="313"/>
              <w:jc w:val="center"/>
              <w:rPr>
                <w:rFonts w:ascii="Verdana" w:hAnsi="Verdana" w:eastAsia="Microsoft Sans Serif" w:cs="Microsoft Sans Serif"/>
                <w:color w:val="000000"/>
                <w:sz w:val="20"/>
                <w:szCs w:val="20"/>
                <w:lang w:eastAsia="ru-RU" w:bidi="ru-RU"/>
              </w:rPr>
            </w:pPr>
            <w:r>
              <w:rPr>
                <w:rFonts w:eastAsia="Trebuchet MS" w:cs="Trebuchet MS" w:ascii="Verdana" w:hAnsi="Verdana"/>
                <w:color w:val="000000"/>
                <w:sz w:val="20"/>
                <w:szCs w:val="20"/>
                <w:lang w:eastAsia="ru-RU" w:bidi="ru-RU"/>
              </w:rPr>
              <w:t>нормам</w:t>
            </w:r>
          </w:p>
        </w:tc>
      </w:tr>
      <w:tr>
        <w:trPr>
          <w:trHeight w:val="979" w:hRule="exact"/>
        </w:trPr>
        <w:tc>
          <w:tcPr>
            <w:tcW w:w="10051" w:type="dxa"/>
            <w:gridSpan w:val="5"/>
            <w:tcBorders>
              <w:start w:val="single" w:sz="4" w:space="0" w:color="000000"/>
              <w:bottom w:val="single" w:sz="4" w:space="0" w:color="000000"/>
              <w:end w:val="single" w:sz="4" w:space="0" w:color="000000"/>
            </w:tcBorders>
            <w:shd w:color="auto" w:fill="FFFFFF" w:val="clear"/>
            <w:vAlign w:val="center"/>
          </w:tcPr>
          <w:p>
            <w:pPr>
              <w:pStyle w:val="Normal"/>
              <w:widowControl w:val="false"/>
              <w:spacing w:lineRule="exact" w:line="313"/>
              <w:jc w:val="center"/>
              <w:rPr>
                <w:rFonts w:ascii="Verdana" w:hAnsi="Verdana" w:eastAsia="Trebuchet MS" w:cs="Trebuchet MS"/>
                <w:color w:val="000000"/>
                <w:sz w:val="20"/>
                <w:szCs w:val="20"/>
                <w:lang w:eastAsia="ru-RU" w:bidi="ru-RU"/>
              </w:rPr>
            </w:pPr>
            <w:r>
              <w:rPr>
                <w:rFonts w:eastAsia="Trebuchet MS" w:cs="Trebuchet MS" w:ascii="Verdana" w:hAnsi="Verdana"/>
                <w:color w:val="000000"/>
                <w:sz w:val="20"/>
                <w:szCs w:val="20"/>
                <w:lang w:eastAsia="ru-RU" w:bidi="ru-RU"/>
              </w:rPr>
              <w:t xml:space="preserve">Примечание - </w:t>
            </w:r>
            <w:r>
              <w:rPr>
                <w:rFonts w:eastAsia="Trebuchet MS" w:cs="Trebuchet MS" w:ascii="Verdana" w:hAnsi="Verdana"/>
                <w:i/>
                <w:iCs/>
                <w:color w:val="000000"/>
                <w:sz w:val="20"/>
                <w:szCs w:val="20"/>
                <w:lang w:eastAsia="ru-RU" w:bidi="ru-RU"/>
              </w:rPr>
              <w:t>Eн</w:t>
            </w:r>
            <w:r>
              <w:rPr>
                <w:rFonts w:eastAsia="Trebuchet MS" w:cs="Trebuchet MS" w:ascii="Verdana" w:hAnsi="Verdana"/>
                <w:color w:val="000000"/>
                <w:sz w:val="20"/>
                <w:szCs w:val="20"/>
                <w:lang w:eastAsia="ru-RU" w:bidi="ru-RU"/>
              </w:rPr>
              <w:t xml:space="preserve"> - нормируемая освещенность (минимальная, средняя); </w:t>
            </w:r>
            <w:r>
              <w:rPr>
                <w:rFonts w:eastAsia="Trebuchet MS" w:cs="Trebuchet MS" w:ascii="Verdana" w:hAnsi="Verdana"/>
                <w:i/>
                <w:iCs/>
                <w:color w:val="000000"/>
                <w:sz w:val="20"/>
                <w:szCs w:val="20"/>
                <w:lang w:eastAsia="ru-RU" w:bidi="ru-RU"/>
              </w:rPr>
              <w:t>Eно</w:t>
            </w:r>
            <w:r>
              <w:rPr>
                <w:rFonts w:eastAsia="Trebuchet MS" w:cs="Trebuchet MS" w:ascii="Verdana" w:hAnsi="Verdana"/>
                <w:color w:val="000000"/>
                <w:sz w:val="20"/>
                <w:szCs w:val="20"/>
                <w:lang w:eastAsia="ru-RU" w:bidi="ru-RU"/>
              </w:rPr>
              <w:t xml:space="preserve"> - нормируемая освещенность от общего освещения в системе комбинированного освещения; </w:t>
            </w:r>
            <w:r>
              <w:rPr>
                <w:rFonts w:eastAsia="Trebuchet MS" w:cs="Trebuchet MS" w:ascii="Verdana" w:hAnsi="Verdana"/>
                <w:i/>
                <w:iCs/>
                <w:color w:val="000000"/>
                <w:sz w:val="20"/>
                <w:szCs w:val="20"/>
                <w:lang w:eastAsia="ru-RU" w:bidi="ru-RU"/>
              </w:rPr>
              <w:t>MF</w:t>
            </w:r>
            <w:r>
              <w:rPr>
                <w:rFonts w:eastAsia="Trebuchet MS" w:cs="Trebuchet MS" w:ascii="Verdana" w:hAnsi="Verdana"/>
                <w:color w:val="000000"/>
                <w:sz w:val="20"/>
                <w:szCs w:val="20"/>
                <w:lang w:eastAsia="ru-RU" w:bidi="ru-RU"/>
              </w:rPr>
              <w:t xml:space="preserve"> - коэффициент эксплуатации.</w:t>
            </w:r>
          </w:p>
        </w:tc>
      </w:tr>
    </w:tbl>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tbl>
      <w:tblPr>
        <w:tblW w:w="1006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032"/>
        <w:gridCol w:w="5033"/>
      </w:tblGrid>
      <w:tr>
        <w:trPr/>
        <w:tc>
          <w:tcPr>
            <w:tcW w:w="10065" w:type="dxa"/>
            <w:gridSpan w:val="2"/>
            <w:tcBorders/>
          </w:tcPr>
          <w:p>
            <w:pPr>
              <w:pStyle w:val="BodyText"/>
              <w:spacing w:before="0" w:after="0"/>
              <w:jc w:val="start"/>
              <w:rPr>
                <w:rFonts w:ascii="Verdana" w:hAnsi="Verdana" w:cs="Verdana"/>
                <w:sz w:val="22"/>
                <w:szCs w:val="22"/>
              </w:rPr>
            </w:pPr>
            <w:r>
              <w:rPr>
                <w:rFonts w:cs="Verdana" w:ascii="Verdana" w:hAnsi="Verdana"/>
                <w:sz w:val="22"/>
                <w:szCs w:val="22"/>
              </w:rPr>
            </w:r>
          </w:p>
        </w:tc>
      </w:tr>
      <w:tr>
        <w:trPr/>
        <w:tc>
          <w:tcPr>
            <w:tcW w:w="5032" w:type="dxa"/>
            <w:tcBorders/>
          </w:tcPr>
          <w:p>
            <w:pPr>
              <w:pStyle w:val="BodyText"/>
              <w:spacing w:before="0" w:after="0"/>
              <w:jc w:val="start"/>
              <w:rPr>
                <w:rFonts w:ascii="Verdana" w:hAnsi="Verdana" w:cs="Verdana"/>
                <w:sz w:val="22"/>
                <w:szCs w:val="22"/>
                <w:lang w:val="ru-RU"/>
              </w:rPr>
            </w:pPr>
            <w:r>
              <w:rPr>
                <w:rFonts w:cs="Verdana" w:ascii="Verdana" w:hAnsi="Verdana"/>
                <w:sz w:val="22"/>
                <w:szCs w:val="22"/>
                <w:lang w:val="ru-RU"/>
              </w:rPr>
            </w:r>
          </w:p>
        </w:tc>
        <w:tc>
          <w:tcPr>
            <w:tcW w:w="5033" w:type="dxa"/>
            <w:tcBorders/>
          </w:tcPr>
          <w:p>
            <w:pPr>
              <w:pStyle w:val="BodyText"/>
              <w:spacing w:before="0" w:after="0"/>
              <w:jc w:val="start"/>
              <w:rPr>
                <w:rFonts w:ascii="Verdana" w:hAnsi="Verdana" w:cs="Verdana"/>
                <w:sz w:val="22"/>
                <w:szCs w:val="22"/>
              </w:rPr>
            </w:pPr>
            <w:r>
              <w:rPr>
                <w:rFonts w:cs="Verdana" w:ascii="Verdana" w:hAnsi="Verdana"/>
                <w:sz w:val="22"/>
                <w:szCs w:val="22"/>
              </w:rPr>
            </w:r>
          </w:p>
        </w:tc>
      </w:tr>
    </w:tbl>
    <w:p>
      <w:pPr>
        <w:sectPr>
          <w:footerReference w:type="default" r:id="rId13"/>
          <w:footerReference w:type="first" r:id="rId14"/>
          <w:type w:val="nextPage"/>
          <w:pgSz w:w="11906" w:h="16838"/>
          <w:pgMar w:left="1134" w:right="707" w:gutter="0" w:header="0" w:top="1134" w:footer="709" w:bottom="993"/>
          <w:pgNumType w:fmt="decimal"/>
          <w:formProt w:val="false"/>
          <w:textDirection w:val="lrTb"/>
          <w:docGrid w:type="default" w:linePitch="360" w:charSpace="0"/>
        </w:sectPr>
      </w:pPr>
    </w:p>
    <w:p>
      <w:pPr>
        <w:pStyle w:val="Normal"/>
        <w:ind w:start="426"/>
        <w:jc w:val="end"/>
        <w:rPr/>
      </w:pPr>
      <w:r>
        <w:rPr>
          <w:szCs w:val="22"/>
        </w:rPr>
        <w:t xml:space="preserve">Приложение 1 к приложению № 7 </w:t>
      </w:r>
    </w:p>
    <w:p>
      <w:pPr>
        <w:pStyle w:val="Normal"/>
        <w:jc w:val="end"/>
        <w:rPr/>
      </w:pPr>
      <w:r>
        <w:rPr/>
        <w:t>к Техническому заданию</w:t>
      </w:r>
    </w:p>
    <w:p>
      <w:pPr>
        <w:pStyle w:val="Normal"/>
        <w:ind w:start="426"/>
        <w:jc w:val="center"/>
        <w:rPr>
          <w:b/>
        </w:rPr>
      </w:pPr>
      <w:r>
        <w:rPr>
          <w:b/>
          <w:szCs w:val="22"/>
        </w:rPr>
        <w:t>Перечень</w:t>
      </w:r>
    </w:p>
    <w:p>
      <w:pPr>
        <w:pStyle w:val="Normal"/>
        <w:ind w:start="426"/>
        <w:jc w:val="center"/>
        <w:rPr/>
      </w:pPr>
      <w:r>
        <w:rPr>
          <w:b/>
          <w:szCs w:val="22"/>
        </w:rPr>
        <w:t>производственных помещений и территорий, в отношении которых проводится</w:t>
      </w:r>
      <w:r>
        <w:rPr>
          <w:rFonts w:cs="Arial"/>
          <w:b/>
          <w:spacing w:val="2"/>
          <w:szCs w:val="22"/>
          <w:shd w:fill="FFFFFF" w:val="clear"/>
        </w:rPr>
        <w:t xml:space="preserve"> специальная оценка условий труда</w:t>
      </w:r>
      <w:r>
        <w:rPr>
          <w:b/>
          <w:szCs w:val="22"/>
        </w:rPr>
        <w:t xml:space="preserve"> </w:t>
      </w:r>
    </w:p>
    <w:tbl>
      <w:tblPr>
        <w:tblW w:w="14530" w:type="dxa"/>
        <w:jc w:val="start"/>
        <w:tblInd w:w="-5" w:type="dxa"/>
        <w:tblLayout w:type="fixed"/>
        <w:tblCellMar>
          <w:top w:w="0" w:type="dxa"/>
          <w:start w:w="108" w:type="dxa"/>
          <w:bottom w:w="0" w:type="dxa"/>
          <w:end w:w="108" w:type="dxa"/>
        </w:tblCellMar>
        <w:tblLook w:val="04a0" w:noHBand="0" w:noVBand="1" w:firstColumn="1" w:lastRow="0" w:lastColumn="0" w:firstRow="1"/>
      </w:tblPr>
      <w:tblGrid>
        <w:gridCol w:w="1903"/>
        <w:gridCol w:w="1123"/>
        <w:gridCol w:w="1892"/>
        <w:gridCol w:w="1040"/>
        <w:gridCol w:w="1981"/>
        <w:gridCol w:w="228"/>
        <w:gridCol w:w="1569"/>
        <w:gridCol w:w="1479"/>
        <w:gridCol w:w="1754"/>
        <w:gridCol w:w="339"/>
        <w:gridCol w:w="1222"/>
      </w:tblGrid>
      <w:tr>
        <w:trPr>
          <w:trHeight w:val="465" w:hRule="atLeast"/>
        </w:trPr>
        <w:tc>
          <w:tcPr>
            <w:tcW w:w="14530" w:type="dxa"/>
            <w:gridSpan w:val="11"/>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lang w:eastAsia="ru-RU"/>
              </w:rPr>
              <w:t>1 Аглоцех</w:t>
            </w:r>
          </w:p>
        </w:tc>
      </w:tr>
      <w:tr>
        <w:trPr>
          <w:trHeight w:val="1256"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lang w:eastAsia="ru-RU"/>
              </w:rPr>
              <w:t xml:space="preserve">№ </w:t>
            </w:r>
            <w:r>
              <w:rPr>
                <w:rFonts w:eastAsia="Verdana" w:cs="Verdana" w:ascii="Verdana" w:hAnsi="Verdana"/>
                <w:b/>
                <w:bCs/>
                <w:color w:val="000000"/>
                <w:sz w:val="16"/>
                <w:szCs w:val="16"/>
                <w:lang w:eastAsia="ru-RU"/>
              </w:rPr>
              <w:t>п.п.</w:t>
            </w:r>
          </w:p>
        </w:tc>
        <w:tc>
          <w:tcPr>
            <w:tcW w:w="4055" w:type="dxa"/>
            <w:gridSpan w:val="3"/>
            <w:tcBorders>
              <w:bottom w:val="single" w:sz="4" w:space="0" w:color="000000"/>
              <w:end w:val="single" w:sz="4" w:space="0" w:color="000000"/>
            </w:tcBorders>
            <w:shd w:color="FFFFFF" w:fill="FFFFFF" w:val="clear"/>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lang w:eastAsia="ru-RU"/>
              </w:rPr>
              <w:t>Отделение/Участок</w:t>
            </w:r>
          </w:p>
          <w:p>
            <w:pPr>
              <w:pStyle w:val="Normal"/>
              <w:jc w:val="center"/>
              <w:rPr>
                <w:rFonts w:ascii="Verdana" w:hAnsi="Verdana" w:cs="Verdana"/>
                <w:b/>
                <w:bCs/>
                <w:color w:val="000000"/>
                <w:sz w:val="16"/>
                <w:szCs w:val="16"/>
              </w:rPr>
            </w:pPr>
            <w:r>
              <w:rPr>
                <w:rFonts w:cs="Verdana" w:ascii="Verdana" w:hAnsi="Verdana"/>
                <w:b/>
                <w:bCs/>
                <w:color w:val="000000"/>
                <w:sz w:val="16"/>
                <w:szCs w:val="16"/>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lang w:eastAsia="ru-RU"/>
              </w:rPr>
              <w:t>Количество контрольных точек для оценки условий световой среды</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lang w:eastAsia="ru-RU"/>
              </w:rPr>
              <w:t>Разряд зрительных работ согласно СП 52.13330-2016</w:t>
            </w:r>
          </w:p>
        </w:tc>
        <w:tc>
          <w:tcPr>
            <w:tcW w:w="1479" w:type="dxa"/>
            <w:tcBorders>
              <w:bottom w:val="single" w:sz="4" w:space="0" w:color="000000"/>
              <w:end w:val="single" w:sz="4" w:space="0" w:color="000000"/>
            </w:tcBorders>
            <w:shd w:color="FFFFFF" w:fill="FFFFFF" w:val="clear"/>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lang w:eastAsia="ru-RU"/>
              </w:rPr>
              <w:t>Коэфф. эксплуатации согласно СП 52.13330-2016</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lang w:eastAsia="ru-RU"/>
              </w:rPr>
              <w:t>Плоскость измерения</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lang w:eastAsia="ru-RU"/>
              </w:rPr>
              <w:t>Нормируемая освещенность (Eн), лк</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1.1</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Освещение над галереей СК-1 (отм. +21.00)</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7</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1.2</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Освещение над галереей СК-2 (отм. +21.00)</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7</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1.3, 1.5</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Освещение штабеля СК-1 (отм. 0.00), Боковое освещение СК-1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1.4, 1.6</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Освещение штабеля СК-12(отм. 0.00), Боковое освещение СК-1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1.7</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11"/>
              <w:tabs>
                <w:tab w:val="clear" w:pos="369"/>
                <w:tab w:val="left" w:pos="1276" w:leader="none"/>
                <w:tab w:val="left" w:pos="1430" w:leader="none"/>
              </w:tabs>
              <w:jc w:val="center"/>
              <w:rPr>
                <w:rFonts w:ascii="Verdana" w:hAnsi="Verdana" w:cs="Verdana"/>
                <w:color w:val="000000"/>
                <w:sz w:val="16"/>
                <w:szCs w:val="16"/>
              </w:rPr>
            </w:pPr>
            <w:r>
              <w:rPr>
                <w:rFonts w:eastAsia="Verdana" w:cs="Verdana" w:ascii="Verdana" w:hAnsi="Verdana"/>
                <w:color w:val="000000"/>
                <w:sz w:val="16"/>
                <w:szCs w:val="16"/>
              </w:rPr>
              <w:t>Освещение отм. +0,0 ось К</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VIIIа</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24"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lang w:eastAsia="ru-RU"/>
              </w:rPr>
              <w:t>2 Копровый цех</w:t>
            </w:r>
          </w:p>
        </w:tc>
      </w:tr>
      <w:tr>
        <w:trPr>
          <w:trHeight w:val="451"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2.1 Участок №1</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2.1.1</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11"/>
              <w:tabs>
                <w:tab w:val="clear" w:pos="369"/>
                <w:tab w:val="left" w:pos="1276" w:leader="none"/>
                <w:tab w:val="left" w:pos="1430" w:leader="none"/>
              </w:tabs>
              <w:jc w:val="center"/>
              <w:rPr>
                <w:rFonts w:ascii="Verdana" w:hAnsi="Verdana" w:cs="Verdana"/>
                <w:color w:val="000000"/>
                <w:sz w:val="16"/>
                <w:szCs w:val="16"/>
              </w:rPr>
            </w:pPr>
            <w:r>
              <w:rPr>
                <w:rFonts w:eastAsia="Verdana" w:cs="Verdana" w:ascii="Verdana" w:hAnsi="Verdana"/>
                <w:color w:val="000000"/>
                <w:sz w:val="16"/>
                <w:szCs w:val="16"/>
              </w:rPr>
              <w:t>Мачты освещения (южный блок)</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184"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6</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9</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10</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64" w:hRule="atLeast"/>
        </w:trPr>
        <w:tc>
          <w:tcPr>
            <w:tcW w:w="1903"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2.1.2</w:t>
            </w:r>
          </w:p>
        </w:tc>
        <w:tc>
          <w:tcPr>
            <w:tcW w:w="3015" w:type="dxa"/>
            <w:gridSpan w:val="2"/>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Мачты освещения (северный блок)</w:t>
            </w:r>
          </w:p>
        </w:tc>
        <w:tc>
          <w:tcPr>
            <w:tcW w:w="104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13</w:t>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sz w:val="16"/>
                <w:szCs w:val="16"/>
              </w:rPr>
            </w:pPr>
            <w:r>
              <w:rPr>
                <w:rFonts w:eastAsia="Verdana" w:cs="Verdana" w:ascii="Verdana" w:hAnsi="Verdana"/>
                <w:sz w:val="16"/>
                <w:szCs w:val="16"/>
              </w:rPr>
              <w:t>XVI</w:t>
            </w:r>
          </w:p>
        </w:tc>
        <w:tc>
          <w:tcPr>
            <w:tcW w:w="147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247" w:hRule="atLeast"/>
        </w:trPr>
        <w:tc>
          <w:tcPr>
            <w:tcW w:w="19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14</w:t>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sz w:val="16"/>
                <w:szCs w:val="16"/>
              </w:rPr>
            </w:pPr>
            <w:r>
              <w:rPr>
                <w:rFonts w:eastAsia="Verdana" w:cs="Verdana" w:ascii="Verdana" w:hAnsi="Verdana"/>
                <w:sz w:val="16"/>
                <w:szCs w:val="16"/>
              </w:rPr>
              <w:t>XVI</w:t>
            </w:r>
          </w:p>
        </w:tc>
        <w:tc>
          <w:tcPr>
            <w:tcW w:w="147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313" w:hRule="atLeast"/>
        </w:trPr>
        <w:tc>
          <w:tcPr>
            <w:tcW w:w="1903"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15</w:t>
            </w:r>
          </w:p>
        </w:tc>
        <w:tc>
          <w:tcPr>
            <w:tcW w:w="1981"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sz w:val="16"/>
                <w:szCs w:val="16"/>
              </w:rPr>
            </w:pPr>
            <w:r>
              <w:rPr>
                <w:rFonts w:eastAsia="Verdana" w:cs="Verdana" w:ascii="Verdana" w:hAnsi="Verdana"/>
                <w:sz w:val="16"/>
                <w:szCs w:val="16"/>
              </w:rPr>
              <w:t>XVI</w:t>
            </w:r>
          </w:p>
        </w:tc>
        <w:tc>
          <w:tcPr>
            <w:tcW w:w="147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14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16</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142"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247"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210"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19</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58"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2.1.3</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Мачты освещения (взрывное отделение, склад №23)</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240"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164"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6</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9</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10</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73"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2.1.4</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СИТ (склад импортной техники)</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6</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lang w:val="en-US" w:eastAsia="ru-RU"/>
              </w:rPr>
              <w:t>VIIIа</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4055" w:type="dxa"/>
            <w:gridSpan w:val="3"/>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проход</w:t>
            </w:r>
          </w:p>
        </w:tc>
        <w:tc>
          <w:tcPr>
            <w:tcW w:w="1479"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2.1.5</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color w:val="000000"/>
                <w:sz w:val="16"/>
                <w:szCs w:val="16"/>
              </w:rPr>
            </w:pPr>
            <w:r>
              <w:rPr>
                <w:rFonts w:eastAsia="Verdana" w:cs="Verdana" w:ascii="Verdana" w:hAnsi="Verdana"/>
                <w:color w:val="000000"/>
                <w:sz w:val="16"/>
                <w:szCs w:val="16"/>
              </w:rPr>
              <w:t>Колоннады №№ 1, 5, 6, 7, 8, 9, 10</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6</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9</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10</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2.1.6</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Освещение участков огнерезной площадки</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1.1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1.2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6</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9</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10</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2.1.7</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Пресса, пресс-ножницы</w:t>
            </w:r>
          </w:p>
        </w:tc>
        <w:tc>
          <w:tcPr>
            <w:tcW w:w="1040"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Пресс №1, пресс-ножницы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lang w:val="en-US" w:eastAsia="ru-RU"/>
              </w:rPr>
              <w:t>VIIIа</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7</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проход</w:t>
            </w:r>
          </w:p>
        </w:tc>
        <w:tc>
          <w:tcPr>
            <w:tcW w:w="1479"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vMerge w:val="restart"/>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eastAsia="Verdana" w:cs="Verdana"/>
                <w:sz w:val="16"/>
                <w:szCs w:val="16"/>
              </w:rPr>
            </w:pPr>
            <w:r>
              <w:rPr>
                <w:rFonts w:eastAsia="Verdana" w:cs="Verdana" w:ascii="Verdana" w:hAnsi="Verdana"/>
                <w:sz w:val="16"/>
                <w:szCs w:val="16"/>
              </w:rPr>
              <w:t>Пресс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lang w:val="en-US" w:eastAsia="ru-RU"/>
              </w:rPr>
              <w:t>VIIIа</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проход</w:t>
            </w:r>
          </w:p>
        </w:tc>
        <w:tc>
          <w:tcPr>
            <w:tcW w:w="1479"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Пресс №6, пресс-ножницы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6</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lang w:val="en-US" w:eastAsia="ru-RU"/>
              </w:rPr>
              <w:t>VIIIа</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проход</w:t>
            </w:r>
          </w:p>
        </w:tc>
        <w:tc>
          <w:tcPr>
            <w:tcW w:w="1479"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424"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color w:val="000000"/>
                <w:sz w:val="16"/>
                <w:szCs w:val="16"/>
                <w:lang w:eastAsia="ru-RU"/>
              </w:rPr>
              <w:t>2.2 Участок №2</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2.2.1</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 xml:space="preserve">Мачты освещения </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6</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9</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10</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2.2.2</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color w:val="000000"/>
                <w:sz w:val="16"/>
                <w:szCs w:val="16"/>
              </w:rPr>
              <w:t>Бойное отделение</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7</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VIIIв</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2.2.3</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color w:val="000000"/>
                <w:sz w:val="16"/>
                <w:szCs w:val="16"/>
              </w:rPr>
              <w:t>Колоннады №1, 2, 3, 4 ,5</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2.2.4</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color w:val="000000"/>
                <w:sz w:val="16"/>
                <w:szCs w:val="16"/>
              </w:rPr>
              <w:t>Освещение участков огнерезной площадки</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2.1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2.2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5.1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Колоннада 5.2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XIII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50</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2.2.5</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color w:val="000000"/>
                <w:sz w:val="16"/>
                <w:szCs w:val="16"/>
              </w:rPr>
              <w:t>Пресса, пресс-ножницы</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lang w:val="en-US" w:eastAsia="ru-RU"/>
              </w:rPr>
              <w:t>VIIIа</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4055" w:type="dxa"/>
            <w:gridSpan w:val="3"/>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проход</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424"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color w:val="000000"/>
                <w:sz w:val="16"/>
                <w:szCs w:val="16"/>
              </w:rPr>
              <w:t>2.3 Участок №3</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2.3.1</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color w:val="000000"/>
                <w:sz w:val="16"/>
                <w:szCs w:val="16"/>
              </w:rPr>
              <w:t>Мачты освещения</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6</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9</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10</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16</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2.3.2</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color w:val="000000"/>
                <w:sz w:val="16"/>
                <w:szCs w:val="16"/>
              </w:rPr>
              <w:t xml:space="preserve">Галерея щеточных машин </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rPr>
            </w:pPr>
            <w:r>
              <w:rPr>
                <w:rFonts w:eastAsia="Verdana" w:cs="Verdana" w:ascii="Verdana" w:hAnsi="Verdana"/>
                <w:color w:val="000000"/>
                <w:sz w:val="16"/>
                <w:szCs w:val="16"/>
                <w:lang w:eastAsia="ru-RU"/>
              </w:rPr>
              <w:t>10</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2.3.3</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color w:val="000000"/>
                <w:sz w:val="16"/>
                <w:szCs w:val="16"/>
              </w:rPr>
              <w:t>Пресс-ножницы</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lang w:val="en-US" w:eastAsia="ru-RU"/>
              </w:rPr>
              <w:t>VIIIа</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4055" w:type="dxa"/>
            <w:gridSpan w:val="3"/>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проход</w:t>
            </w:r>
          </w:p>
        </w:tc>
        <w:tc>
          <w:tcPr>
            <w:tcW w:w="1479"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64" w:hRule="atLeast"/>
        </w:trPr>
        <w:tc>
          <w:tcPr>
            <w:tcW w:w="14530" w:type="dxa"/>
            <w:gridSpan w:val="11"/>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b/>
                <w:bCs/>
                <w:color w:val="000000"/>
                <w:sz w:val="16"/>
                <w:szCs w:val="16"/>
              </w:rPr>
            </w:pPr>
            <w:r>
              <w:rPr>
                <w:rFonts w:eastAsia="Verdana" w:cs="Verdana" w:ascii="Verdana" w:hAnsi="Verdana"/>
                <w:b/>
                <w:bCs/>
                <w:color w:val="000000"/>
                <w:sz w:val="16"/>
                <w:szCs w:val="16"/>
                <w:lang w:eastAsia="ru-RU"/>
              </w:rPr>
              <w:t>3 ЦПАШ</w:t>
            </w:r>
          </w:p>
        </w:tc>
      </w:tr>
      <w:tr>
        <w:trPr>
          <w:trHeight w:val="424" w:hRule="atLeast"/>
        </w:trPr>
        <w:tc>
          <w:tcPr>
            <w:tcW w:w="14530" w:type="dxa"/>
            <w:gridSpan w:val="11"/>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b/>
                <w:bCs/>
                <w:color w:val="000000"/>
                <w:sz w:val="16"/>
                <w:szCs w:val="16"/>
                <w:lang w:eastAsia="ru-RU"/>
              </w:rPr>
            </w:pPr>
            <w:r>
              <w:rPr>
                <w:rFonts w:eastAsia="Verdana" w:cs="Verdana" w:ascii="Verdana" w:hAnsi="Verdana"/>
                <w:color w:val="000000"/>
                <w:sz w:val="16"/>
                <w:szCs w:val="16"/>
              </w:rPr>
              <w:t>3.1 Отделение №1</w:t>
            </w:r>
          </w:p>
        </w:tc>
      </w:tr>
      <w:tr>
        <w:trPr>
          <w:trHeight w:val="372"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3.1.1</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Конвейер №2 (справа по ходу ленты)</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36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3.1.2</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Конвейер №2 (слева по ходу ленты)</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3.1.3</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Конвейер №1 (справа по ходу ленты от ПУ-1 до ПУ-2)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3.1.4</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Конвейер №3 (слева по ходу ленты от ПУ-1 до ПУ-2)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3.1.5</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Конвейер №7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3.1.6</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Конвейер №8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rPr>
              <w:t>3.2 Отделение №2</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3.2.1</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ПУ-2 наружное освещение</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62"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3.2.2</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ПУ-3 наружное освещение</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24" w:hRule="atLeast"/>
        </w:trPr>
        <w:tc>
          <w:tcPr>
            <w:tcW w:w="1903"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3.2.3</w:t>
            </w:r>
          </w:p>
        </w:tc>
        <w:tc>
          <w:tcPr>
            <w:tcW w:w="4055" w:type="dxa"/>
            <w:gridSpan w:val="3"/>
            <w:tcBorders>
              <w:start w:val="single" w:sz="4" w:space="0" w:color="000000"/>
              <w:bottom w:val="single" w:sz="4" w:space="0" w:color="000000"/>
              <w:end w:val="single" w:sz="4" w:space="0" w:color="000000"/>
            </w:tcBorders>
            <w:vAlign w:val="center"/>
          </w:tcPr>
          <w:p>
            <w:pPr>
              <w:pStyle w:val="Normal"/>
              <w:jc w:val="both"/>
              <w:rPr>
                <w:rFonts w:ascii="Verdana" w:hAnsi="Verdana" w:cs="Verdana"/>
                <w:sz w:val="16"/>
                <w:szCs w:val="16"/>
              </w:rPr>
            </w:pPr>
            <w:r>
              <w:rPr>
                <w:rFonts w:eastAsia="Verdana" w:cs="Verdana" w:ascii="Verdana" w:hAnsi="Verdana"/>
                <w:color w:val="000000"/>
                <w:sz w:val="16"/>
                <w:szCs w:val="16"/>
              </w:rPr>
              <w:t>ПУ-4 наружное освещение</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366"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3.2.4</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Временный склад, ж/д тупик № 35. Мачты наружного освещения-7 шт.</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6</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9</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3.2.5</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Автогараж. Наружное освещение</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3.2.6</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КВО № 5. Мачты наружного освещения -12 шт.</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6</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9</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10</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Зона 12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val="en-US" w:eastAsia="ru-RU"/>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color w:val="000000"/>
                <w:sz w:val="16"/>
                <w:szCs w:val="16"/>
                <w:lang w:eastAsia="ru-RU"/>
              </w:rPr>
              <w:t>10</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3.2.7</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Конвейер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3.2.8</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Конвейер №4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3.2.9, 3.2.10</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Галерея ЛК № 13 (справа по ходу ленты, боковое, потолочное)</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3.2.11, 3.2.12</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Галерея ЛК № 14 (справа по ходу ленты, боковое, потолочное)</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3.2.13</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ПУ-1 потолочное освещение</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3.2.14</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ПУ-4 потолочное освещение</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3.2.15</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Мачты между ЦПАШ и аглофабрикой 4шт</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91"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24"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b/>
                <w:bCs/>
                <w:color w:val="000000"/>
                <w:sz w:val="16"/>
                <w:szCs w:val="16"/>
                <w:lang w:eastAsia="ru-RU"/>
              </w:rPr>
              <w:t>4 ЦЖТ</w:t>
            </w:r>
          </w:p>
        </w:tc>
      </w:tr>
      <w:tr>
        <w:trPr>
          <w:trHeight w:val="424"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4.1</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Пост №5 (в составе ст. Флюсовая)</w:t>
            </w:r>
          </w:p>
        </w:tc>
        <w:tc>
          <w:tcPr>
            <w:tcW w:w="3778" w:type="dxa"/>
            <w:gridSpan w:val="3"/>
            <w:vMerge w:val="restart"/>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Уровень освещенности на ж/д объектах каждой станции в соответствии с ГОСТ 34935-2023 (для ж/д переездов – Приказ Мин. Транспорта РФ от 31.07.2015 №237)</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vMerge w:val="restart"/>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cs="Verdana" w:ascii="Verdana" w:hAnsi="Verdana"/>
                <w:sz w:val="16"/>
                <w:szCs w:val="16"/>
              </w:rPr>
            </w:r>
          </w:p>
        </w:tc>
      </w:tr>
      <w:tr>
        <w:trPr>
          <w:trHeight w:val="253"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Пост №6 (в составе ст. Флюсовая)</w:t>
            </w:r>
          </w:p>
        </w:tc>
        <w:tc>
          <w:tcPr>
            <w:tcW w:w="3778" w:type="dxa"/>
            <w:gridSpan w:val="3"/>
            <w:vMerge w:val="continue"/>
            <w:tcBorders>
              <w:bottom w:val="single" w:sz="4" w:space="0" w:color="000000"/>
              <w:end w:val="single" w:sz="4" w:space="0" w:color="000000"/>
            </w:tcBorders>
            <w:shd w:color="FFFFFF" w:fill="FFFFFF" w:val="clear"/>
            <w:vAlign w:val="center"/>
          </w:tcPr>
          <w:p>
            <w:pPr>
              <w:pStyle w:val="Normal"/>
              <w:rPr/>
            </w:pPr>
            <w:r>
              <w:rPr/>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vMerge w:val="continue"/>
            <w:tcBorders>
              <w:bottom w:val="single" w:sz="4" w:space="0" w:color="000000"/>
              <w:end w:val="single" w:sz="4" w:space="0" w:color="000000"/>
            </w:tcBorders>
            <w:shd w:color="FFFFFF" w:fill="FFFFFF" w:val="clear"/>
            <w:vAlign w:val="center"/>
          </w:tcPr>
          <w:p>
            <w:pPr>
              <w:pStyle w:val="Normal"/>
              <w:rPr/>
            </w:pPr>
            <w:r>
              <w:rPr/>
            </w:r>
          </w:p>
        </w:tc>
      </w:tr>
      <w:tr>
        <w:trPr>
          <w:trHeight w:val="62"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4.2</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Ст. Доломитовая</w:t>
            </w:r>
          </w:p>
        </w:tc>
        <w:tc>
          <w:tcPr>
            <w:tcW w:w="3778" w:type="dxa"/>
            <w:gridSpan w:val="3"/>
            <w:vMerge w:val="continue"/>
            <w:tcBorders>
              <w:bottom w:val="single" w:sz="4" w:space="0" w:color="000000"/>
              <w:end w:val="single" w:sz="4" w:space="0" w:color="000000"/>
            </w:tcBorders>
            <w:shd w:color="FFFFFF" w:fill="FFFFFF" w:val="clear"/>
            <w:vAlign w:val="center"/>
          </w:tcPr>
          <w:p>
            <w:pPr>
              <w:pStyle w:val="Normal"/>
              <w:rPr/>
            </w:pPr>
            <w:r>
              <w:rPr/>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vMerge w:val="continue"/>
            <w:tcBorders>
              <w:bottom w:val="single" w:sz="4" w:space="0" w:color="000000"/>
              <w:end w:val="single" w:sz="4" w:space="0" w:color="000000"/>
            </w:tcBorders>
            <w:shd w:color="FFFFFF" w:fill="FFFFFF" w:val="clear"/>
            <w:vAlign w:val="center"/>
          </w:tcPr>
          <w:p>
            <w:pPr>
              <w:pStyle w:val="Normal"/>
              <w:rPr/>
            </w:pPr>
            <w:r>
              <w:rPr/>
            </w:r>
          </w:p>
        </w:tc>
      </w:tr>
      <w:tr>
        <w:trPr>
          <w:trHeight w:val="424"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4.3</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Ст. Лисья гора</w:t>
            </w:r>
          </w:p>
        </w:tc>
        <w:tc>
          <w:tcPr>
            <w:tcW w:w="3778" w:type="dxa"/>
            <w:gridSpan w:val="3"/>
            <w:vMerge w:val="continue"/>
            <w:tcBorders>
              <w:bottom w:val="single" w:sz="4" w:space="0" w:color="000000"/>
              <w:end w:val="single" w:sz="4" w:space="0" w:color="000000"/>
            </w:tcBorders>
            <w:shd w:color="FFFFFF" w:fill="FFFFFF" w:val="clear"/>
            <w:vAlign w:val="center"/>
          </w:tcPr>
          <w:p>
            <w:pPr>
              <w:pStyle w:val="Normal"/>
              <w:rPr/>
            </w:pPr>
            <w:r>
              <w:rPr/>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vMerge w:val="continue"/>
            <w:tcBorders>
              <w:bottom w:val="single" w:sz="4" w:space="0" w:color="000000"/>
              <w:end w:val="single" w:sz="4" w:space="0" w:color="000000"/>
            </w:tcBorders>
            <w:shd w:color="FFFFFF" w:fill="FFFFFF" w:val="clear"/>
            <w:vAlign w:val="center"/>
          </w:tcPr>
          <w:p>
            <w:pPr>
              <w:pStyle w:val="Normal"/>
              <w:rPr/>
            </w:pPr>
            <w:r>
              <w:rPr/>
            </w:r>
          </w:p>
        </w:tc>
      </w:tr>
      <w:tr>
        <w:trPr>
          <w:trHeight w:val="491"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pPr>
            <w:r>
              <w:rPr>
                <w:rFonts w:eastAsia="Verdana" w:cs="Verdana" w:ascii="Verdana" w:hAnsi="Verdana"/>
                <w:b/>
                <w:bCs/>
                <w:color w:val="000000"/>
                <w:sz w:val="16"/>
                <w:szCs w:val="16"/>
                <w:lang w:eastAsia="ru-RU"/>
              </w:rPr>
              <w:t>5 ЭСПЦ</w:t>
            </w:r>
          </w:p>
        </w:tc>
      </w:tr>
      <w:tr>
        <w:trPr>
          <w:trHeight w:val="424"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5.1 Загрузочный пролет Д-Е</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5.1.1</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Пролет Д-Е оси (1-17)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5.1.2</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Пролет Д-Е оси (17-35)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7</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5.1.3</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Пролет Д-Е оси (35-64)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vertAlign w:val="subscript"/>
              </w:rPr>
            </w:pPr>
            <w:r>
              <w:rPr>
                <w:rFonts w:eastAsia="Verdana" w:cs="Verdana" w:ascii="Verdana" w:hAnsi="Verdana"/>
                <w:color w:val="000000"/>
                <w:sz w:val="16"/>
                <w:szCs w:val="16"/>
                <w:lang w:val="en-US" w:eastAsia="ru-RU"/>
              </w:rPr>
              <w:t>VI</w:t>
            </w:r>
            <w:r>
              <w:rPr>
                <w:rFonts w:eastAsia="Verdana" w:cs="Verdana" w:ascii="Verdana" w:hAnsi="Verdana"/>
                <w:color w:val="000000"/>
                <w:sz w:val="16"/>
                <w:szCs w:val="16"/>
                <w:vertAlign w:val="subscript"/>
                <w:lang w:val="en-US" w:eastAsia="ru-RU"/>
              </w:rPr>
              <w:t>-1</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150</w:t>
            </w:r>
          </w:p>
        </w:tc>
      </w:tr>
      <w:tr>
        <w:trPr>
          <w:trHeight w:val="555"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24" w:hRule="atLeast"/>
        </w:trPr>
        <w:tc>
          <w:tcPr>
            <w:tcW w:w="14530" w:type="dxa"/>
            <w:gridSpan w:val="11"/>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color w:val="000000"/>
                <w:sz w:val="16"/>
                <w:szCs w:val="16"/>
              </w:rPr>
              <w:t>5.2 Печной пролет Г-Д</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5.2.1</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Пролет Г-Д оси 1-17 Ремонт ковшей</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326"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7</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194" w:hRule="atLeast"/>
        </w:trPr>
        <w:tc>
          <w:tcPr>
            <w:tcW w:w="1903"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5.2.2</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Пролет Г-Д оси 17-37 ДСП 1-2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7</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228" w:hRule="atLeast"/>
        </w:trPr>
        <w:tc>
          <w:tcPr>
            <w:tcW w:w="1903"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5.2.3</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 xml:space="preserve">Пролет Г-Д оси 37-64 МНЛЗ №5 </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7</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194" w:hRule="atLeast"/>
        </w:trPr>
        <w:tc>
          <w:tcPr>
            <w:tcW w:w="1903"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5.2.4</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Пролет Г-Д оси 64-69 Миксер №5</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24" w:hRule="atLeast"/>
        </w:trPr>
        <w:tc>
          <w:tcPr>
            <w:tcW w:w="14530" w:type="dxa"/>
            <w:gridSpan w:val="11"/>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5.3 Пролет В-Г</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5.3.1</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МНЛЗ 1-2 оси 0-14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p>
            <w:pPr>
              <w:pStyle w:val="Normal"/>
              <w:jc w:val="center"/>
              <w:rPr>
                <w:rFonts w:ascii="Verdana" w:hAnsi="Verdana" w:cs="Verdana"/>
                <w:color w:val="000000"/>
                <w:sz w:val="16"/>
                <w:szCs w:val="16"/>
              </w:rPr>
            </w:pPr>
            <w:r>
              <w:rPr>
                <w:rFonts w:cs="Verdana" w:ascii="Verdana" w:hAnsi="Verdana"/>
                <w:color w:val="000000"/>
                <w:sz w:val="16"/>
                <w:szCs w:val="16"/>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348" w:hRule="atLeast"/>
        </w:trPr>
        <w:tc>
          <w:tcPr>
            <w:tcW w:w="1903"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5.3.2</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Участок ковшей оси 14-48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11</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7</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194" w:hRule="atLeast"/>
        </w:trPr>
        <w:tc>
          <w:tcPr>
            <w:tcW w:w="1903"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5.3.3</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МНЛЗ 5 оси 48-69</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7</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24" w:hRule="atLeast"/>
        </w:trPr>
        <w:tc>
          <w:tcPr>
            <w:tcW w:w="14530" w:type="dxa"/>
            <w:gridSpan w:val="11"/>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5.4 Пролет В-В"</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5.4.1</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Оси 24-40 Ремонт промковшей</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24" w:hRule="atLeast"/>
        </w:trPr>
        <w:tc>
          <w:tcPr>
            <w:tcW w:w="14530" w:type="dxa"/>
            <w:gridSpan w:val="11"/>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5.5 Пролет Б-В</w:t>
            </w:r>
          </w:p>
        </w:tc>
      </w:tr>
      <w:tr>
        <w:trPr>
          <w:trHeight w:val="194" w:hRule="atLeast"/>
        </w:trPr>
        <w:tc>
          <w:tcPr>
            <w:tcW w:w="1903"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5.5.1</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Оси 10-23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24" w:hRule="atLeast"/>
        </w:trPr>
        <w:tc>
          <w:tcPr>
            <w:tcW w:w="14530" w:type="dxa"/>
            <w:gridSpan w:val="11"/>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bidi="ru-RU"/>
              </w:rPr>
              <w:t>5.6 Пролет А-Б</w:t>
            </w:r>
          </w:p>
        </w:tc>
      </w:tr>
      <w:tr>
        <w:trPr>
          <w:trHeight w:val="194" w:hRule="atLeast"/>
        </w:trPr>
        <w:tc>
          <w:tcPr>
            <w:tcW w:w="1903"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5.6.1</w:t>
            </w:r>
          </w:p>
        </w:tc>
        <w:tc>
          <w:tcPr>
            <w:tcW w:w="4055" w:type="dxa"/>
            <w:gridSpan w:val="3"/>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Оси 0-27 Склад готовой продукции</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11</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24" w:hRule="atLeast"/>
        </w:trPr>
        <w:tc>
          <w:tcPr>
            <w:tcW w:w="14530" w:type="dxa"/>
            <w:gridSpan w:val="11"/>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bidi="ru-RU"/>
              </w:rPr>
              <w:t>5.7 Дворы</w:t>
            </w:r>
          </w:p>
        </w:tc>
      </w:tr>
      <w:tr>
        <w:trPr>
          <w:trHeight w:val="62" w:hRule="atLeast"/>
        </w:trPr>
        <w:tc>
          <w:tcPr>
            <w:tcW w:w="1903"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5.7.1</w:t>
            </w:r>
          </w:p>
        </w:tc>
        <w:tc>
          <w:tcPr>
            <w:tcW w:w="3015" w:type="dxa"/>
            <w:gridSpan w:val="2"/>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Двор сыпучих Пролет А-Б оси 1-23</w:t>
            </w:r>
          </w:p>
        </w:tc>
        <w:tc>
          <w:tcPr>
            <w:tcW w:w="1040"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cs="Verdana" w:ascii="Verdana" w:hAnsi="Verdana"/>
                <w:sz w:val="16"/>
                <w:szCs w:val="16"/>
              </w:rPr>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0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194" w:hRule="atLeast"/>
        </w:trPr>
        <w:tc>
          <w:tcPr>
            <w:tcW w:w="190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5.7.2</w:t>
            </w:r>
          </w:p>
        </w:tc>
        <w:tc>
          <w:tcPr>
            <w:tcW w:w="3015" w:type="dxa"/>
            <w:gridSpan w:val="2"/>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Двор металла Пролет И-К оси 1 -27</w:t>
            </w:r>
          </w:p>
        </w:tc>
        <w:tc>
          <w:tcPr>
            <w:tcW w:w="10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cs="Verdana" w:ascii="Verdana" w:hAnsi="Verdana"/>
                <w:color w:val="000000"/>
                <w:sz w:val="16"/>
                <w:szCs w:val="16"/>
              </w:rPr>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0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194" w:hRule="atLeast"/>
        </w:trPr>
        <w:tc>
          <w:tcPr>
            <w:tcW w:w="190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5.7.3</w:t>
            </w:r>
          </w:p>
        </w:tc>
        <w:tc>
          <w:tcPr>
            <w:tcW w:w="3015" w:type="dxa"/>
            <w:gridSpan w:val="2"/>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Наружное освещение</w:t>
            </w:r>
          </w:p>
        </w:tc>
        <w:tc>
          <w:tcPr>
            <w:tcW w:w="10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Зона 1</w:t>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194" w:hRule="atLeast"/>
        </w:trPr>
        <w:tc>
          <w:tcPr>
            <w:tcW w:w="19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Зона 2</w:t>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194" w:hRule="atLeast"/>
        </w:trPr>
        <w:tc>
          <w:tcPr>
            <w:tcW w:w="19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Зона 3</w:t>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24" w:hRule="atLeast"/>
        </w:trPr>
        <w:tc>
          <w:tcPr>
            <w:tcW w:w="14530"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bidi="ru-RU"/>
              </w:rPr>
              <w:t>5.8 Автопроезды</w:t>
            </w:r>
          </w:p>
        </w:tc>
      </w:tr>
      <w:tr>
        <w:trPr>
          <w:trHeight w:val="62" w:hRule="atLeast"/>
        </w:trPr>
        <w:tc>
          <w:tcPr>
            <w:tcW w:w="190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5.8.1</w:t>
            </w:r>
          </w:p>
        </w:tc>
        <w:tc>
          <w:tcPr>
            <w:tcW w:w="4055" w:type="dxa"/>
            <w:gridSpan w:val="3"/>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Пролет Д-С оси 1-2</w:t>
            </w:r>
          </w:p>
        </w:tc>
        <w:tc>
          <w:tcPr>
            <w:tcW w:w="1981"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w:t>
            </w:r>
          </w:p>
        </w:tc>
        <w:tc>
          <w:tcPr>
            <w:tcW w:w="1797"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VIIIг</w:t>
            </w:r>
          </w:p>
        </w:tc>
        <w:tc>
          <w:tcPr>
            <w:tcW w:w="147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w:t>
            </w:r>
          </w:p>
        </w:tc>
      </w:tr>
      <w:tr>
        <w:trPr>
          <w:trHeight w:val="194" w:hRule="atLeast"/>
        </w:trPr>
        <w:tc>
          <w:tcPr>
            <w:tcW w:w="1903"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5.8.2</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Пролет С-Е оси 1-14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VIIIг</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w:t>
            </w:r>
          </w:p>
        </w:tc>
      </w:tr>
      <w:tr>
        <w:trPr>
          <w:trHeight w:val="62" w:hRule="atLeast"/>
        </w:trPr>
        <w:tc>
          <w:tcPr>
            <w:tcW w:w="1903"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5.8.3</w:t>
            </w:r>
          </w:p>
        </w:tc>
        <w:tc>
          <w:tcPr>
            <w:tcW w:w="4055" w:type="dxa"/>
            <w:gridSpan w:val="3"/>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color w:val="000000"/>
                <w:sz w:val="16"/>
                <w:szCs w:val="16"/>
              </w:rPr>
              <w:t>Пролет С-Е оси 17-29</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VIIIг</w:t>
            </w:r>
          </w:p>
        </w:tc>
        <w:tc>
          <w:tcPr>
            <w:tcW w:w="147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w:t>
            </w:r>
          </w:p>
        </w:tc>
      </w:tr>
      <w:tr>
        <w:trPr>
          <w:trHeight w:val="424" w:hRule="atLeast"/>
        </w:trPr>
        <w:tc>
          <w:tcPr>
            <w:tcW w:w="1903"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5.8.4</w:t>
            </w:r>
          </w:p>
        </w:tc>
        <w:tc>
          <w:tcPr>
            <w:tcW w:w="4055" w:type="dxa"/>
            <w:gridSpan w:val="3"/>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color w:val="000000"/>
                <w:sz w:val="16"/>
                <w:szCs w:val="16"/>
              </w:rPr>
              <w:t>Пролет С-Е оси 29-37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VIIIг</w:t>
            </w:r>
          </w:p>
        </w:tc>
        <w:tc>
          <w:tcPr>
            <w:tcW w:w="147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w:t>
            </w:r>
          </w:p>
        </w:tc>
      </w:tr>
      <w:tr>
        <w:trPr>
          <w:trHeight w:val="424" w:hRule="atLeast"/>
        </w:trPr>
        <w:tc>
          <w:tcPr>
            <w:tcW w:w="1903"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5.8.5</w:t>
            </w:r>
          </w:p>
        </w:tc>
        <w:tc>
          <w:tcPr>
            <w:tcW w:w="4055" w:type="dxa"/>
            <w:gridSpan w:val="3"/>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color w:val="000000"/>
                <w:sz w:val="16"/>
                <w:szCs w:val="16"/>
              </w:rPr>
              <w:t>Пролет Д-Е оси 37-64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8</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VIIIг</w:t>
            </w:r>
          </w:p>
        </w:tc>
        <w:tc>
          <w:tcPr>
            <w:tcW w:w="147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w:t>
            </w:r>
          </w:p>
        </w:tc>
      </w:tr>
      <w:tr>
        <w:trPr>
          <w:trHeight w:val="424" w:hRule="atLeast"/>
        </w:trPr>
        <w:tc>
          <w:tcPr>
            <w:tcW w:w="1903"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5.8.6</w:t>
            </w:r>
          </w:p>
        </w:tc>
        <w:tc>
          <w:tcPr>
            <w:tcW w:w="4055" w:type="dxa"/>
            <w:gridSpan w:val="3"/>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color w:val="000000"/>
                <w:sz w:val="16"/>
                <w:szCs w:val="16"/>
              </w:rPr>
              <w:t>Пролет Б/1-В оси 13-22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VIIIг</w:t>
            </w:r>
          </w:p>
        </w:tc>
        <w:tc>
          <w:tcPr>
            <w:tcW w:w="1479"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w:t>
            </w:r>
          </w:p>
        </w:tc>
      </w:tr>
      <w:tr>
        <w:trPr>
          <w:trHeight w:val="424"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5.9 Пролет А-Б (отдельно стоящее здание)</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5.9.1</w:t>
            </w:r>
          </w:p>
        </w:tc>
        <w:tc>
          <w:tcPr>
            <w:tcW w:w="4055" w:type="dxa"/>
            <w:gridSpan w:val="3"/>
            <w:vMerge w:val="restart"/>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Миксер №1 оси 1-8</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bottom w:val="single" w:sz="4" w:space="0" w:color="000000"/>
              <w:end w:val="single" w:sz="4" w:space="0" w:color="000000"/>
            </w:tcBorders>
            <w:shd w:color="FFFFFF" w:fill="FFFFFF" w:val="clear"/>
            <w:vAlign w:val="center"/>
          </w:tcPr>
          <w:p>
            <w:pPr>
              <w:pStyle w:val="Normal"/>
              <w:rPr/>
            </w:pPr>
            <w:r>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bottom w:val="single" w:sz="4" w:space="0" w:color="000000"/>
              <w:end w:val="single" w:sz="4" w:space="0" w:color="000000"/>
            </w:tcBorders>
            <w:shd w:color="FFFFFF" w:fill="FFFFFF" w:val="clear"/>
            <w:vAlign w:val="center"/>
          </w:tcPr>
          <w:p>
            <w:pPr>
              <w:pStyle w:val="Normal"/>
              <w:rPr/>
            </w:pPr>
            <w:r>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24" w:hRule="atLeast"/>
        </w:trPr>
        <w:tc>
          <w:tcPr>
            <w:tcW w:w="14530" w:type="dxa"/>
            <w:gridSpan w:val="11"/>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5.10 Пролет А-Б (отдельно стоящее здание)</w:t>
            </w:r>
          </w:p>
        </w:tc>
      </w:tr>
      <w:tr>
        <w:trPr>
          <w:trHeight w:val="62"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5.10.1</w:t>
            </w:r>
          </w:p>
        </w:tc>
        <w:tc>
          <w:tcPr>
            <w:tcW w:w="4055" w:type="dxa"/>
            <w:gridSpan w:val="3"/>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Оси 1-7 НФС АПК-3 (отм. 0.000)</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VIIIб</w:t>
            </w:r>
          </w:p>
        </w:tc>
        <w:tc>
          <w:tcPr>
            <w:tcW w:w="1479"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0,63</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оборудовании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75</w:t>
            </w:r>
          </w:p>
        </w:tc>
      </w:tr>
      <w:tr>
        <w:trPr>
          <w:trHeight w:val="424"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eastAsia="Verdana" w:cs="Verdana"/>
                <w:color w:val="000000"/>
                <w:sz w:val="16"/>
                <w:szCs w:val="16"/>
                <w:lang w:eastAsia="ru-RU"/>
              </w:rPr>
            </w:pPr>
            <w:r>
              <w:rPr>
                <w:rFonts w:eastAsia="Verdana" w:cs="Verdana" w:ascii="Verdana" w:hAnsi="Verdana"/>
                <w:b/>
                <w:bCs/>
                <w:color w:val="000000"/>
                <w:sz w:val="16"/>
                <w:szCs w:val="16"/>
              </w:rPr>
              <w:t>6 УПП</w:t>
            </w:r>
          </w:p>
        </w:tc>
      </w:tr>
      <w:tr>
        <w:trPr>
          <w:trHeight w:val="424"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6.1 Участок оборудования №1</w:t>
            </w:r>
          </w:p>
        </w:tc>
      </w:tr>
      <w:tr>
        <w:trPr>
          <w:trHeight w:val="401"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6.1.1</w:t>
            </w:r>
          </w:p>
        </w:tc>
        <w:tc>
          <w:tcPr>
            <w:tcW w:w="4055" w:type="dxa"/>
            <w:gridSpan w:val="3"/>
            <w:vMerge w:val="restart"/>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Склад №77</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bottom w:val="single" w:sz="4" w:space="0" w:color="000000"/>
              <w:end w:val="single" w:sz="4" w:space="0" w:color="000000"/>
            </w:tcBorders>
            <w:shd w:color="FFFFFF" w:fill="FFFFFF" w:val="clear"/>
            <w:vAlign w:val="center"/>
          </w:tcPr>
          <w:p>
            <w:pPr>
              <w:pStyle w:val="Normal"/>
              <w:rPr/>
            </w:pPr>
            <w:r>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bottom w:val="single" w:sz="4" w:space="0" w:color="000000"/>
              <w:end w:val="single" w:sz="4" w:space="0" w:color="000000"/>
            </w:tcBorders>
            <w:shd w:color="FFFFFF" w:fill="FFFFFF" w:val="clear"/>
            <w:vAlign w:val="center"/>
          </w:tcPr>
          <w:p>
            <w:pPr>
              <w:pStyle w:val="Normal"/>
              <w:rPr/>
            </w:pPr>
            <w:r>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6.1.2</w:t>
            </w:r>
          </w:p>
        </w:tc>
        <w:tc>
          <w:tcPr>
            <w:tcW w:w="4055" w:type="dxa"/>
            <w:gridSpan w:val="3"/>
            <w:vMerge w:val="restart"/>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Склад №82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9</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bottom w:val="single" w:sz="4" w:space="0" w:color="000000"/>
              <w:end w:val="single" w:sz="4" w:space="0" w:color="000000"/>
            </w:tcBorders>
            <w:shd w:color="FFFFFF" w:fill="FFFFFF" w:val="clear"/>
            <w:vAlign w:val="center"/>
          </w:tcPr>
          <w:p>
            <w:pPr>
              <w:pStyle w:val="Normal"/>
              <w:rPr/>
            </w:pPr>
            <w:r>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8</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bottom w:val="single" w:sz="4" w:space="0" w:color="000000"/>
              <w:end w:val="single" w:sz="4" w:space="0" w:color="000000"/>
            </w:tcBorders>
            <w:shd w:color="FFFFFF" w:fill="FFFFFF" w:val="clear"/>
            <w:vAlign w:val="center"/>
          </w:tcPr>
          <w:p>
            <w:pPr>
              <w:pStyle w:val="Normal"/>
              <w:rPr/>
            </w:pPr>
            <w:r>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6.1.3</w:t>
            </w:r>
          </w:p>
        </w:tc>
        <w:tc>
          <w:tcPr>
            <w:tcW w:w="4055" w:type="dxa"/>
            <w:gridSpan w:val="3"/>
            <w:vMerge w:val="restart"/>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Склад №80</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4055" w:type="dxa"/>
            <w:gridSpan w:val="3"/>
            <w:vMerge w:val="continue"/>
            <w:tcBorders>
              <w:bottom w:val="single" w:sz="4" w:space="0" w:color="000000"/>
              <w:end w:val="single" w:sz="4" w:space="0" w:color="000000"/>
            </w:tcBorders>
            <w:shd w:color="FFFFFF" w:fill="FFFFFF" w:val="clear"/>
            <w:vAlign w:val="center"/>
          </w:tcPr>
          <w:p>
            <w:pPr>
              <w:pStyle w:val="Normal"/>
              <w:rPr/>
            </w:pPr>
            <w:r>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bottom w:val="single" w:sz="4" w:space="0" w:color="000000"/>
              <w:end w:val="single" w:sz="4" w:space="0" w:color="000000"/>
            </w:tcBorders>
            <w:shd w:color="FFFFFF" w:fill="FFFFFF" w:val="clear"/>
            <w:vAlign w:val="center"/>
          </w:tcPr>
          <w:p>
            <w:pPr>
              <w:pStyle w:val="Normal"/>
              <w:rPr/>
            </w:pPr>
            <w:r>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62"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6.1.4</w:t>
            </w:r>
          </w:p>
        </w:tc>
        <w:tc>
          <w:tcPr>
            <w:tcW w:w="3015"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Мачта №1</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62"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6.1.5</w:t>
            </w:r>
          </w:p>
        </w:tc>
        <w:tc>
          <w:tcPr>
            <w:tcW w:w="3015"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Мачта №2</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62" w:hRule="atLeast"/>
        </w:trPr>
        <w:tc>
          <w:tcPr>
            <w:tcW w:w="1903"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6.1.6</w:t>
            </w:r>
          </w:p>
        </w:tc>
        <w:tc>
          <w:tcPr>
            <w:tcW w:w="3015"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Мачта №3</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Зона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XVI</w:t>
            </w:r>
          </w:p>
        </w:tc>
        <w:tc>
          <w:tcPr>
            <w:tcW w:w="1479"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24" w:hRule="atLeast"/>
        </w:trPr>
        <w:tc>
          <w:tcPr>
            <w:tcW w:w="14530" w:type="dxa"/>
            <w:gridSpan w:val="11"/>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6.2 Участок №1</w:t>
            </w:r>
          </w:p>
        </w:tc>
      </w:tr>
      <w:tr>
        <w:trPr>
          <w:trHeight w:val="62" w:hRule="atLeast"/>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6.2.1</w:t>
            </w:r>
          </w:p>
        </w:tc>
        <w:tc>
          <w:tcPr>
            <w:tcW w:w="3015" w:type="dxa"/>
            <w:gridSpan w:val="2"/>
            <w:vMerge w:val="restart"/>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Склад №43</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Помещение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62"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Помещение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62" w:hRule="atLeast"/>
        </w:trPr>
        <w:tc>
          <w:tcPr>
            <w:tcW w:w="1903" w:type="dxa"/>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3015" w:type="dxa"/>
            <w:gridSpan w:val="2"/>
            <w:vMerge w:val="continue"/>
            <w:tcBorders>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Помещение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Помещение 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81" w:hRule="atLeast"/>
        </w:trPr>
        <w:tc>
          <w:tcPr>
            <w:tcW w:w="190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6.2.2</w:t>
            </w:r>
          </w:p>
        </w:tc>
        <w:tc>
          <w:tcPr>
            <w:tcW w:w="4055" w:type="dxa"/>
            <w:gridSpan w:val="3"/>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Склад №20(13)</w:t>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62" w:hRule="atLeast"/>
        </w:trPr>
        <w:tc>
          <w:tcPr>
            <w:tcW w:w="190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6.2.3</w:t>
            </w:r>
          </w:p>
        </w:tc>
        <w:tc>
          <w:tcPr>
            <w:tcW w:w="4055" w:type="dxa"/>
            <w:gridSpan w:val="3"/>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Склад №16</w:t>
            </w:r>
          </w:p>
        </w:tc>
        <w:tc>
          <w:tcPr>
            <w:tcW w:w="1981"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24" w:hRule="atLeast"/>
        </w:trPr>
        <w:tc>
          <w:tcPr>
            <w:tcW w:w="1903"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6.2.4</w:t>
            </w:r>
          </w:p>
        </w:tc>
        <w:tc>
          <w:tcPr>
            <w:tcW w:w="4055" w:type="dxa"/>
            <w:gridSpan w:val="3"/>
            <w:vMerge w:val="restart"/>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Склад №5(холодный)</w:t>
            </w:r>
          </w:p>
        </w:tc>
        <w:tc>
          <w:tcPr>
            <w:tcW w:w="1981"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491" w:hRule="atLeast"/>
        </w:trPr>
        <w:tc>
          <w:tcPr>
            <w:tcW w:w="1903" w:type="dxa"/>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4055" w:type="dxa"/>
            <w:gridSpan w:val="3"/>
            <w:vMerge w:val="continue"/>
            <w:tcBorders>
              <w:top w:val="single" w:sz="4" w:space="0" w:color="000000"/>
              <w:bottom w:val="single" w:sz="4" w:space="0" w:color="000000"/>
              <w:end w:val="single" w:sz="4" w:space="0" w:color="000000"/>
            </w:tcBorders>
            <w:shd w:color="FFFFFF" w:fill="FFFFFF" w:val="clear"/>
            <w:vAlign w:val="center"/>
          </w:tcPr>
          <w:p>
            <w:pPr>
              <w:pStyle w:val="Normal"/>
              <w:rPr/>
            </w:pPr>
            <w:r>
              <w:rPr/>
            </w:r>
          </w:p>
        </w:tc>
        <w:tc>
          <w:tcPr>
            <w:tcW w:w="1981"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w:t>
            </w:r>
          </w:p>
        </w:tc>
        <w:tc>
          <w:tcPr>
            <w:tcW w:w="1797"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top w:val="single" w:sz="4" w:space="0" w:color="000000"/>
              <w:bottom w:val="single" w:sz="4" w:space="0" w:color="000000"/>
              <w:end w:val="single" w:sz="4" w:space="0" w:color="000000"/>
            </w:tcBorders>
            <w:shd w:color="FFFFFF" w:fill="FFFFFF" w:val="clear"/>
            <w:vAlign w:val="center"/>
          </w:tcPr>
          <w:p>
            <w:pPr>
              <w:pStyle w:val="Normal"/>
              <w:rPr/>
            </w:pPr>
            <w:r>
              <w:rPr/>
            </w:r>
          </w:p>
        </w:tc>
        <w:tc>
          <w:tcPr>
            <w:tcW w:w="1754"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424" w:hRule="atLeast"/>
        </w:trPr>
        <w:tc>
          <w:tcPr>
            <w:tcW w:w="190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6.2.5</w:t>
            </w:r>
          </w:p>
        </w:tc>
        <w:tc>
          <w:tcPr>
            <w:tcW w:w="4055" w:type="dxa"/>
            <w:gridSpan w:val="3"/>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Ремонтный бокс</w:t>
            </w:r>
          </w:p>
        </w:tc>
        <w:tc>
          <w:tcPr>
            <w:tcW w:w="1981"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7</w:t>
            </w:r>
          </w:p>
        </w:tc>
        <w:tc>
          <w:tcPr>
            <w:tcW w:w="1797"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top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62" w:hRule="atLeast"/>
          <w:cantSplit w:val="true"/>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6.2.6</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Склад №32</w:t>
            </w:r>
          </w:p>
        </w:tc>
        <w:tc>
          <w:tcPr>
            <w:tcW w:w="1040"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Помещение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040"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194"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sz w:val="16"/>
                <w:szCs w:val="16"/>
              </w:rPr>
              <w:t>Помещение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7</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040"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194" w:hRule="atLeast"/>
        </w:trPr>
        <w:tc>
          <w:tcPr>
            <w:tcW w:w="1903"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6.2.7</w:t>
            </w:r>
          </w:p>
        </w:tc>
        <w:tc>
          <w:tcPr>
            <w:tcW w:w="3015" w:type="dxa"/>
            <w:gridSpan w:val="2"/>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Мачта освещения №1</w:t>
            </w:r>
          </w:p>
        </w:tc>
        <w:tc>
          <w:tcPr>
            <w:tcW w:w="1040"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Зона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377" w:hRule="atLeast"/>
        </w:trPr>
        <w:tc>
          <w:tcPr>
            <w:tcW w:w="1903"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6.2.8</w:t>
            </w:r>
          </w:p>
        </w:tc>
        <w:tc>
          <w:tcPr>
            <w:tcW w:w="3015" w:type="dxa"/>
            <w:gridSpan w:val="2"/>
            <w:tcBorders>
              <w:start w:val="single" w:sz="4" w:space="0" w:color="000000"/>
              <w:bottom w:val="single" w:sz="4" w:space="0" w:color="000000"/>
              <w:end w:val="single" w:sz="4" w:space="0" w:color="000000"/>
            </w:tcBorders>
            <w:shd w:color="FFFFFF" w:fill="FFFFFF" w:val="clear"/>
            <w:vAlign w:val="center"/>
          </w:tcPr>
          <w:p>
            <w:pPr>
              <w:pStyle w:val="Normal"/>
              <w:rPr>
                <w:rFonts w:ascii="Verdana" w:hAnsi="Verdana" w:cs="Verdana"/>
                <w:color w:val="000000"/>
                <w:sz w:val="16"/>
                <w:szCs w:val="16"/>
              </w:rPr>
            </w:pPr>
            <w:r>
              <w:rPr>
                <w:rFonts w:eastAsia="Verdana" w:cs="Verdana" w:ascii="Verdana" w:hAnsi="Verdana"/>
                <w:color w:val="000000"/>
                <w:sz w:val="16"/>
                <w:szCs w:val="16"/>
              </w:rPr>
              <w:t>Мачта освещения №2</w:t>
            </w:r>
          </w:p>
        </w:tc>
        <w:tc>
          <w:tcPr>
            <w:tcW w:w="1040"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Зона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XVI</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w:t>
            </w:r>
          </w:p>
        </w:tc>
      </w:tr>
      <w:tr>
        <w:trPr>
          <w:trHeight w:val="424" w:hRule="atLeast"/>
        </w:trPr>
        <w:tc>
          <w:tcPr>
            <w:tcW w:w="14530" w:type="dxa"/>
            <w:gridSpan w:val="11"/>
            <w:tcBorders>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color w:val="000000"/>
                <w:sz w:val="16"/>
                <w:szCs w:val="16"/>
              </w:rPr>
              <w:t>6.3 Участок Погрузка-выгрузка</w:t>
            </w:r>
          </w:p>
        </w:tc>
      </w:tr>
      <w:tr>
        <w:trPr>
          <w:trHeight w:val="62" w:hRule="atLeast"/>
          <w:cantSplit w:val="true"/>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6.3.1</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Склад №45</w:t>
            </w:r>
          </w:p>
        </w:tc>
        <w:tc>
          <w:tcPr>
            <w:tcW w:w="1040"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Помещение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040"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194"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sz w:val="16"/>
                <w:szCs w:val="16"/>
              </w:rPr>
              <w:t>Помещение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8</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040"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194" w:hRule="atLeast"/>
        </w:trPr>
        <w:tc>
          <w:tcPr>
            <w:tcW w:w="1903"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6.3.2</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Склад №33</w:t>
            </w:r>
          </w:p>
        </w:tc>
        <w:tc>
          <w:tcPr>
            <w:tcW w:w="1040"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sz w:val="16"/>
                <w:szCs w:val="16"/>
              </w:rPr>
              <w:t>Помещение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255"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040"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6</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194"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sz w:val="16"/>
                <w:szCs w:val="16"/>
              </w:rPr>
              <w:t>Помещение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040"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194"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sz w:val="16"/>
                <w:szCs w:val="16"/>
              </w:rPr>
              <w:t>Помещение 3</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62"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040"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62" w:hRule="atLeast"/>
          <w:cantSplit w:val="true"/>
        </w:trPr>
        <w:tc>
          <w:tcPr>
            <w:tcW w:w="1903" w:type="dxa"/>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6.3.3</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Склад №30</w:t>
            </w:r>
          </w:p>
        </w:tc>
        <w:tc>
          <w:tcPr>
            <w:tcW w:w="1040"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Склад</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194"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vAlign w:val="center"/>
          </w:tcPr>
          <w:p>
            <w:pPr>
              <w:pStyle w:val="Normal"/>
              <w:rPr>
                <w:rFonts w:ascii="Verdana" w:hAnsi="Verdana" w:cs="Verdana"/>
                <w:color w:val="000000"/>
                <w:sz w:val="16"/>
                <w:szCs w:val="16"/>
              </w:rPr>
            </w:pPr>
            <w:r>
              <w:rPr>
                <w:rFonts w:eastAsia="Verdana" w:cs="Verdana" w:ascii="Verdana" w:hAnsi="Verdana"/>
                <w:color w:val="000000"/>
                <w:sz w:val="16"/>
                <w:szCs w:val="16"/>
                <w:lang w:eastAsia="ru-RU"/>
              </w:rPr>
              <w:t>Эстакада</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0,67</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24" w:hRule="atLeast"/>
        </w:trPr>
        <w:tc>
          <w:tcPr>
            <w:tcW w:w="14530" w:type="dxa"/>
            <w:gridSpan w:val="11"/>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highlight w:val="yellow"/>
              </w:rPr>
            </w:pPr>
            <w:r>
              <w:rPr>
                <w:rFonts w:eastAsia="Verdana" w:cs="Verdana" w:ascii="Verdana" w:hAnsi="Verdana"/>
                <w:color w:val="000000"/>
                <w:sz w:val="16"/>
                <w:szCs w:val="16"/>
              </w:rPr>
              <w:t>6.4 Участок ШДФ и НФП</w:t>
            </w:r>
          </w:p>
        </w:tc>
      </w:tr>
      <w:tr>
        <w:trPr>
          <w:trHeight w:val="194" w:hRule="atLeast"/>
        </w:trPr>
        <w:tc>
          <w:tcPr>
            <w:tcW w:w="1903" w:type="dxa"/>
            <w:vMerge w:val="restart"/>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6.4.1</w:t>
            </w:r>
          </w:p>
        </w:tc>
        <w:tc>
          <w:tcPr>
            <w:tcW w:w="3015" w:type="dxa"/>
            <w:gridSpan w:val="2"/>
            <w:vMerge w:val="restart"/>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 xml:space="preserve">Склад №35 </w:t>
            </w:r>
          </w:p>
        </w:tc>
        <w:tc>
          <w:tcPr>
            <w:tcW w:w="1040"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sz w:val="16"/>
                <w:szCs w:val="16"/>
              </w:rPr>
              <w:t>Помещение 1</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22</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491" w:hRule="atLeast"/>
        </w:trPr>
        <w:tc>
          <w:tcPr>
            <w:tcW w:w="1903" w:type="dxa"/>
            <w:vMerge w:val="continue"/>
            <w:tcBorders>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sz w:val="16"/>
                <w:szCs w:val="16"/>
              </w:rPr>
              <w:t>Помещение 2</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19</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194" w:hRule="atLeast"/>
        </w:trPr>
        <w:tc>
          <w:tcPr>
            <w:tcW w:w="1903" w:type="dxa"/>
            <w:tcBorders>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6.4.2</w:t>
            </w:r>
          </w:p>
        </w:tc>
        <w:tc>
          <w:tcPr>
            <w:tcW w:w="4055" w:type="dxa"/>
            <w:gridSpan w:val="3"/>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Склад №34</w:t>
            </w:r>
          </w:p>
        </w:tc>
        <w:tc>
          <w:tcPr>
            <w:tcW w:w="1981" w:type="dxa"/>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8</w:t>
            </w:r>
          </w:p>
        </w:tc>
        <w:tc>
          <w:tcPr>
            <w:tcW w:w="1797"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vertAlign w:val="subscript"/>
              </w:rPr>
            </w:pPr>
            <w:r>
              <w:rPr>
                <w:rFonts w:eastAsia="Verdana" w:cs="Verdana" w:ascii="Verdana" w:hAnsi="Verdana"/>
                <w:sz w:val="16"/>
                <w:szCs w:val="16"/>
              </w:rPr>
              <w:t>VIIIв</w:t>
            </w:r>
            <w:r>
              <w:rPr>
                <w:rFonts w:eastAsia="Verdana" w:cs="Verdana" w:ascii="Verdana" w:hAnsi="Verdana"/>
                <w:sz w:val="16"/>
                <w:szCs w:val="16"/>
                <w:vertAlign w:val="subscript"/>
              </w:rPr>
              <w:t>+1</w:t>
            </w:r>
          </w:p>
        </w:tc>
        <w:tc>
          <w:tcPr>
            <w:tcW w:w="1479" w:type="dxa"/>
            <w:tcBorders>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sz w:val="16"/>
                <w:szCs w:val="16"/>
              </w:rPr>
              <w:t>Г-0,00</w:t>
            </w:r>
          </w:p>
        </w:tc>
        <w:tc>
          <w:tcPr>
            <w:tcW w:w="1561" w:type="dxa"/>
            <w:gridSpan w:val="2"/>
            <w:tcBorders>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100</w:t>
            </w:r>
          </w:p>
        </w:tc>
      </w:tr>
      <w:tr>
        <w:trPr>
          <w:trHeight w:val="519" w:hRule="atLeast"/>
        </w:trPr>
        <w:tc>
          <w:tcPr>
            <w:tcW w:w="190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6.4.3</w:t>
            </w:r>
          </w:p>
        </w:tc>
        <w:tc>
          <w:tcPr>
            <w:tcW w:w="3015" w:type="dxa"/>
            <w:gridSpan w:val="2"/>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color w:val="000000"/>
                <w:sz w:val="16"/>
                <w:szCs w:val="16"/>
              </w:rPr>
              <w:t>Склад №50</w:t>
            </w:r>
          </w:p>
        </w:tc>
        <w:tc>
          <w:tcPr>
            <w:tcW w:w="10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sz w:val="16"/>
                <w:szCs w:val="16"/>
              </w:rPr>
              <w:t>Помещение 1</w:t>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62" w:hRule="atLeast"/>
        </w:trPr>
        <w:tc>
          <w:tcPr>
            <w:tcW w:w="19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0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5</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558" w:hRule="atLeast"/>
        </w:trPr>
        <w:tc>
          <w:tcPr>
            <w:tcW w:w="19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rPr/>
            </w:pPr>
            <w:r>
              <w:rPr/>
            </w:r>
          </w:p>
        </w:tc>
        <w:tc>
          <w:tcPr>
            <w:tcW w:w="10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sz w:val="16"/>
                <w:szCs w:val="16"/>
              </w:rPr>
              <w:t>Помещение 2</w:t>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8</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62" w:hRule="atLeast"/>
        </w:trPr>
        <w:tc>
          <w:tcPr>
            <w:tcW w:w="19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301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0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6"/>
                <w:szCs w:val="16"/>
                <w:lang w:eastAsia="ru-RU"/>
              </w:rPr>
            </w:pPr>
            <w:r>
              <w:rPr>
                <w:color w:val="000000"/>
                <w:sz w:val="16"/>
                <w:szCs w:val="16"/>
                <w:lang w:eastAsia="ru-RU"/>
              </w:rPr>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424" w:hRule="atLeast"/>
        </w:trPr>
        <w:tc>
          <w:tcPr>
            <w:tcW w:w="190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6.4.4</w:t>
            </w:r>
          </w:p>
        </w:tc>
        <w:tc>
          <w:tcPr>
            <w:tcW w:w="4055"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rPr>
              <w:t>Склад №56</w:t>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340" w:hRule="atLeast"/>
        </w:trPr>
        <w:tc>
          <w:tcPr>
            <w:tcW w:w="19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055"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4</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rHeight w:val="424" w:hRule="atLeast"/>
        </w:trPr>
        <w:tc>
          <w:tcPr>
            <w:tcW w:w="190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6.4.5</w:t>
            </w:r>
          </w:p>
        </w:tc>
        <w:tc>
          <w:tcPr>
            <w:tcW w:w="4055"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color w:val="000000"/>
                <w:sz w:val="16"/>
                <w:szCs w:val="16"/>
              </w:rPr>
              <w:t>Склад №54</w:t>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3</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val="en-US" w:eastAsia="ru-RU"/>
              </w:rPr>
              <w:t>VI</w:t>
            </w:r>
          </w:p>
        </w:tc>
        <w:tc>
          <w:tcPr>
            <w:tcW w:w="14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Verdana" w:hAnsi="Verdana" w:cs="Verdana"/>
                <w:sz w:val="16"/>
                <w:szCs w:val="16"/>
              </w:rPr>
            </w:pPr>
            <w:r>
              <w:rPr>
                <w:rFonts w:eastAsia="Verdana" w:cs="Verdana" w:ascii="Verdana" w:hAnsi="Verdana"/>
                <w:sz w:val="16"/>
                <w:szCs w:val="16"/>
              </w:rPr>
              <w:t>0,71</w:t>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раб.поверхности</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200</w:t>
            </w:r>
          </w:p>
        </w:tc>
      </w:tr>
      <w:tr>
        <w:trPr>
          <w:trHeight w:val="491" w:hRule="atLeast"/>
        </w:trPr>
        <w:tc>
          <w:tcPr>
            <w:tcW w:w="19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4055"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1981"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2</w:t>
            </w:r>
          </w:p>
        </w:tc>
        <w:tc>
          <w:tcPr>
            <w:tcW w:w="1797"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проход</w:t>
            </w:r>
          </w:p>
        </w:tc>
        <w:tc>
          <w:tcPr>
            <w:tcW w:w="1479" w:type="dxa"/>
            <w:tcBorders>
              <w:top w:val="single" w:sz="4" w:space="0" w:color="000000"/>
              <w:start w:val="single" w:sz="4" w:space="0" w:color="000000"/>
              <w:bottom w:val="single" w:sz="4" w:space="0" w:color="000000"/>
              <w:end w:val="single" w:sz="4" w:space="0" w:color="000000"/>
            </w:tcBorders>
            <w:vAlign w:val="center"/>
          </w:tcPr>
          <w:p>
            <w:pPr>
              <w:pStyle w:val="Normal"/>
              <w:rPr>
                <w:rFonts w:ascii="Verdana" w:hAnsi="Verdana" w:cs="Verdana"/>
                <w:sz w:val="16"/>
                <w:szCs w:val="16"/>
              </w:rPr>
            </w:pPr>
            <w:r>
              <w:rPr>
                <w:rFonts w:cs="Verdana" w:ascii="Verdana" w:hAnsi="Verdana"/>
                <w:sz w:val="16"/>
                <w:szCs w:val="16"/>
              </w:rPr>
            </w:r>
          </w:p>
        </w:tc>
        <w:tc>
          <w:tcPr>
            <w:tcW w:w="175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color w:val="000000"/>
                <w:sz w:val="16"/>
                <w:szCs w:val="16"/>
              </w:rPr>
            </w:pPr>
            <w:r>
              <w:rPr>
                <w:rFonts w:eastAsia="Verdana" w:cs="Verdana" w:ascii="Verdana" w:hAnsi="Verdana"/>
                <w:color w:val="000000"/>
                <w:sz w:val="16"/>
                <w:szCs w:val="16"/>
                <w:lang w:eastAsia="ru-RU"/>
              </w:rPr>
              <w:t>На полу</w:t>
            </w:r>
          </w:p>
        </w:tc>
        <w:tc>
          <w:tcPr>
            <w:tcW w:w="15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jc w:val="center"/>
              <w:rPr>
                <w:rFonts w:ascii="Verdana" w:hAnsi="Verdana" w:cs="Verdana"/>
                <w:sz w:val="16"/>
                <w:szCs w:val="16"/>
              </w:rPr>
            </w:pPr>
            <w:r>
              <w:rPr>
                <w:rFonts w:eastAsia="Verdana" w:cs="Verdana" w:ascii="Verdana" w:hAnsi="Verdana"/>
                <w:sz w:val="16"/>
                <w:szCs w:val="16"/>
              </w:rPr>
              <w:t>100</w:t>
            </w:r>
          </w:p>
        </w:tc>
      </w:tr>
      <w:tr>
        <w:trPr/>
        <w:tc>
          <w:tcPr>
            <w:tcW w:w="1903" w:type="dxa"/>
            <w:tcBorders/>
          </w:tcPr>
          <w:p>
            <w:pPr>
              <w:pStyle w:val="BodyText"/>
              <w:spacing w:before="0" w:after="0"/>
              <w:jc w:val="start"/>
              <w:rPr>
                <w:rFonts w:ascii="Verdana" w:hAnsi="Verdana" w:cs="Verdana"/>
                <w:sz w:val="22"/>
                <w:szCs w:val="22"/>
              </w:rPr>
            </w:pPr>
            <w:r>
              <w:rPr>
                <w:rFonts w:cs="Verdana" w:ascii="Verdana" w:hAnsi="Verdana"/>
                <w:sz w:val="22"/>
                <w:szCs w:val="22"/>
              </w:rPr>
            </w:r>
          </w:p>
        </w:tc>
        <w:tc>
          <w:tcPr>
            <w:tcW w:w="1123" w:type="dxa"/>
            <w:tcBorders/>
          </w:tcPr>
          <w:p>
            <w:pPr>
              <w:pStyle w:val="BodyText"/>
              <w:spacing w:before="0" w:after="0"/>
              <w:jc w:val="start"/>
              <w:rPr>
                <w:rFonts w:ascii="Verdana" w:hAnsi="Verdana" w:cs="Verdana"/>
                <w:sz w:val="22"/>
                <w:szCs w:val="22"/>
              </w:rPr>
            </w:pPr>
            <w:r>
              <w:rPr>
                <w:rFonts w:cs="Verdana" w:ascii="Verdana" w:hAnsi="Verdana"/>
                <w:sz w:val="22"/>
                <w:szCs w:val="22"/>
              </w:rPr>
            </w:r>
          </w:p>
        </w:tc>
        <w:tc>
          <w:tcPr>
            <w:tcW w:w="10282" w:type="dxa"/>
            <w:gridSpan w:val="8"/>
            <w:tcBorders/>
          </w:tcPr>
          <w:p>
            <w:pPr>
              <w:pStyle w:val="BodyText"/>
              <w:spacing w:before="0" w:after="0"/>
              <w:jc w:val="start"/>
              <w:rPr>
                <w:rFonts w:ascii="Verdana" w:hAnsi="Verdana" w:cs="Verdana"/>
                <w:sz w:val="22"/>
                <w:szCs w:val="22"/>
              </w:rPr>
            </w:pPr>
            <w:r>
              <w:rPr>
                <w:rFonts w:cs="Verdana" w:ascii="Verdana" w:hAnsi="Verdana"/>
                <w:sz w:val="22"/>
                <w:szCs w:val="22"/>
              </w:rPr>
            </w:r>
          </w:p>
        </w:tc>
        <w:tc>
          <w:tcPr>
            <w:tcW w:w="1222" w:type="dxa"/>
            <w:tcBorders/>
          </w:tcPr>
          <w:p>
            <w:pPr>
              <w:pStyle w:val="Normal"/>
              <w:spacing w:lineRule="atLeast" w:line="0" w:before="0" w:after="0"/>
              <w:rPr>
                <w:sz w:val="2"/>
              </w:rPr>
            </w:pPr>
            <w:r>
              <w:rPr>
                <w:sz w:val="2"/>
              </w:rPr>
            </w:r>
          </w:p>
        </w:tc>
      </w:tr>
      <w:tr>
        <w:trPr/>
        <w:tc>
          <w:tcPr>
            <w:tcW w:w="1903" w:type="dxa"/>
            <w:tcBorders/>
          </w:tcPr>
          <w:p>
            <w:pPr>
              <w:pStyle w:val="Normal"/>
              <w:jc w:val="both"/>
              <w:rPr>
                <w:rFonts w:ascii="Verdana" w:hAnsi="Verdana" w:cs="Verdana"/>
                <w:sz w:val="22"/>
                <w:szCs w:val="22"/>
              </w:rPr>
            </w:pPr>
            <w:r>
              <w:rPr>
                <w:rFonts w:cs="Verdana" w:ascii="Verdana" w:hAnsi="Verdana"/>
                <w:sz w:val="22"/>
                <w:szCs w:val="22"/>
              </w:rPr>
            </w:r>
          </w:p>
        </w:tc>
        <w:tc>
          <w:tcPr>
            <w:tcW w:w="1123" w:type="dxa"/>
            <w:tcBorders/>
          </w:tcPr>
          <w:p>
            <w:pPr>
              <w:pStyle w:val="Normal"/>
              <w:jc w:val="both"/>
              <w:rPr>
                <w:rFonts w:ascii="Verdana" w:hAnsi="Verdana" w:cs="Verdana"/>
                <w:sz w:val="22"/>
                <w:szCs w:val="22"/>
              </w:rPr>
            </w:pPr>
            <w:r>
              <w:rPr>
                <w:rFonts w:cs="Verdana" w:ascii="Verdana" w:hAnsi="Verdana"/>
                <w:sz w:val="22"/>
                <w:szCs w:val="22"/>
              </w:rPr>
            </w:r>
          </w:p>
        </w:tc>
        <w:tc>
          <w:tcPr>
            <w:tcW w:w="5141" w:type="dxa"/>
            <w:gridSpan w:val="4"/>
            <w:tcBorders/>
          </w:tcPr>
          <w:p>
            <w:pPr>
              <w:pStyle w:val="Normal"/>
              <w:jc w:val="both"/>
              <w:rPr>
                <w:rFonts w:ascii="Verdana" w:hAnsi="Verdana" w:cs="Verdana"/>
                <w:sz w:val="22"/>
                <w:szCs w:val="22"/>
              </w:rPr>
            </w:pPr>
            <w:r>
              <w:rPr>
                <w:rFonts w:cs="Verdana" w:ascii="Verdana" w:hAnsi="Verdana"/>
                <w:sz w:val="22"/>
                <w:szCs w:val="22"/>
              </w:rPr>
            </w:r>
          </w:p>
        </w:tc>
        <w:tc>
          <w:tcPr>
            <w:tcW w:w="5141" w:type="dxa"/>
            <w:gridSpan w:val="4"/>
            <w:tcBorders/>
          </w:tcPr>
          <w:p>
            <w:pPr>
              <w:pStyle w:val="BodyText"/>
              <w:spacing w:before="0" w:after="0"/>
              <w:jc w:val="start"/>
              <w:rPr>
                <w:rFonts w:ascii="Verdana" w:hAnsi="Verdana" w:cs="Verdana"/>
                <w:sz w:val="22"/>
                <w:szCs w:val="22"/>
              </w:rPr>
            </w:pPr>
            <w:r>
              <w:rPr>
                <w:rFonts w:cs="Verdana" w:ascii="Verdana" w:hAnsi="Verdana"/>
                <w:sz w:val="22"/>
                <w:szCs w:val="22"/>
              </w:rPr>
            </w:r>
          </w:p>
        </w:tc>
        <w:tc>
          <w:tcPr>
            <w:tcW w:w="1222" w:type="dxa"/>
            <w:tcBorders/>
          </w:tcPr>
          <w:p>
            <w:pPr>
              <w:pStyle w:val="Normal"/>
              <w:spacing w:lineRule="atLeast" w:line="0" w:before="0" w:after="0"/>
              <w:rPr>
                <w:sz w:val="2"/>
              </w:rPr>
            </w:pPr>
            <w:r>
              <w:rPr>
                <w:sz w:val="2"/>
              </w:rPr>
            </w:r>
          </w:p>
        </w:tc>
      </w:tr>
    </w:tbl>
    <w:p>
      <w:pPr>
        <w:sectPr>
          <w:footerReference w:type="default" r:id="rId15"/>
          <w:footerReference w:type="first" r:id="rId16"/>
          <w:type w:val="nextPage"/>
          <w:pgSz w:orient="landscape" w:w="16838" w:h="11906"/>
          <w:pgMar w:left="993" w:right="1134" w:gutter="0" w:header="0" w:top="1134" w:footer="709" w:bottom="766"/>
          <w:pgNumType w:fmt="decimal"/>
          <w:formProt w:val="false"/>
          <w:textDirection w:val="lrTb"/>
          <w:docGrid w:type="default" w:linePitch="360" w:charSpace="0"/>
        </w:sectPr>
      </w:pPr>
    </w:p>
    <w:p>
      <w:pPr>
        <w:pStyle w:val="Normal"/>
        <w:ind w:start="426"/>
        <w:jc w:val="end"/>
        <w:rPr>
          <w:szCs w:val="22"/>
        </w:rPr>
      </w:pPr>
      <w:r>
        <w:rPr>
          <w:szCs w:val="22"/>
        </w:rPr>
        <w:t xml:space="preserve">Приложение 2 к приложению № 7 </w:t>
      </w:r>
    </w:p>
    <w:p>
      <w:pPr>
        <w:pStyle w:val="Normal"/>
        <w:jc w:val="end"/>
        <w:rPr/>
      </w:pPr>
      <w:r>
        <w:rPr/>
        <w:t>к Техническому заданию</w:t>
      </w:r>
    </w:p>
    <w:p>
      <w:pPr>
        <w:pStyle w:val="Normal"/>
        <w:spacing w:lineRule="auto" w:line="276"/>
        <w:ind w:firstLine="993" w:start="-284"/>
        <w:jc w:val="center"/>
        <w:rPr>
          <w:rFonts w:ascii="Verdana" w:hAnsi="Verdana"/>
          <w:iCs/>
        </w:rPr>
      </w:pPr>
      <w:r>
        <w:rPr>
          <w:rFonts w:ascii="Verdana" w:hAnsi="Verdana"/>
          <w:iCs/>
        </w:rPr>
        <w:t xml:space="preserve">Форма </w:t>
      </w:r>
    </w:p>
    <w:p>
      <w:pPr>
        <w:pStyle w:val="Normal"/>
        <w:spacing w:lineRule="auto" w:line="276"/>
        <w:ind w:firstLine="993" w:start="-284"/>
        <w:jc w:val="center"/>
        <w:rPr>
          <w:rFonts w:ascii="Verdana" w:hAnsi="Verdana"/>
          <w:iCs/>
        </w:rPr>
      </w:pPr>
      <w:r>
        <w:rPr>
          <w:rFonts w:ascii="Verdana" w:hAnsi="Verdana"/>
          <w:iCs/>
        </w:rPr>
        <w:t>протокола измерений освещенности в производственных, общественных и жилых помещениях</w:t>
      </w:r>
    </w:p>
    <w:p>
      <w:pPr>
        <w:pStyle w:val="Normal"/>
        <w:tabs>
          <w:tab w:val="clear" w:pos="369"/>
          <w:tab w:val="left" w:pos="9681" w:leader="underscore"/>
        </w:tabs>
        <w:rPr>
          <w:rFonts w:ascii="Verdana" w:hAnsi="Verdana"/>
        </w:rPr>
      </w:pPr>
      <w:r>
        <w:rPr>
          <w:rFonts w:ascii="Verdana" w:hAnsi="Verdana"/>
          <w:color w:val="000000"/>
          <w:lang w:eastAsia="ru-RU" w:bidi="ru-RU"/>
        </w:rPr>
        <w:t>Наименование (номер) помещения _______________________________________</w:t>
      </w:r>
    </w:p>
    <w:p>
      <w:pPr>
        <w:pStyle w:val="Normal"/>
        <w:tabs>
          <w:tab w:val="clear" w:pos="369"/>
          <w:tab w:val="left" w:pos="8942" w:leader="underscore"/>
        </w:tabs>
        <w:rPr>
          <w:rFonts w:ascii="Verdana" w:hAnsi="Verdana"/>
        </w:rPr>
      </w:pPr>
      <w:bookmarkStart w:id="14" w:name="_Hlk212625830"/>
      <w:r>
        <w:rPr>
          <w:rFonts w:ascii="Verdana" w:hAnsi="Verdana"/>
          <w:color w:val="000000"/>
          <w:lang w:eastAsia="ru-RU" w:bidi="ru-RU"/>
        </w:rPr>
        <w:t>Геометрические параметры помещения ___________________________________</w:t>
      </w:r>
      <w:bookmarkEnd w:id="14"/>
    </w:p>
    <w:p>
      <w:pPr>
        <w:pStyle w:val="Normal"/>
        <w:tabs>
          <w:tab w:val="clear" w:pos="369"/>
          <w:tab w:val="left" w:pos="4129" w:leader="underscore"/>
          <w:tab w:val="left" w:pos="4543" w:leader="none"/>
          <w:tab w:val="left" w:pos="6696" w:leader="underscore"/>
        </w:tabs>
        <w:rPr>
          <w:rFonts w:ascii="Verdana" w:hAnsi="Verdana"/>
        </w:rPr>
      </w:pPr>
      <w:r>
        <w:rPr>
          <w:rFonts w:ascii="Verdana" w:hAnsi="Verdana"/>
          <w:color w:val="000000"/>
          <w:lang w:eastAsia="ru-RU" w:bidi="ru-RU"/>
        </w:rPr>
        <w:t>Индекс помещения ____________________________________________________</w:t>
      </w:r>
    </w:p>
    <w:p>
      <w:pPr>
        <w:pStyle w:val="Normal"/>
        <w:tabs>
          <w:tab w:val="clear" w:pos="369"/>
          <w:tab w:val="left" w:pos="9681" w:leader="underscore"/>
        </w:tabs>
        <w:rPr>
          <w:rFonts w:ascii="Verdana" w:hAnsi="Verdana"/>
        </w:rPr>
      </w:pPr>
      <w:bookmarkStart w:id="15" w:name="_Hlk212627243"/>
      <w:bookmarkEnd w:id="15"/>
      <w:r>
        <w:rPr>
          <w:rFonts w:ascii="Verdana" w:hAnsi="Verdana"/>
          <w:color w:val="000000"/>
          <w:lang w:eastAsia="ru-RU" w:bidi="ru-RU"/>
        </w:rPr>
        <w:t>Дата проведения измерений ____________________________________________</w:t>
      </w:r>
    </w:p>
    <w:p>
      <w:pPr>
        <w:pStyle w:val="Normal"/>
        <w:rPr>
          <w:rFonts w:ascii="Verdana" w:hAnsi="Verdana"/>
        </w:rPr>
      </w:pPr>
      <w:bookmarkStart w:id="16" w:name="_Hlk212627243"/>
      <w:bookmarkStart w:id="17" w:name="_Hlk212625944"/>
      <w:bookmarkEnd w:id="16"/>
      <w:r>
        <w:rPr>
          <w:rFonts w:ascii="Verdana" w:hAnsi="Verdana"/>
          <w:color w:val="000000"/>
          <w:lang w:eastAsia="ru-RU" w:bidi="ru-RU"/>
        </w:rPr>
        <w:t>Название и номер прибора для измерения _________________________________</w:t>
      </w:r>
      <w:bookmarkEnd w:id="17"/>
    </w:p>
    <w:p>
      <w:pPr>
        <w:pStyle w:val="Normal"/>
        <w:tabs>
          <w:tab w:val="clear" w:pos="369"/>
          <w:tab w:val="left" w:pos="9403" w:leader="underscore"/>
        </w:tabs>
        <w:rPr>
          <w:rFonts w:ascii="Verdana" w:hAnsi="Verdana"/>
        </w:rPr>
      </w:pPr>
      <w:r>
        <w:rPr>
          <w:rFonts w:ascii="Verdana" w:hAnsi="Verdana"/>
          <w:color w:val="000000"/>
          <w:lang w:eastAsia="ru-RU" w:bidi="ru-RU"/>
        </w:rPr>
        <w:t>Номер и дата свидетельства о поверке ____________________________________</w:t>
      </w:r>
    </w:p>
    <w:p>
      <w:pPr>
        <w:pStyle w:val="Normal"/>
        <w:tabs>
          <w:tab w:val="clear" w:pos="369"/>
          <w:tab w:val="left" w:pos="1890" w:leader="none"/>
          <w:tab w:val="left" w:pos="4968" w:leader="underscore"/>
          <w:tab w:val="left" w:pos="5609" w:leader="underscore"/>
          <w:tab w:val="left" w:pos="6696" w:leader="none"/>
          <w:tab w:val="left" w:pos="9681" w:leader="underscore"/>
        </w:tabs>
        <w:rPr>
          <w:rFonts w:ascii="Verdana" w:hAnsi="Verdana"/>
        </w:rPr>
      </w:pPr>
      <w:r>
        <w:rPr>
          <w:rFonts w:ascii="Verdana" w:hAnsi="Verdana"/>
          <w:color w:val="000000"/>
          <w:lang w:eastAsia="ru-RU" w:bidi="ru-RU"/>
        </w:rPr>
        <w:t xml:space="preserve">Напряжение сети: _____________________________________________________      </w:t>
      </w:r>
    </w:p>
    <w:p>
      <w:pPr>
        <w:pStyle w:val="Normal"/>
        <w:tabs>
          <w:tab w:val="clear" w:pos="369"/>
          <w:tab w:val="left" w:pos="7424" w:leader="none"/>
        </w:tabs>
        <w:rPr>
          <w:rFonts w:ascii="Verdana" w:hAnsi="Verdana"/>
        </w:rPr>
      </w:pPr>
      <w:r>
        <w:rPr>
          <w:rFonts w:ascii="Verdana" w:hAnsi="Verdana"/>
          <w:color w:val="000000"/>
          <w:lang w:eastAsia="ru-RU" w:bidi="ru-RU"/>
        </w:rPr>
        <w:t xml:space="preserve">                                </w:t>
      </w:r>
      <w:r>
        <w:rPr>
          <w:rFonts w:ascii="Verdana" w:hAnsi="Verdana"/>
          <w:color w:val="000000"/>
          <w:lang w:eastAsia="ru-RU" w:bidi="ru-RU"/>
        </w:rPr>
        <w:t>(в начале измерения)                      (в конце измерения)</w:t>
      </w:r>
    </w:p>
    <w:p>
      <w:pPr>
        <w:pStyle w:val="Normal"/>
        <w:tabs>
          <w:tab w:val="clear" w:pos="369"/>
          <w:tab w:val="left" w:pos="5908" w:leader="none"/>
          <w:tab w:val="left" w:pos="6696" w:leader="underscore"/>
          <w:tab w:val="left" w:pos="7424" w:leader="underscore"/>
          <w:tab w:val="left" w:pos="9681" w:leader="underscore"/>
        </w:tabs>
        <w:rPr>
          <w:rFonts w:ascii="Verdana" w:hAnsi="Verdana"/>
        </w:rPr>
      </w:pPr>
      <w:bookmarkStart w:id="18" w:name="_Hlk212626006"/>
      <w:bookmarkEnd w:id="18"/>
      <w:r>
        <w:rPr>
          <w:rFonts w:ascii="Verdana" w:hAnsi="Verdana"/>
          <w:color w:val="000000"/>
          <w:lang w:eastAsia="ru-RU" w:bidi="ru-RU"/>
        </w:rPr>
        <w:t>Наименование действующего нормативного документа _______________________</w:t>
      </w:r>
    </w:p>
    <w:p>
      <w:pPr>
        <w:pStyle w:val="Normal"/>
        <w:rPr/>
      </w:pPr>
      <w:bookmarkStart w:id="19" w:name="_Hlk212626006"/>
      <w:bookmarkStart w:id="20" w:name="_Hlk212626021"/>
      <w:bookmarkEnd w:id="19"/>
      <w:r>
        <w:rPr>
          <w:rFonts w:ascii="Verdana" w:hAnsi="Verdana"/>
          <w:color w:val="000000"/>
          <w:lang w:eastAsia="ru-RU" w:bidi="ru-RU"/>
        </w:rPr>
        <w:t>Состояние осветительной установки ______________________________________</w:t>
      </w:r>
      <w:bookmarkEnd w:id="20"/>
    </w:p>
    <w:tbl>
      <w:tblPr>
        <w:tblStyle w:val="afff1"/>
        <w:tblW w:w="10060" w:type="dxa"/>
        <w:jc w:val="start"/>
        <w:tblInd w:w="-284" w:type="dxa"/>
        <w:tblLayout w:type="fixed"/>
        <w:tblCellMar>
          <w:top w:w="0" w:type="dxa"/>
          <w:start w:w="108" w:type="dxa"/>
          <w:bottom w:w="0" w:type="dxa"/>
          <w:end w:w="108" w:type="dxa"/>
        </w:tblCellMar>
        <w:tblLook w:val="04a0" w:noHBand="0" w:noVBand="1" w:firstColumn="1" w:lastRow="0" w:lastColumn="0" w:firstRow="1"/>
      </w:tblPr>
      <w:tblGrid>
        <w:gridCol w:w="535"/>
        <w:gridCol w:w="1444"/>
        <w:gridCol w:w="993"/>
        <w:gridCol w:w="568"/>
        <w:gridCol w:w="567"/>
        <w:gridCol w:w="849"/>
        <w:gridCol w:w="567"/>
        <w:gridCol w:w="568"/>
        <w:gridCol w:w="851"/>
        <w:gridCol w:w="566"/>
        <w:gridCol w:w="568"/>
        <w:gridCol w:w="850"/>
        <w:gridCol w:w="1134"/>
      </w:tblGrid>
      <w:tr>
        <w:trPr>
          <w:trHeight w:val="251" w:hRule="atLeast"/>
          <w:cantSplit w:val="true"/>
        </w:trPr>
        <w:tc>
          <w:tcPr>
            <w:tcW w:w="535" w:type="dxa"/>
            <w:vMerge w:val="restart"/>
            <w:tcBorders/>
            <w:textDirection w:val="btLr"/>
            <w:vAlign w:val="center"/>
          </w:tcPr>
          <w:p>
            <w:pPr>
              <w:pStyle w:val="Normal"/>
              <w:widowControl/>
              <w:spacing w:lineRule="exact" w:line="313" w:before="0" w:after="0"/>
              <w:jc w:val="center"/>
              <w:rPr>
                <w:rFonts w:ascii="Verdana" w:hAnsi="Verdana"/>
                <w:color w:val="000000"/>
                <w:sz w:val="16"/>
                <w:szCs w:val="16"/>
                <w:lang w:eastAsia="ru-RU" w:bidi="ru-RU"/>
              </w:rPr>
            </w:pPr>
            <w:r>
              <w:rPr>
                <w:rFonts w:eastAsia="Times New Roman" w:cs="Times New Roman" w:ascii="Verdana" w:hAnsi="Verdana"/>
                <w:color w:val="000000"/>
                <w:kern w:val="0"/>
                <w:sz w:val="16"/>
                <w:szCs w:val="16"/>
                <w:lang w:val="ru-RU" w:eastAsia="ru-RU" w:bidi="ru-RU"/>
              </w:rPr>
              <w:t>Номера</w:t>
            </w:r>
            <w:r>
              <w:rPr>
                <w:rFonts w:eastAsia="Times New Roman" w:cs="Times New Roman" w:ascii="Verdana" w:hAnsi="Verdana"/>
                <w:kern w:val="0"/>
                <w:sz w:val="16"/>
                <w:szCs w:val="16"/>
                <w:lang w:val="ru-RU" w:bidi="ar-SA"/>
              </w:rPr>
              <w:t xml:space="preserve"> </w:t>
            </w:r>
            <w:r>
              <w:rPr>
                <w:rFonts w:eastAsia="Times New Roman" w:cs="Times New Roman" w:ascii="Verdana" w:hAnsi="Verdana"/>
                <w:color w:val="000000"/>
                <w:kern w:val="0"/>
                <w:sz w:val="16"/>
                <w:szCs w:val="16"/>
                <w:lang w:val="ru-RU" w:eastAsia="ru-RU" w:bidi="ru-RU"/>
              </w:rPr>
              <w:t>конт</w:t>
            </w:r>
            <w:r>
              <w:rPr>
                <w:rFonts w:eastAsia="Times New Roman" w:cs="Times New Roman" w:ascii="Verdana" w:hAnsi="Verdana"/>
                <w:kern w:val="0"/>
                <w:sz w:val="16"/>
                <w:szCs w:val="16"/>
                <w:lang w:val="ru-RU" w:bidi="ar-SA"/>
              </w:rPr>
              <w:t>р</w:t>
            </w:r>
            <w:r>
              <w:rPr>
                <w:rFonts w:eastAsia="Times New Roman" w:cs="Times New Roman" w:ascii="Verdana" w:hAnsi="Verdana"/>
                <w:color w:val="000000"/>
                <w:kern w:val="0"/>
                <w:sz w:val="16"/>
                <w:szCs w:val="16"/>
                <w:lang w:val="ru-RU" w:eastAsia="ru-RU" w:bidi="ru-RU"/>
              </w:rPr>
              <w:t>ольных</w:t>
            </w:r>
            <w:r>
              <w:rPr>
                <w:rFonts w:eastAsia="Times New Roman" w:cs="Times New Roman" w:ascii="Verdana" w:hAnsi="Verdana"/>
                <w:kern w:val="0"/>
                <w:sz w:val="16"/>
                <w:szCs w:val="16"/>
                <w:lang w:val="ru-RU" w:bidi="ar-SA"/>
              </w:rPr>
              <w:t xml:space="preserve"> </w:t>
            </w:r>
            <w:r>
              <w:rPr>
                <w:rFonts w:eastAsia="Times New Roman" w:cs="Times New Roman" w:ascii="Verdana" w:hAnsi="Verdana"/>
                <w:color w:val="000000"/>
                <w:kern w:val="0"/>
                <w:sz w:val="16"/>
                <w:szCs w:val="16"/>
                <w:lang w:val="ru-RU" w:eastAsia="ru-RU" w:bidi="ru-RU"/>
              </w:rPr>
              <w:t>точек</w:t>
            </w:r>
          </w:p>
        </w:tc>
        <w:tc>
          <w:tcPr>
            <w:tcW w:w="1444" w:type="dxa"/>
            <w:vMerge w:val="restart"/>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Место измерения, наименование рабочей поверхности</w:t>
            </w:r>
          </w:p>
        </w:tc>
        <w:tc>
          <w:tcPr>
            <w:tcW w:w="993" w:type="dxa"/>
            <w:vMerge w:val="restart"/>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Плоскость измерения (горизонтальная, вертикальная, наклонная) - высота от пола, м</w:t>
            </w:r>
          </w:p>
        </w:tc>
        <w:tc>
          <w:tcPr>
            <w:tcW w:w="5954" w:type="dxa"/>
            <w:gridSpan w:val="9"/>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Освещенность, лк</w:t>
            </w:r>
          </w:p>
        </w:tc>
        <w:tc>
          <w:tcPr>
            <w:tcW w:w="1134" w:type="dxa"/>
            <w:vMerge w:val="restart"/>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Заключение о степени соответствия освещенности на рабочем месте по действующим нормам</w:t>
            </w:r>
          </w:p>
        </w:tc>
      </w:tr>
      <w:tr>
        <w:trPr>
          <w:trHeight w:val="251" w:hRule="atLeast"/>
          <w:cantSplit w:val="true"/>
        </w:trPr>
        <w:tc>
          <w:tcPr>
            <w:tcW w:w="535" w:type="dxa"/>
            <w:vMerge w:val="continue"/>
            <w:tcBorders/>
            <w:textDirection w:val="btLr"/>
            <w:vAlign w:val="center"/>
          </w:tcPr>
          <w:p>
            <w:pPr>
              <w:pStyle w:val="Normal"/>
              <w:widowControl/>
              <w:spacing w:lineRule="exact" w:line="313" w:before="0" w:after="0"/>
              <w:jc w:val="center"/>
              <w:rPr>
                <w:rFonts w:ascii="Verdana" w:hAnsi="Verdana"/>
                <w:iCs/>
                <w:sz w:val="16"/>
                <w:szCs w:val="16"/>
              </w:rPr>
            </w:pPr>
            <w:r>
              <w:rPr>
                <w:rFonts w:eastAsia="Times New Roman" w:cs="Times New Roman" w:ascii="Verdana" w:hAnsi="Verdana"/>
                <w:iCs/>
                <w:kern w:val="0"/>
                <w:sz w:val="16"/>
                <w:szCs w:val="16"/>
                <w:lang w:val="ru-RU" w:bidi="ar-SA"/>
              </w:rPr>
            </w:r>
          </w:p>
        </w:tc>
        <w:tc>
          <w:tcPr>
            <w:tcW w:w="1444" w:type="dxa"/>
            <w:vMerge w:val="continue"/>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r>
          </w:p>
        </w:tc>
        <w:tc>
          <w:tcPr>
            <w:tcW w:w="993" w:type="dxa"/>
            <w:vMerge w:val="continue"/>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r>
          </w:p>
        </w:tc>
        <w:tc>
          <w:tcPr>
            <w:tcW w:w="1984" w:type="dxa"/>
            <w:gridSpan w:val="3"/>
            <w:tcBorders/>
          </w:tcPr>
          <w:p>
            <w:pPr>
              <w:pStyle w:val="Normal"/>
              <w:widowControl/>
              <w:spacing w:lineRule="exact" w:line="200" w:before="0" w:after="0"/>
              <w:jc w:val="center"/>
              <w:rPr>
                <w:sz w:val="16"/>
                <w:szCs w:val="16"/>
              </w:rPr>
            </w:pPr>
            <w:r>
              <w:rPr>
                <w:rStyle w:val="82"/>
                <w:rFonts w:ascii="Times New Roman" w:hAnsi="Times New Roman"/>
                <w:kern w:val="0"/>
                <w:sz w:val="16"/>
                <w:szCs w:val="16"/>
              </w:rPr>
              <w:t>Измеренная</w:t>
            </w:r>
          </w:p>
        </w:tc>
        <w:tc>
          <w:tcPr>
            <w:tcW w:w="1986" w:type="dxa"/>
            <w:gridSpan w:val="3"/>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Фактическая</w:t>
            </w:r>
          </w:p>
        </w:tc>
        <w:tc>
          <w:tcPr>
            <w:tcW w:w="1984" w:type="dxa"/>
            <w:gridSpan w:val="3"/>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Нормируемая</w:t>
            </w:r>
          </w:p>
        </w:tc>
        <w:tc>
          <w:tcPr>
            <w:tcW w:w="1134"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r>
      <w:tr>
        <w:trPr>
          <w:trHeight w:val="259" w:hRule="atLeast"/>
          <w:cantSplit w:val="true"/>
        </w:trPr>
        <w:tc>
          <w:tcPr>
            <w:tcW w:w="535" w:type="dxa"/>
            <w:vMerge w:val="continue"/>
            <w:tcBorders/>
          </w:tcPr>
          <w:p>
            <w:pPr>
              <w:pStyle w:val="Normal"/>
              <w:widowControl/>
              <w:spacing w:lineRule="exact" w:line="313" w:before="0" w:after="0"/>
              <w:jc w:val="center"/>
              <w:rPr>
                <w:rFonts w:ascii="Verdana" w:hAnsi="Verdana"/>
                <w:color w:val="000000"/>
                <w:sz w:val="16"/>
                <w:szCs w:val="16"/>
                <w:lang w:eastAsia="ru-RU" w:bidi="ru-RU"/>
              </w:rPr>
            </w:pPr>
            <w:r>
              <w:rPr>
                <w:rFonts w:eastAsia="Times New Roman" w:cs="Times New Roman" w:ascii="Verdana" w:hAnsi="Verdana"/>
                <w:color w:val="000000"/>
                <w:kern w:val="0"/>
                <w:sz w:val="16"/>
                <w:szCs w:val="16"/>
                <w:lang w:val="ru-RU" w:eastAsia="ru-RU" w:bidi="ru-RU"/>
              </w:rPr>
            </w:r>
          </w:p>
        </w:tc>
        <w:tc>
          <w:tcPr>
            <w:tcW w:w="1444"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c>
          <w:tcPr>
            <w:tcW w:w="993"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c>
          <w:tcPr>
            <w:tcW w:w="1135" w:type="dxa"/>
            <w:gridSpan w:val="2"/>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Комбинированное освещение</w:t>
            </w:r>
          </w:p>
        </w:tc>
        <w:tc>
          <w:tcPr>
            <w:tcW w:w="849" w:type="dxa"/>
            <w:vMerge w:val="restart"/>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Общее освещение</w:t>
            </w:r>
          </w:p>
        </w:tc>
        <w:tc>
          <w:tcPr>
            <w:tcW w:w="1135" w:type="dxa"/>
            <w:gridSpan w:val="2"/>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Комбинированное освещение</w:t>
            </w:r>
          </w:p>
        </w:tc>
        <w:tc>
          <w:tcPr>
            <w:tcW w:w="851" w:type="dxa"/>
            <w:vMerge w:val="restart"/>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Общее освещение</w:t>
            </w:r>
          </w:p>
        </w:tc>
        <w:tc>
          <w:tcPr>
            <w:tcW w:w="1134" w:type="dxa"/>
            <w:gridSpan w:val="2"/>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Комбинированное освещение</w:t>
            </w:r>
          </w:p>
        </w:tc>
        <w:tc>
          <w:tcPr>
            <w:tcW w:w="850" w:type="dxa"/>
            <w:vMerge w:val="restart"/>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Общее освещение</w:t>
            </w:r>
          </w:p>
        </w:tc>
        <w:tc>
          <w:tcPr>
            <w:tcW w:w="1134"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r>
      <w:tr>
        <w:trPr>
          <w:trHeight w:val="2360" w:hRule="atLeast"/>
          <w:cantSplit w:val="true"/>
        </w:trPr>
        <w:tc>
          <w:tcPr>
            <w:tcW w:w="535" w:type="dxa"/>
            <w:vMerge w:val="continue"/>
            <w:tcBorders/>
          </w:tcPr>
          <w:p>
            <w:pPr>
              <w:pStyle w:val="Normal"/>
              <w:widowControl/>
              <w:spacing w:lineRule="exact" w:line="313" w:before="0" w:after="0"/>
              <w:jc w:val="center"/>
              <w:rPr>
                <w:rFonts w:ascii="Verdana" w:hAnsi="Verdana"/>
                <w:color w:val="000000"/>
                <w:sz w:val="16"/>
                <w:szCs w:val="16"/>
                <w:lang w:eastAsia="ru-RU" w:bidi="ru-RU"/>
              </w:rPr>
            </w:pPr>
            <w:r>
              <w:rPr>
                <w:rFonts w:eastAsia="Times New Roman" w:cs="Times New Roman" w:ascii="Verdana" w:hAnsi="Verdana"/>
                <w:color w:val="000000"/>
                <w:kern w:val="0"/>
                <w:sz w:val="16"/>
                <w:szCs w:val="16"/>
                <w:lang w:val="ru-RU" w:eastAsia="ru-RU" w:bidi="ru-RU"/>
              </w:rPr>
            </w:r>
          </w:p>
        </w:tc>
        <w:tc>
          <w:tcPr>
            <w:tcW w:w="1444"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c>
          <w:tcPr>
            <w:tcW w:w="993"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c>
          <w:tcPr>
            <w:tcW w:w="568"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общее</w:t>
            </w:r>
          </w:p>
        </w:tc>
        <w:tc>
          <w:tcPr>
            <w:tcW w:w="567"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общее и местное</w:t>
            </w:r>
          </w:p>
        </w:tc>
        <w:tc>
          <w:tcPr>
            <w:tcW w:w="849" w:type="dxa"/>
            <w:vMerge w:val="continue"/>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r>
          </w:p>
        </w:tc>
        <w:tc>
          <w:tcPr>
            <w:tcW w:w="567" w:type="dxa"/>
            <w:tcBorders/>
            <w:textDirection w:val="btL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общее</w:t>
            </w:r>
          </w:p>
        </w:tc>
        <w:tc>
          <w:tcPr>
            <w:tcW w:w="568" w:type="dxa"/>
            <w:tcBorders/>
            <w:textDirection w:val="btL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общее и местное</w:t>
            </w:r>
          </w:p>
        </w:tc>
        <w:tc>
          <w:tcPr>
            <w:tcW w:w="851" w:type="dxa"/>
            <w:vMerge w:val="continue"/>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r>
          </w:p>
        </w:tc>
        <w:tc>
          <w:tcPr>
            <w:tcW w:w="566" w:type="dxa"/>
            <w:tcBorders/>
            <w:textDirection w:val="btL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общее</w:t>
            </w:r>
          </w:p>
        </w:tc>
        <w:tc>
          <w:tcPr>
            <w:tcW w:w="568" w:type="dxa"/>
            <w:tcBorders/>
            <w:textDirection w:val="btL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общее и местное</w:t>
            </w:r>
          </w:p>
        </w:tc>
        <w:tc>
          <w:tcPr>
            <w:tcW w:w="850" w:type="dxa"/>
            <w:vMerge w:val="continue"/>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r>
          </w:p>
        </w:tc>
        <w:tc>
          <w:tcPr>
            <w:tcW w:w="1134"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r>
      <w:tr>
        <w:trPr>
          <w:trHeight w:val="301" w:hRule="atLeast"/>
          <w:cantSplit w:val="true"/>
        </w:trPr>
        <w:tc>
          <w:tcPr>
            <w:tcW w:w="535" w:type="dxa"/>
            <w:tcBorders/>
            <w:vAlign w:val="center"/>
          </w:tcPr>
          <w:p>
            <w:pPr>
              <w:pStyle w:val="Normal"/>
              <w:widowControl/>
              <w:spacing w:lineRule="exact" w:line="313" w:before="0" w:after="0"/>
              <w:jc w:val="center"/>
              <w:rPr>
                <w:rFonts w:ascii="Verdana" w:hAnsi="Verdana"/>
                <w:color w:val="000000"/>
                <w:sz w:val="16"/>
                <w:szCs w:val="16"/>
                <w:lang w:eastAsia="ru-RU" w:bidi="ru-RU"/>
              </w:rPr>
            </w:pPr>
            <w:r>
              <w:rPr>
                <w:rFonts w:eastAsia="Times New Roman" w:cs="Times New Roman" w:ascii="Verdana" w:hAnsi="Verdana"/>
                <w:color w:val="000000"/>
                <w:kern w:val="0"/>
                <w:sz w:val="16"/>
                <w:szCs w:val="16"/>
                <w:lang w:val="ru-RU" w:eastAsia="ru-RU" w:bidi="ru-RU"/>
              </w:rPr>
              <w:t>1</w:t>
            </w:r>
          </w:p>
        </w:tc>
        <w:tc>
          <w:tcPr>
            <w:tcW w:w="1444"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2</w:t>
            </w:r>
          </w:p>
        </w:tc>
        <w:tc>
          <w:tcPr>
            <w:tcW w:w="993"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3</w:t>
            </w:r>
          </w:p>
        </w:tc>
        <w:tc>
          <w:tcPr>
            <w:tcW w:w="568"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4</w:t>
            </w:r>
          </w:p>
        </w:tc>
        <w:tc>
          <w:tcPr>
            <w:tcW w:w="567"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5</w:t>
            </w:r>
          </w:p>
        </w:tc>
        <w:tc>
          <w:tcPr>
            <w:tcW w:w="849"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6</w:t>
            </w:r>
          </w:p>
        </w:tc>
        <w:tc>
          <w:tcPr>
            <w:tcW w:w="567"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7</w:t>
            </w:r>
          </w:p>
        </w:tc>
        <w:tc>
          <w:tcPr>
            <w:tcW w:w="568"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8</w:t>
            </w:r>
          </w:p>
        </w:tc>
        <w:tc>
          <w:tcPr>
            <w:tcW w:w="851"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9</w:t>
            </w:r>
          </w:p>
        </w:tc>
        <w:tc>
          <w:tcPr>
            <w:tcW w:w="566"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10</w:t>
            </w:r>
          </w:p>
        </w:tc>
        <w:tc>
          <w:tcPr>
            <w:tcW w:w="568"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11</w:t>
            </w:r>
          </w:p>
        </w:tc>
        <w:tc>
          <w:tcPr>
            <w:tcW w:w="850"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12</w:t>
            </w:r>
          </w:p>
        </w:tc>
        <w:tc>
          <w:tcPr>
            <w:tcW w:w="1134" w:type="dxa"/>
            <w:tcBorders/>
            <w:vAlign w:val="center"/>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13</w:t>
            </w:r>
          </w:p>
        </w:tc>
      </w:tr>
    </w:tbl>
    <w:p>
      <w:pPr>
        <w:pStyle w:val="Normal"/>
        <w:spacing w:lineRule="auto" w:line="276"/>
        <w:rPr>
          <w:rFonts w:ascii="Verdana" w:hAnsi="Verdana"/>
          <w:iCs/>
        </w:rPr>
      </w:pPr>
      <w:r>
        <w:rPr>
          <w:rFonts w:ascii="Verdana" w:hAnsi="Verdana"/>
          <w:iCs/>
        </w:rPr>
        <w:t>Заключение по обследованию осветительной установки ______________________</w:t>
      </w:r>
    </w:p>
    <w:p>
      <w:pPr>
        <w:pStyle w:val="Normal"/>
        <w:spacing w:lineRule="auto" w:line="276"/>
        <w:ind w:firstLine="142" w:start="-284"/>
        <w:jc w:val="center"/>
        <w:rPr>
          <w:rFonts w:ascii="Verdana" w:hAnsi="Verdana"/>
          <w:iCs/>
        </w:rPr>
      </w:pPr>
      <w:r>
        <w:rPr>
          <w:rFonts w:ascii="Verdana" w:hAnsi="Verdana"/>
          <w:iCs/>
        </w:rPr>
      </w:r>
    </w:p>
    <w:tbl>
      <w:tblPr>
        <w:tblW w:w="14950"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7475"/>
        <w:gridCol w:w="7475"/>
      </w:tblGrid>
      <w:tr>
        <w:trPr/>
        <w:tc>
          <w:tcPr>
            <w:tcW w:w="7475" w:type="dxa"/>
            <w:tcBorders/>
          </w:tcPr>
          <w:p>
            <w:pPr>
              <w:pStyle w:val="Normal"/>
              <w:spacing w:before="120" w:after="0"/>
              <w:jc w:val="center"/>
              <w:rPr/>
            </w:pPr>
            <w:r>
              <w:rPr>
                <w:sz w:val="22"/>
                <w:szCs w:val="22"/>
              </w:rPr>
              <w:t>Представители Заказчика</w:t>
            </w:r>
          </w:p>
          <w:p>
            <w:pPr>
              <w:pStyle w:val="Normal"/>
              <w:tabs>
                <w:tab w:val="clear" w:pos="369"/>
                <w:tab w:val="left" w:pos="1350" w:leader="none"/>
              </w:tabs>
              <w:jc w:val="center"/>
              <w:rPr/>
            </w:pPr>
            <w:r>
              <w:rPr/>
              <w:t>________________________</w:t>
            </w:r>
          </w:p>
          <w:p>
            <w:pPr>
              <w:pStyle w:val="Normal"/>
              <w:tabs>
                <w:tab w:val="clear" w:pos="369"/>
                <w:tab w:val="left" w:pos="1350" w:leader="none"/>
              </w:tabs>
              <w:jc w:val="center"/>
              <w:rPr>
                <w:sz w:val="16"/>
                <w:szCs w:val="16"/>
              </w:rPr>
            </w:pPr>
            <w:r>
              <w:rPr>
                <w:sz w:val="16"/>
                <w:szCs w:val="16"/>
              </w:rPr>
              <w:t>(должность, подпись, Ф.И.О.)</w:t>
            </w:r>
          </w:p>
        </w:tc>
        <w:tc>
          <w:tcPr>
            <w:tcW w:w="7475" w:type="dxa"/>
            <w:tcBorders/>
          </w:tcPr>
          <w:p>
            <w:pPr>
              <w:pStyle w:val="Normal"/>
              <w:spacing w:before="120" w:after="0"/>
              <w:jc w:val="center"/>
              <w:rPr>
                <w:sz w:val="22"/>
                <w:szCs w:val="22"/>
              </w:rPr>
            </w:pPr>
            <w:r>
              <w:rPr>
                <w:sz w:val="22"/>
                <w:szCs w:val="22"/>
              </w:rPr>
              <w:t>Представители Субподрядчика</w:t>
            </w:r>
          </w:p>
          <w:p>
            <w:pPr>
              <w:pStyle w:val="Normal"/>
              <w:tabs>
                <w:tab w:val="clear" w:pos="369"/>
                <w:tab w:val="left" w:pos="1350" w:leader="none"/>
              </w:tabs>
              <w:jc w:val="center"/>
              <w:rPr/>
            </w:pPr>
            <w:r>
              <w:rPr/>
              <w:t>________________________</w:t>
            </w:r>
          </w:p>
          <w:p>
            <w:pPr>
              <w:pStyle w:val="Normal"/>
              <w:tabs>
                <w:tab w:val="clear" w:pos="369"/>
                <w:tab w:val="left" w:pos="1350" w:leader="none"/>
              </w:tabs>
              <w:jc w:val="center"/>
              <w:rPr>
                <w:sz w:val="16"/>
                <w:szCs w:val="16"/>
              </w:rPr>
            </w:pPr>
            <w:r>
              <w:rPr>
                <w:sz w:val="16"/>
                <w:szCs w:val="16"/>
              </w:rPr>
              <w:t>(должность, подпись, Ф.И.О.)</w:t>
            </w:r>
          </w:p>
        </w:tc>
      </w:tr>
    </w:tbl>
    <w:p>
      <w:pPr>
        <w:pStyle w:val="Normal"/>
        <w:rPr>
          <w:sz w:val="8"/>
          <w:szCs w:val="8"/>
        </w:rPr>
      </w:pPr>
      <w:r>
        <w:rPr>
          <w:sz w:val="8"/>
          <w:szCs w:val="8"/>
        </w:rPr>
      </w:r>
    </w:p>
    <w:p>
      <w:pPr>
        <w:pStyle w:val="Normal"/>
        <w:spacing w:lineRule="auto" w:line="276"/>
        <w:ind w:firstLine="142" w:start="-284"/>
        <w:jc w:val="center"/>
        <w:rPr>
          <w:rFonts w:ascii="Verdana" w:hAnsi="Verdana"/>
          <w:iCs/>
        </w:rPr>
      </w:pPr>
      <w:r>
        <w:rPr>
          <w:rFonts w:ascii="Verdana" w:hAnsi="Verdana"/>
          <w:iCs/>
        </w:rPr>
      </w:r>
    </w:p>
    <w:p>
      <w:pPr>
        <w:pStyle w:val="Normal"/>
        <w:spacing w:lineRule="auto" w:line="276"/>
        <w:ind w:firstLine="142" w:start="-284"/>
        <w:jc w:val="center"/>
        <w:rPr>
          <w:rFonts w:ascii="Verdana" w:hAnsi="Verdana"/>
          <w:iCs/>
        </w:rPr>
      </w:pPr>
      <w:r>
        <w:rPr>
          <w:rFonts w:ascii="Verdana" w:hAnsi="Verdana"/>
          <w:iCs/>
        </w:rPr>
      </w:r>
    </w:p>
    <w:p>
      <w:pPr>
        <w:pStyle w:val="Normal"/>
        <w:spacing w:lineRule="auto" w:line="276"/>
        <w:ind w:firstLine="142" w:start="-284"/>
        <w:jc w:val="center"/>
        <w:rPr>
          <w:rFonts w:ascii="Verdana" w:hAnsi="Verdana"/>
          <w:iCs/>
        </w:rPr>
      </w:pPr>
      <w:r>
        <w:rPr>
          <w:rFonts w:ascii="Verdana" w:hAnsi="Verdana"/>
          <w:iCs/>
        </w:rPr>
      </w:r>
    </w:p>
    <w:p>
      <w:pPr>
        <w:pStyle w:val="Normal"/>
        <w:spacing w:lineRule="auto" w:line="276"/>
        <w:ind w:firstLine="142" w:start="-284"/>
        <w:jc w:val="center"/>
        <w:rPr>
          <w:rFonts w:ascii="Verdana" w:hAnsi="Verdana"/>
          <w:iCs/>
        </w:rPr>
      </w:pPr>
      <w:r>
        <w:rPr>
          <w:rFonts w:ascii="Verdana" w:hAnsi="Verdana"/>
          <w:iCs/>
        </w:rPr>
      </w:r>
    </w:p>
    <w:p>
      <w:pPr>
        <w:pStyle w:val="Normal"/>
        <w:spacing w:lineRule="auto" w:line="276"/>
        <w:ind w:firstLine="142" w:start="-284"/>
        <w:jc w:val="center"/>
        <w:rPr>
          <w:rFonts w:ascii="Verdana" w:hAnsi="Verdana"/>
          <w:iCs/>
        </w:rPr>
      </w:pPr>
      <w:r>
        <w:rPr>
          <w:rFonts w:ascii="Verdana" w:hAnsi="Verdana"/>
          <w:iCs/>
        </w:rPr>
      </w:r>
    </w:p>
    <w:p>
      <w:pPr>
        <w:pStyle w:val="Normal"/>
        <w:spacing w:lineRule="auto" w:line="276"/>
        <w:ind w:firstLine="142" w:start="-284"/>
        <w:jc w:val="center"/>
        <w:rPr>
          <w:rFonts w:ascii="Verdana" w:hAnsi="Verdana"/>
          <w:iCs/>
        </w:rPr>
      </w:pPr>
      <w:r>
        <w:rPr>
          <w:rFonts w:ascii="Verdana" w:hAnsi="Verdana"/>
          <w:iCs/>
        </w:rPr>
        <w:t xml:space="preserve">Форма </w:t>
      </w:r>
    </w:p>
    <w:p>
      <w:pPr>
        <w:pStyle w:val="Normal"/>
        <w:spacing w:lineRule="auto" w:line="276"/>
        <w:ind w:firstLine="142" w:start="-284"/>
        <w:jc w:val="center"/>
        <w:rPr>
          <w:rFonts w:ascii="Verdana" w:hAnsi="Verdana"/>
          <w:iCs/>
        </w:rPr>
      </w:pPr>
      <w:r>
        <w:rPr>
          <w:rFonts w:ascii="Verdana" w:hAnsi="Verdana"/>
          <w:iCs/>
        </w:rPr>
        <w:t>протокола измерений освещенности в установках наружного освещения</w:t>
      </w:r>
    </w:p>
    <w:p>
      <w:pPr>
        <w:pStyle w:val="Normal"/>
        <w:tabs>
          <w:tab w:val="clear" w:pos="369"/>
          <w:tab w:val="left" w:pos="9681" w:leader="underscore"/>
        </w:tabs>
        <w:rPr>
          <w:rFonts w:ascii="Verdana" w:hAnsi="Verdana"/>
          <w:color w:val="000000"/>
          <w:lang w:eastAsia="ru-RU" w:bidi="ru-RU"/>
        </w:rPr>
      </w:pPr>
      <w:r>
        <w:rPr>
          <w:rFonts w:ascii="Verdana" w:hAnsi="Verdana"/>
          <w:color w:val="000000"/>
          <w:lang w:eastAsia="ru-RU" w:bidi="ru-RU"/>
        </w:rPr>
        <w:t>Наименование освещаемого пространства _________________________________</w:t>
      </w:r>
    </w:p>
    <w:p>
      <w:pPr>
        <w:pStyle w:val="Normal"/>
        <w:tabs>
          <w:tab w:val="clear" w:pos="369"/>
          <w:tab w:val="left" w:pos="9681" w:leader="underscore"/>
        </w:tabs>
        <w:rPr>
          <w:rFonts w:ascii="Verdana" w:hAnsi="Verdana"/>
        </w:rPr>
      </w:pPr>
      <w:r>
        <w:rPr>
          <w:rFonts w:ascii="Verdana" w:hAnsi="Verdana"/>
        </w:rPr>
        <w:t>Адрес обследуемого объекта ____________________________________________</w:t>
      </w:r>
    </w:p>
    <w:p>
      <w:pPr>
        <w:pStyle w:val="Normal"/>
        <w:tabs>
          <w:tab w:val="clear" w:pos="369"/>
          <w:tab w:val="left" w:pos="9681" w:leader="underscore"/>
        </w:tabs>
        <w:rPr>
          <w:rFonts w:ascii="Verdana" w:hAnsi="Verdana"/>
        </w:rPr>
      </w:pPr>
      <w:r>
        <w:rPr>
          <w:rFonts w:ascii="Verdana" w:hAnsi="Verdana"/>
        </w:rPr>
        <w:t>Категория улицы по СП 52.13330-2016 ___________________________________</w:t>
      </w:r>
    </w:p>
    <w:p>
      <w:pPr>
        <w:pStyle w:val="Normal"/>
        <w:tabs>
          <w:tab w:val="clear" w:pos="369"/>
          <w:tab w:val="left" w:pos="9681" w:leader="underscore"/>
        </w:tabs>
        <w:rPr>
          <w:rFonts w:ascii="Verdana" w:hAnsi="Verdana"/>
        </w:rPr>
      </w:pPr>
      <w:r>
        <w:rPr>
          <w:rFonts w:ascii="Verdana" w:hAnsi="Verdana"/>
        </w:rPr>
        <w:t>Дата проведения измерений ____________________________________________</w:t>
      </w:r>
    </w:p>
    <w:p>
      <w:pPr>
        <w:pStyle w:val="Normal"/>
        <w:tabs>
          <w:tab w:val="clear" w:pos="369"/>
          <w:tab w:val="left" w:pos="9681" w:leader="underscore"/>
        </w:tabs>
        <w:rPr>
          <w:rFonts w:ascii="Verdana" w:hAnsi="Verdana"/>
        </w:rPr>
      </w:pPr>
      <w:r>
        <w:rPr>
          <w:rFonts w:ascii="Verdana" w:hAnsi="Verdana"/>
        </w:rPr>
        <w:t>Название и номер прибора для измерения _________________________________</w:t>
      </w:r>
    </w:p>
    <w:p>
      <w:pPr>
        <w:pStyle w:val="Normal"/>
        <w:tabs>
          <w:tab w:val="clear" w:pos="369"/>
          <w:tab w:val="left" w:pos="9403" w:leader="underscore"/>
        </w:tabs>
        <w:rPr>
          <w:rFonts w:ascii="Verdana" w:hAnsi="Verdana"/>
        </w:rPr>
      </w:pPr>
      <w:r>
        <w:rPr>
          <w:rFonts w:ascii="Verdana" w:hAnsi="Verdana"/>
          <w:color w:val="000000"/>
          <w:lang w:eastAsia="ru-RU" w:bidi="ru-RU"/>
        </w:rPr>
        <w:t>Номер и дата свидетельства о поверке ____________________________________</w:t>
      </w:r>
    </w:p>
    <w:p>
      <w:pPr>
        <w:pStyle w:val="Normal"/>
        <w:tabs>
          <w:tab w:val="clear" w:pos="369"/>
          <w:tab w:val="left" w:pos="9681" w:leader="underscore"/>
        </w:tabs>
        <w:rPr>
          <w:rFonts w:ascii="Verdana" w:hAnsi="Verdana"/>
        </w:rPr>
      </w:pPr>
      <w:bookmarkStart w:id="21" w:name="_Hlk212627308"/>
      <w:r>
        <w:rPr>
          <w:rFonts w:ascii="Verdana" w:hAnsi="Verdana"/>
        </w:rPr>
        <w:t>Напряжение сети: _____________________________________________________</w:t>
      </w:r>
    </w:p>
    <w:p>
      <w:pPr>
        <w:pStyle w:val="Normal"/>
        <w:tabs>
          <w:tab w:val="clear" w:pos="369"/>
          <w:tab w:val="left" w:pos="9681" w:leader="underscore"/>
        </w:tabs>
        <w:rPr>
          <w:rFonts w:ascii="Verdana" w:hAnsi="Verdana"/>
        </w:rPr>
      </w:pPr>
      <w:r>
        <w:rPr>
          <w:rFonts w:ascii="Verdana" w:hAnsi="Verdana"/>
        </w:rPr>
        <w:t xml:space="preserve">                                </w:t>
      </w:r>
      <w:r>
        <w:rPr>
          <w:rFonts w:ascii="Verdana" w:hAnsi="Verdana"/>
        </w:rPr>
        <w:t>(в начале измерения)                    (в конце измерения)</w:t>
      </w:r>
      <w:bookmarkEnd w:id="21"/>
    </w:p>
    <w:p>
      <w:pPr>
        <w:pStyle w:val="Normal"/>
        <w:tabs>
          <w:tab w:val="clear" w:pos="369"/>
          <w:tab w:val="left" w:pos="9681" w:leader="underscore"/>
        </w:tabs>
        <w:rPr/>
      </w:pPr>
      <w:r>
        <w:rPr>
          <w:rFonts w:ascii="Verdana" w:hAnsi="Verdana"/>
        </w:rPr>
        <w:t>Наименование действующего нормативного документа _______________________</w:t>
      </w:r>
    </w:p>
    <w:p>
      <w:pPr>
        <w:pStyle w:val="Normal"/>
        <w:spacing w:lineRule="auto" w:line="276"/>
        <w:rPr>
          <w:rFonts w:ascii="Verdana" w:hAnsi="Verdana"/>
          <w:iCs/>
        </w:rPr>
      </w:pPr>
      <w:bookmarkStart w:id="22" w:name="_Hlk212627392"/>
      <w:r>
        <w:rPr>
          <w:rFonts w:ascii="Verdana" w:hAnsi="Verdana"/>
          <w:iCs/>
        </w:rPr>
        <w:t>Состояние осветительной установки____________________________________________________________</w:t>
      </w:r>
      <w:bookmarkEnd w:id="22"/>
    </w:p>
    <w:tbl>
      <w:tblPr>
        <w:tblStyle w:val="afff1"/>
        <w:tblW w:w="9912" w:type="dxa"/>
        <w:jc w:val="start"/>
        <w:tblInd w:w="-284" w:type="dxa"/>
        <w:tblLayout w:type="fixed"/>
        <w:tblCellMar>
          <w:top w:w="0" w:type="dxa"/>
          <w:start w:w="108" w:type="dxa"/>
          <w:bottom w:w="0" w:type="dxa"/>
          <w:end w:w="108" w:type="dxa"/>
        </w:tblCellMar>
        <w:tblLook w:val="04a0" w:noHBand="0" w:noVBand="1" w:firstColumn="1" w:lastRow="0" w:lastColumn="0" w:firstRow="1"/>
      </w:tblPr>
      <w:tblGrid>
        <w:gridCol w:w="1301"/>
        <w:gridCol w:w="1105"/>
        <w:gridCol w:w="1105"/>
        <w:gridCol w:w="1118"/>
        <w:gridCol w:w="1112"/>
        <w:gridCol w:w="1178"/>
        <w:gridCol w:w="1652"/>
        <w:gridCol w:w="1341"/>
      </w:tblGrid>
      <w:tr>
        <w:trPr/>
        <w:tc>
          <w:tcPr>
            <w:tcW w:w="1301" w:type="dxa"/>
            <w:vMerge w:val="restart"/>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Номера контрольных точек</w:t>
            </w:r>
          </w:p>
        </w:tc>
        <w:tc>
          <w:tcPr>
            <w:tcW w:w="8611" w:type="dxa"/>
            <w:gridSpan w:val="7"/>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Освещенность, лк</w:t>
            </w:r>
          </w:p>
        </w:tc>
      </w:tr>
      <w:tr>
        <w:trPr>
          <w:trHeight w:val="194" w:hRule="atLeast"/>
        </w:trPr>
        <w:tc>
          <w:tcPr>
            <w:tcW w:w="1301"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c>
          <w:tcPr>
            <w:tcW w:w="4440" w:type="dxa"/>
            <w:gridSpan w:val="4"/>
            <w:tcBorders/>
          </w:tcPr>
          <w:p>
            <w:pPr>
              <w:pStyle w:val="Normal"/>
              <w:widowControl/>
              <w:spacing w:lineRule="auto" w:line="276" w:before="0" w:after="0"/>
              <w:jc w:val="center"/>
              <w:rPr>
                <w:rFonts w:ascii="Verdana" w:hAnsi="Verdana"/>
                <w:iCs/>
                <w:sz w:val="16"/>
                <w:szCs w:val="16"/>
              </w:rPr>
            </w:pPr>
            <w:r>
              <w:rPr>
                <w:rStyle w:val="82"/>
                <w:rFonts w:ascii="Verdana" w:hAnsi="Verdana"/>
                <w:kern w:val="0"/>
                <w:sz w:val="16"/>
                <w:szCs w:val="16"/>
              </w:rPr>
              <w:t>Измеренная</w:t>
            </w:r>
          </w:p>
        </w:tc>
        <w:tc>
          <w:tcPr>
            <w:tcW w:w="1178" w:type="dxa"/>
            <w:vMerge w:val="restart"/>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 xml:space="preserve">Средняя </w:t>
            </w:r>
            <w:r>
              <w:rPr>
                <w:rFonts w:eastAsia="Times New Roman" w:cs="Times New Roman" w:ascii="Verdana" w:hAnsi="Verdana"/>
                <w:iCs/>
                <w:kern w:val="0"/>
                <w:sz w:val="16"/>
                <w:szCs w:val="16"/>
                <w:lang w:val="en-US" w:bidi="ar-SA"/>
              </w:rPr>
              <w:t>E</w:t>
            </w:r>
            <w:r>
              <w:rPr>
                <w:rFonts w:eastAsia="Times New Roman" w:cs="Times New Roman" w:ascii="Verdana" w:hAnsi="Verdana"/>
                <w:iCs/>
                <w:kern w:val="0"/>
                <w:sz w:val="16"/>
                <w:szCs w:val="16"/>
                <w:lang w:val="ru-RU" w:bidi="ar-SA"/>
              </w:rPr>
              <w:t>ср</w:t>
            </w:r>
          </w:p>
        </w:tc>
        <w:tc>
          <w:tcPr>
            <w:tcW w:w="1652" w:type="dxa"/>
            <w:vMerge w:val="restart"/>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 xml:space="preserve">Фактическая </w:t>
            </w:r>
            <w:r>
              <w:rPr>
                <w:rFonts w:eastAsia="Times New Roman" w:cs="Times New Roman" w:ascii="Verdana" w:hAnsi="Verdana"/>
                <w:iCs/>
                <w:kern w:val="0"/>
                <w:sz w:val="16"/>
                <w:szCs w:val="16"/>
                <w:lang w:val="en-US" w:bidi="ar-SA"/>
              </w:rPr>
              <w:t>E</w:t>
            </w:r>
            <w:r>
              <w:rPr>
                <w:rFonts w:eastAsia="Times New Roman" w:cs="Times New Roman" w:ascii="Verdana" w:hAnsi="Verdana"/>
                <w:iCs/>
                <w:kern w:val="0"/>
                <w:sz w:val="16"/>
                <w:szCs w:val="16"/>
                <w:lang w:val="ru-RU" w:bidi="ar-SA"/>
              </w:rPr>
              <w:t>ф</w:t>
            </w:r>
          </w:p>
        </w:tc>
        <w:tc>
          <w:tcPr>
            <w:tcW w:w="1341" w:type="dxa"/>
            <w:vMerge w:val="restart"/>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 xml:space="preserve">Нормируемая </w:t>
            </w:r>
            <w:r>
              <w:rPr>
                <w:rFonts w:eastAsia="Times New Roman" w:cs="Times New Roman" w:ascii="Verdana" w:hAnsi="Verdana"/>
                <w:iCs/>
                <w:kern w:val="0"/>
                <w:sz w:val="16"/>
                <w:szCs w:val="16"/>
                <w:lang w:val="en-US" w:bidi="ar-SA"/>
              </w:rPr>
              <w:t>E</w:t>
            </w:r>
            <w:r>
              <w:rPr>
                <w:rFonts w:eastAsia="Times New Roman" w:cs="Times New Roman" w:ascii="Verdana" w:hAnsi="Verdana"/>
                <w:iCs/>
                <w:kern w:val="0"/>
                <w:sz w:val="16"/>
                <w:szCs w:val="16"/>
                <w:lang w:val="ru-RU" w:bidi="ar-SA"/>
              </w:rPr>
              <w:t>н</w:t>
            </w:r>
          </w:p>
        </w:tc>
      </w:tr>
      <w:tr>
        <w:trPr/>
        <w:tc>
          <w:tcPr>
            <w:tcW w:w="1301"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c>
          <w:tcPr>
            <w:tcW w:w="1105" w:type="dxa"/>
            <w:tcBorders/>
          </w:tcPr>
          <w:p>
            <w:pPr>
              <w:pStyle w:val="Normal"/>
              <w:widowControl/>
              <w:spacing w:lineRule="auto" w:line="276" w:before="0" w:after="0"/>
              <w:jc w:val="center"/>
              <w:rPr>
                <w:rFonts w:ascii="Verdana" w:hAnsi="Verdana"/>
                <w:iCs/>
                <w:sz w:val="16"/>
                <w:szCs w:val="16"/>
                <w:vertAlign w:val="subscript"/>
              </w:rPr>
            </w:pPr>
            <w:r>
              <w:rPr>
                <w:rFonts w:eastAsia="Times New Roman" w:cs="Times New Roman" w:ascii="Verdana" w:hAnsi="Verdana"/>
                <w:iCs/>
                <w:kern w:val="0"/>
                <w:sz w:val="16"/>
                <w:szCs w:val="16"/>
                <w:lang w:val="ru-RU" w:bidi="ar-SA"/>
              </w:rPr>
              <w:t>Е</w:t>
            </w:r>
            <w:r>
              <w:rPr>
                <w:rFonts w:eastAsia="Times New Roman" w:cs="Times New Roman" w:ascii="Verdana" w:hAnsi="Verdana"/>
                <w:iCs/>
                <w:kern w:val="0"/>
                <w:sz w:val="16"/>
                <w:szCs w:val="16"/>
                <w:vertAlign w:val="subscript"/>
                <w:lang w:val="ru-RU" w:bidi="ar-SA"/>
              </w:rPr>
              <w:t>1</w:t>
            </w:r>
          </w:p>
        </w:tc>
        <w:tc>
          <w:tcPr>
            <w:tcW w:w="1105" w:type="dxa"/>
            <w:tcBorders/>
          </w:tcPr>
          <w:p>
            <w:pPr>
              <w:pStyle w:val="Normal"/>
              <w:widowControl/>
              <w:spacing w:lineRule="auto" w:line="276" w:before="0" w:after="0"/>
              <w:jc w:val="center"/>
              <w:rPr>
                <w:rFonts w:ascii="Verdana" w:hAnsi="Verdana"/>
                <w:iCs/>
                <w:sz w:val="16"/>
                <w:szCs w:val="16"/>
                <w:vertAlign w:val="subscript"/>
              </w:rPr>
            </w:pPr>
            <w:r>
              <w:rPr>
                <w:rFonts w:eastAsia="Times New Roman" w:cs="Times New Roman" w:ascii="Verdana" w:hAnsi="Verdana"/>
                <w:iCs/>
                <w:kern w:val="0"/>
                <w:sz w:val="16"/>
                <w:szCs w:val="16"/>
                <w:lang w:val="ru-RU" w:bidi="ar-SA"/>
              </w:rPr>
              <w:t>Е</w:t>
            </w:r>
            <w:r>
              <w:rPr>
                <w:rFonts w:eastAsia="Times New Roman" w:cs="Times New Roman" w:ascii="Verdana" w:hAnsi="Verdana"/>
                <w:iCs/>
                <w:kern w:val="0"/>
                <w:sz w:val="16"/>
                <w:szCs w:val="16"/>
                <w:vertAlign w:val="subscript"/>
                <w:lang w:val="ru-RU" w:bidi="ar-SA"/>
              </w:rPr>
              <w:t>2</w:t>
            </w:r>
          </w:p>
        </w:tc>
        <w:tc>
          <w:tcPr>
            <w:tcW w:w="1118"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w:t>
            </w:r>
            <w:r>
              <w:rPr>
                <w:rFonts w:eastAsia="Times New Roman" w:cs="Times New Roman" w:ascii="Verdana" w:hAnsi="Verdana"/>
                <w:iCs/>
                <w:kern w:val="0"/>
                <w:sz w:val="16"/>
                <w:szCs w:val="16"/>
                <w:lang w:val="ru-RU" w:bidi="ar-SA"/>
              </w:rPr>
              <w:t>.</w:t>
            </w:r>
          </w:p>
        </w:tc>
        <w:tc>
          <w:tcPr>
            <w:tcW w:w="1112" w:type="dxa"/>
            <w:tcBorders/>
          </w:tcPr>
          <w:p>
            <w:pPr>
              <w:pStyle w:val="Normal"/>
              <w:widowControl/>
              <w:spacing w:lineRule="auto" w:line="276" w:before="0" w:after="0"/>
              <w:jc w:val="center"/>
              <w:rPr>
                <w:rFonts w:ascii="Verdana" w:hAnsi="Verdana"/>
                <w:iCs/>
                <w:sz w:val="16"/>
                <w:szCs w:val="16"/>
                <w:vertAlign w:val="subscript"/>
              </w:rPr>
            </w:pPr>
            <w:r>
              <w:rPr>
                <w:rFonts w:eastAsia="Times New Roman" w:cs="Times New Roman" w:ascii="Verdana" w:hAnsi="Verdana"/>
                <w:iCs/>
                <w:kern w:val="0"/>
                <w:sz w:val="16"/>
                <w:szCs w:val="16"/>
                <w:lang w:val="ru-RU" w:bidi="ar-SA"/>
              </w:rPr>
              <w:t>Е</w:t>
            </w:r>
            <w:r>
              <w:rPr>
                <w:rFonts w:eastAsia="Times New Roman" w:cs="Times New Roman" w:ascii="Verdana" w:hAnsi="Verdana"/>
                <w:iCs/>
                <w:kern w:val="0"/>
                <w:sz w:val="16"/>
                <w:szCs w:val="16"/>
                <w:vertAlign w:val="subscript"/>
                <w:lang w:val="ru-RU" w:bidi="ar-SA"/>
              </w:rPr>
              <w:t>15</w:t>
            </w:r>
          </w:p>
        </w:tc>
        <w:tc>
          <w:tcPr>
            <w:tcW w:w="1178"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c>
          <w:tcPr>
            <w:tcW w:w="1652"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c>
          <w:tcPr>
            <w:tcW w:w="1341" w:type="dxa"/>
            <w:vMerge w:val="continue"/>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r>
          </w:p>
        </w:tc>
      </w:tr>
      <w:tr>
        <w:trPr/>
        <w:tc>
          <w:tcPr>
            <w:tcW w:w="1301"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1</w:t>
            </w:r>
          </w:p>
        </w:tc>
        <w:tc>
          <w:tcPr>
            <w:tcW w:w="1105"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2</w:t>
            </w:r>
          </w:p>
        </w:tc>
        <w:tc>
          <w:tcPr>
            <w:tcW w:w="1105"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3</w:t>
            </w:r>
          </w:p>
        </w:tc>
        <w:tc>
          <w:tcPr>
            <w:tcW w:w="1118"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4</w:t>
            </w:r>
          </w:p>
        </w:tc>
        <w:tc>
          <w:tcPr>
            <w:tcW w:w="1112"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16</w:t>
            </w:r>
          </w:p>
        </w:tc>
        <w:tc>
          <w:tcPr>
            <w:tcW w:w="1178"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17</w:t>
            </w:r>
          </w:p>
        </w:tc>
        <w:tc>
          <w:tcPr>
            <w:tcW w:w="1652"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18</w:t>
            </w:r>
          </w:p>
        </w:tc>
        <w:tc>
          <w:tcPr>
            <w:tcW w:w="1341"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19</w:t>
            </w:r>
          </w:p>
        </w:tc>
      </w:tr>
    </w:tbl>
    <w:p>
      <w:pPr>
        <w:pStyle w:val="Normal"/>
        <w:spacing w:lineRule="auto" w:line="276"/>
        <w:rPr>
          <w:rFonts w:ascii="Verdana" w:hAnsi="Verdana"/>
          <w:iCs/>
        </w:rPr>
      </w:pPr>
      <w:r>
        <w:rPr>
          <w:rFonts w:ascii="Verdana" w:hAnsi="Verdana"/>
          <w:iCs/>
        </w:rPr>
        <w:t>Заключение по обследованию осветительной установки ______________________</w:t>
      </w:r>
    </w:p>
    <w:p>
      <w:pPr>
        <w:pStyle w:val="Normal"/>
        <w:spacing w:lineRule="auto" w:line="276"/>
        <w:rPr>
          <w:rFonts w:ascii="Verdana" w:hAnsi="Verdana"/>
          <w:iCs/>
        </w:rPr>
      </w:pPr>
      <w:r>
        <w:rPr>
          <w:rFonts w:ascii="Verdana" w:hAnsi="Verdana"/>
          <w:iCs/>
        </w:rPr>
      </w:r>
    </w:p>
    <w:tbl>
      <w:tblPr>
        <w:tblW w:w="14950"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7475"/>
        <w:gridCol w:w="7475"/>
      </w:tblGrid>
      <w:tr>
        <w:trPr/>
        <w:tc>
          <w:tcPr>
            <w:tcW w:w="7475" w:type="dxa"/>
            <w:tcBorders/>
          </w:tcPr>
          <w:p>
            <w:pPr>
              <w:pStyle w:val="Normal"/>
              <w:spacing w:before="120" w:after="0"/>
              <w:jc w:val="center"/>
              <w:rPr/>
            </w:pPr>
            <w:r>
              <w:rPr>
                <w:sz w:val="22"/>
                <w:szCs w:val="22"/>
              </w:rPr>
              <w:t>Представители Заказчика</w:t>
            </w:r>
          </w:p>
          <w:p>
            <w:pPr>
              <w:pStyle w:val="Normal"/>
              <w:tabs>
                <w:tab w:val="clear" w:pos="369"/>
                <w:tab w:val="left" w:pos="1350" w:leader="none"/>
              </w:tabs>
              <w:jc w:val="center"/>
              <w:rPr/>
            </w:pPr>
            <w:r>
              <w:rPr/>
              <w:t>________________________</w:t>
            </w:r>
          </w:p>
          <w:p>
            <w:pPr>
              <w:pStyle w:val="Normal"/>
              <w:tabs>
                <w:tab w:val="clear" w:pos="369"/>
                <w:tab w:val="left" w:pos="1350" w:leader="none"/>
              </w:tabs>
              <w:jc w:val="center"/>
              <w:rPr>
                <w:sz w:val="16"/>
                <w:szCs w:val="16"/>
              </w:rPr>
            </w:pPr>
            <w:r>
              <w:rPr>
                <w:sz w:val="16"/>
                <w:szCs w:val="16"/>
              </w:rPr>
              <w:t>(должность, подпись, Ф.И.О.)</w:t>
            </w:r>
          </w:p>
        </w:tc>
        <w:tc>
          <w:tcPr>
            <w:tcW w:w="7475" w:type="dxa"/>
            <w:tcBorders/>
          </w:tcPr>
          <w:p>
            <w:pPr>
              <w:pStyle w:val="Normal"/>
              <w:spacing w:before="120" w:after="0"/>
              <w:jc w:val="center"/>
              <w:rPr>
                <w:sz w:val="22"/>
                <w:szCs w:val="22"/>
              </w:rPr>
            </w:pPr>
            <w:r>
              <w:rPr>
                <w:sz w:val="22"/>
                <w:szCs w:val="22"/>
              </w:rPr>
              <w:t>Представители Субподрядчика</w:t>
            </w:r>
          </w:p>
          <w:p>
            <w:pPr>
              <w:pStyle w:val="Normal"/>
              <w:tabs>
                <w:tab w:val="clear" w:pos="369"/>
                <w:tab w:val="left" w:pos="1350" w:leader="none"/>
              </w:tabs>
              <w:jc w:val="center"/>
              <w:rPr/>
            </w:pPr>
            <w:r>
              <w:rPr/>
              <w:t>________________________</w:t>
            </w:r>
          </w:p>
          <w:p>
            <w:pPr>
              <w:pStyle w:val="Normal"/>
              <w:tabs>
                <w:tab w:val="clear" w:pos="369"/>
                <w:tab w:val="left" w:pos="1350" w:leader="none"/>
              </w:tabs>
              <w:jc w:val="center"/>
              <w:rPr>
                <w:sz w:val="16"/>
                <w:szCs w:val="16"/>
              </w:rPr>
            </w:pPr>
            <w:r>
              <w:rPr>
                <w:sz w:val="16"/>
                <w:szCs w:val="16"/>
              </w:rPr>
              <w:t>(должность, подпись, Ф.И.О.)</w:t>
            </w:r>
          </w:p>
        </w:tc>
      </w:tr>
    </w:tbl>
    <w:p>
      <w:pPr>
        <w:pStyle w:val="Normal"/>
        <w:rPr>
          <w:sz w:val="8"/>
          <w:szCs w:val="8"/>
        </w:rPr>
      </w:pPr>
      <w:r>
        <w:rPr>
          <w:sz w:val="8"/>
          <w:szCs w:val="8"/>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rPr>
          <w:rFonts w:ascii="Verdana" w:hAnsi="Verdana"/>
          <w:iCs/>
        </w:rPr>
      </w:pPr>
      <w:r>
        <w:rPr>
          <w:rFonts w:ascii="Verdana" w:hAnsi="Verdana"/>
          <w:iCs/>
        </w:rPr>
      </w:r>
    </w:p>
    <w:p>
      <w:pPr>
        <w:pStyle w:val="Normal"/>
        <w:spacing w:lineRule="auto" w:line="276"/>
        <w:ind w:firstLine="142" w:start="-284"/>
        <w:jc w:val="center"/>
        <w:rPr>
          <w:rFonts w:ascii="Verdana" w:hAnsi="Verdana"/>
          <w:iCs/>
        </w:rPr>
      </w:pPr>
      <w:r>
        <w:rPr>
          <w:rFonts w:ascii="Verdana" w:hAnsi="Verdana"/>
          <w:iCs/>
        </w:rPr>
        <w:t xml:space="preserve">Форма </w:t>
      </w:r>
    </w:p>
    <w:p>
      <w:pPr>
        <w:pStyle w:val="Normal"/>
        <w:spacing w:lineRule="auto" w:line="276"/>
        <w:ind w:firstLine="142" w:start="-284"/>
        <w:jc w:val="center"/>
        <w:rPr>
          <w:rFonts w:ascii="Verdana" w:hAnsi="Verdana"/>
          <w:iCs/>
        </w:rPr>
      </w:pPr>
      <w:r>
        <w:rPr>
          <w:rFonts w:ascii="Verdana" w:hAnsi="Verdana"/>
          <w:iCs/>
        </w:rPr>
        <w:t>протокола измерений освещенности на объектах железнодорожного транспорта</w:t>
      </w:r>
    </w:p>
    <w:p>
      <w:pPr>
        <w:pStyle w:val="Normal"/>
        <w:spacing w:lineRule="auto" w:line="276"/>
        <w:ind w:firstLine="142" w:start="-284"/>
        <w:rPr>
          <w:rFonts w:ascii="Verdana" w:hAnsi="Verdana"/>
          <w:color w:val="000000"/>
          <w:lang w:eastAsia="ru-RU" w:bidi="ru-RU"/>
        </w:rPr>
      </w:pPr>
      <w:r>
        <w:rPr>
          <w:rFonts w:ascii="Verdana" w:hAnsi="Verdana"/>
          <w:color w:val="000000"/>
          <w:lang w:eastAsia="ru-RU" w:bidi="ru-RU"/>
        </w:rPr>
        <w:t>Наименование объекта освещения ________________________________________</w:t>
      </w:r>
    </w:p>
    <w:p>
      <w:pPr>
        <w:pStyle w:val="Normal"/>
        <w:spacing w:lineRule="auto" w:line="276"/>
        <w:ind w:firstLine="142" w:start="-284"/>
        <w:rPr>
          <w:rFonts w:ascii="Verdana" w:hAnsi="Verdana"/>
          <w:color w:val="000000"/>
          <w:lang w:eastAsia="ru-RU" w:bidi="ru-RU"/>
        </w:rPr>
      </w:pPr>
      <w:r>
        <w:rPr>
          <w:rFonts w:ascii="Verdana" w:hAnsi="Verdana"/>
          <w:color w:val="000000"/>
          <w:lang w:eastAsia="ru-RU" w:bidi="ru-RU"/>
        </w:rPr>
        <w:t>Дата проведения измерений ____________________________________________</w:t>
      </w:r>
    </w:p>
    <w:p>
      <w:pPr>
        <w:pStyle w:val="Normal"/>
        <w:spacing w:lineRule="auto" w:line="276"/>
        <w:ind w:firstLine="142" w:start="-284"/>
        <w:rPr>
          <w:rFonts w:ascii="Verdana" w:hAnsi="Verdana"/>
          <w:iCs/>
        </w:rPr>
      </w:pPr>
      <w:r>
        <w:rPr>
          <w:rFonts w:ascii="Verdana" w:hAnsi="Verdana"/>
          <w:iCs/>
        </w:rPr>
        <w:t>Название и номер прибора для измерения _________________________________</w:t>
      </w:r>
    </w:p>
    <w:p>
      <w:pPr>
        <w:pStyle w:val="Normal"/>
        <w:spacing w:lineRule="auto" w:line="276"/>
        <w:ind w:firstLine="142" w:start="-284"/>
        <w:rPr>
          <w:rFonts w:ascii="Verdana" w:hAnsi="Verdana"/>
          <w:iCs/>
        </w:rPr>
      </w:pPr>
      <w:r>
        <w:rPr>
          <w:rFonts w:ascii="Verdana" w:hAnsi="Verdana"/>
          <w:iCs/>
        </w:rPr>
        <w:t>Номер и дата свидетельства о поверке ____________________________________</w:t>
      </w:r>
    </w:p>
    <w:p>
      <w:pPr>
        <w:pStyle w:val="Normal"/>
        <w:spacing w:lineRule="auto" w:line="276"/>
        <w:ind w:firstLine="142" w:start="-284"/>
        <w:rPr>
          <w:rFonts w:ascii="Verdana" w:hAnsi="Verdana"/>
          <w:iCs/>
        </w:rPr>
      </w:pPr>
      <w:r>
        <w:rPr>
          <w:rFonts w:ascii="Verdana" w:hAnsi="Verdana"/>
          <w:iCs/>
        </w:rPr>
        <w:t>Напряжение сети: _____________________________________________________</w:t>
      </w:r>
    </w:p>
    <w:p>
      <w:pPr>
        <w:pStyle w:val="Normal"/>
        <w:spacing w:lineRule="auto" w:line="276"/>
        <w:ind w:firstLine="142" w:start="-284"/>
        <w:rPr>
          <w:rFonts w:ascii="Verdana" w:hAnsi="Verdana"/>
          <w:iCs/>
        </w:rPr>
      </w:pPr>
      <w:r>
        <w:rPr>
          <w:rFonts w:ascii="Verdana" w:hAnsi="Verdana"/>
          <w:iCs/>
        </w:rPr>
        <w:t xml:space="preserve">                                </w:t>
      </w:r>
      <w:r>
        <w:rPr>
          <w:rFonts w:ascii="Verdana" w:hAnsi="Verdana"/>
          <w:iCs/>
        </w:rPr>
        <w:t>(в начале измерения)                    (в конце измерения)</w:t>
      </w:r>
    </w:p>
    <w:p>
      <w:pPr>
        <w:pStyle w:val="Normal"/>
        <w:spacing w:lineRule="auto" w:line="276"/>
        <w:ind w:firstLine="142" w:start="-284"/>
        <w:rPr>
          <w:rFonts w:ascii="Verdana" w:hAnsi="Verdana"/>
          <w:iCs/>
        </w:rPr>
      </w:pPr>
      <w:r>
        <w:rPr>
          <w:rFonts w:ascii="Verdana" w:hAnsi="Verdana"/>
          <w:iCs/>
        </w:rPr>
        <w:t>Наименование действующего нормативного документа _______________________</w:t>
      </w:r>
    </w:p>
    <w:p>
      <w:pPr>
        <w:pStyle w:val="Normal"/>
        <w:spacing w:lineRule="auto" w:line="276"/>
        <w:ind w:start="-142"/>
        <w:rPr>
          <w:rFonts w:ascii="Verdana" w:hAnsi="Verdana"/>
          <w:iCs/>
        </w:rPr>
      </w:pPr>
      <w:r>
        <w:rPr>
          <w:rFonts w:ascii="Verdana" w:hAnsi="Verdana"/>
          <w:iCs/>
        </w:rPr>
        <w:t>Состояние осветительной установки__________________________________________________________</w:t>
      </w:r>
    </w:p>
    <w:p>
      <w:pPr>
        <w:pStyle w:val="Normal"/>
        <w:spacing w:lineRule="auto" w:line="276"/>
        <w:ind w:start="-142"/>
        <w:rPr>
          <w:rFonts w:ascii="Verdana" w:hAnsi="Verdana"/>
          <w:iCs/>
        </w:rPr>
      </w:pPr>
      <w:r>
        <w:rPr>
          <w:rFonts w:ascii="Verdana" w:hAnsi="Verdana"/>
          <w:iCs/>
        </w:rPr>
        <w:t>Расположение точек измерения на объекте измерения (описание или схема)</w:t>
      </w:r>
    </w:p>
    <w:tbl>
      <w:tblPr>
        <w:tblStyle w:val="afff1"/>
        <w:tblW w:w="9628" w:type="dxa"/>
        <w:jc w:val="start"/>
        <w:tblInd w:w="-142" w:type="dxa"/>
        <w:tblLayout w:type="fixed"/>
        <w:tblCellMar>
          <w:top w:w="0" w:type="dxa"/>
          <w:start w:w="108" w:type="dxa"/>
          <w:bottom w:w="0" w:type="dxa"/>
          <w:end w:w="108" w:type="dxa"/>
        </w:tblCellMar>
        <w:tblLook w:val="04a0" w:noHBand="0" w:noVBand="1" w:firstColumn="1" w:lastRow="0" w:lastColumn="0" w:firstRow="1"/>
      </w:tblPr>
      <w:tblGrid>
        <w:gridCol w:w="846"/>
        <w:gridCol w:w="1077"/>
        <w:gridCol w:w="766"/>
        <w:gridCol w:w="1161"/>
        <w:gridCol w:w="681"/>
        <w:gridCol w:w="1559"/>
        <w:gridCol w:w="649"/>
        <w:gridCol w:w="963"/>
        <w:gridCol w:w="963"/>
        <w:gridCol w:w="963"/>
      </w:tblGrid>
      <w:tr>
        <w:trPr>
          <w:trHeight w:val="3958" w:hRule="atLeast"/>
          <w:cantSplit w:val="true"/>
        </w:trPr>
        <w:tc>
          <w:tcPr>
            <w:tcW w:w="846"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Объект измерения (парк, пути депо, мост, платформа, переезд, горловина и т.п)</w:t>
            </w:r>
          </w:p>
        </w:tc>
        <w:tc>
          <w:tcPr>
            <w:tcW w:w="1077"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Номера опорных конструкций для светильников (ригеля, мачты, опоры и т.п.), между которыми проводилось измерение</w:t>
            </w:r>
          </w:p>
        </w:tc>
        <w:tc>
          <w:tcPr>
            <w:tcW w:w="766"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Расстояние между оперными конструкциями, м</w:t>
            </w:r>
          </w:p>
        </w:tc>
        <w:tc>
          <w:tcPr>
            <w:tcW w:w="1161"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Номера путей, на которых или между которыми проводилось измерение*</w:t>
            </w:r>
          </w:p>
        </w:tc>
        <w:tc>
          <w:tcPr>
            <w:tcW w:w="681"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Наличие (отсутствие) вагонов на смежных путях во время измерения*</w:t>
            </w:r>
          </w:p>
        </w:tc>
        <w:tc>
          <w:tcPr>
            <w:tcW w:w="1559"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Освещенность измеренная**, лк</w:t>
            </w:r>
          </w:p>
        </w:tc>
        <w:tc>
          <w:tcPr>
            <w:tcW w:w="649"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Освещенность нормируемая, лк не менее</w:t>
            </w:r>
          </w:p>
        </w:tc>
        <w:tc>
          <w:tcPr>
            <w:tcW w:w="963"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Равномерность освещенности рассчитанная</w:t>
            </w:r>
          </w:p>
        </w:tc>
        <w:tc>
          <w:tcPr>
            <w:tcW w:w="963"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Равномерность освещенности нормируемая, не менее</w:t>
            </w:r>
          </w:p>
        </w:tc>
        <w:tc>
          <w:tcPr>
            <w:tcW w:w="963" w:type="dxa"/>
            <w:tcBorders/>
            <w:textDirection w:val="btLr"/>
            <w:vAlign w:val="center"/>
          </w:tcPr>
          <w:p>
            <w:pPr>
              <w:pStyle w:val="Normal"/>
              <w:widowControl/>
              <w:spacing w:lineRule="auto" w:line="276" w:before="0" w:after="0"/>
              <w:ind w:start="113" w:end="113"/>
              <w:jc w:val="center"/>
              <w:rPr>
                <w:rFonts w:ascii="Verdana" w:hAnsi="Verdana"/>
                <w:iCs/>
                <w:sz w:val="16"/>
                <w:szCs w:val="16"/>
              </w:rPr>
            </w:pPr>
            <w:r>
              <w:rPr>
                <w:rFonts w:eastAsia="Times New Roman" w:cs="Times New Roman" w:ascii="Verdana" w:hAnsi="Verdana"/>
                <w:iCs/>
                <w:kern w:val="0"/>
                <w:sz w:val="16"/>
                <w:szCs w:val="16"/>
                <w:lang w:val="ru-RU" w:bidi="ar-SA"/>
              </w:rPr>
              <w:t>Заключение о соответствии измеренного участка</w:t>
            </w:r>
          </w:p>
        </w:tc>
      </w:tr>
      <w:tr>
        <w:trPr/>
        <w:tc>
          <w:tcPr>
            <w:tcW w:w="846"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1</w:t>
            </w:r>
          </w:p>
        </w:tc>
        <w:tc>
          <w:tcPr>
            <w:tcW w:w="1077"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2</w:t>
            </w:r>
          </w:p>
        </w:tc>
        <w:tc>
          <w:tcPr>
            <w:tcW w:w="766"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3</w:t>
            </w:r>
          </w:p>
        </w:tc>
        <w:tc>
          <w:tcPr>
            <w:tcW w:w="1161"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4</w:t>
            </w:r>
          </w:p>
        </w:tc>
        <w:tc>
          <w:tcPr>
            <w:tcW w:w="681"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5</w:t>
            </w:r>
          </w:p>
        </w:tc>
        <w:tc>
          <w:tcPr>
            <w:tcW w:w="1559"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6</w:t>
            </w:r>
          </w:p>
        </w:tc>
        <w:tc>
          <w:tcPr>
            <w:tcW w:w="649"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7</w:t>
            </w:r>
          </w:p>
        </w:tc>
        <w:tc>
          <w:tcPr>
            <w:tcW w:w="963"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8</w:t>
            </w:r>
          </w:p>
        </w:tc>
        <w:tc>
          <w:tcPr>
            <w:tcW w:w="963"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9</w:t>
            </w:r>
          </w:p>
        </w:tc>
        <w:tc>
          <w:tcPr>
            <w:tcW w:w="963" w:type="dxa"/>
            <w:tcBorders/>
          </w:tcPr>
          <w:p>
            <w:pPr>
              <w:pStyle w:val="Normal"/>
              <w:widowControl/>
              <w:spacing w:lineRule="auto" w:line="276" w:before="0" w:after="0"/>
              <w:jc w:val="center"/>
              <w:rPr>
                <w:rFonts w:ascii="Verdana" w:hAnsi="Verdana"/>
                <w:iCs/>
                <w:sz w:val="16"/>
                <w:szCs w:val="16"/>
              </w:rPr>
            </w:pPr>
            <w:r>
              <w:rPr>
                <w:rFonts w:eastAsia="Times New Roman" w:cs="Times New Roman" w:ascii="Verdana" w:hAnsi="Verdana"/>
                <w:iCs/>
                <w:kern w:val="0"/>
                <w:sz w:val="16"/>
                <w:szCs w:val="16"/>
                <w:lang w:val="ru-RU" w:bidi="ar-SA"/>
              </w:rPr>
              <w:t>10</w:t>
            </w:r>
          </w:p>
        </w:tc>
      </w:tr>
      <w:tr>
        <w:trPr>
          <w:trHeight w:val="457" w:hRule="atLeast"/>
        </w:trPr>
        <w:tc>
          <w:tcPr>
            <w:tcW w:w="9628" w:type="dxa"/>
            <w:gridSpan w:val="10"/>
            <w:tcBorders/>
          </w:tcPr>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t>* Указывают, если применимо к объекту измерения</w:t>
            </w:r>
          </w:p>
          <w:p>
            <w:pPr>
              <w:pStyle w:val="Normal"/>
              <w:widowControl/>
              <w:spacing w:lineRule="auto" w:line="276" w:before="0" w:after="0"/>
              <w:jc w:val="start"/>
              <w:rPr>
                <w:rFonts w:ascii="Verdana" w:hAnsi="Verdana"/>
                <w:iCs/>
                <w:sz w:val="16"/>
                <w:szCs w:val="16"/>
              </w:rPr>
            </w:pPr>
            <w:r>
              <w:rPr>
                <w:rFonts w:eastAsia="Times New Roman" w:cs="Times New Roman" w:ascii="Verdana" w:hAnsi="Verdana"/>
                <w:iCs/>
                <w:kern w:val="0"/>
                <w:sz w:val="16"/>
                <w:szCs w:val="16"/>
                <w:lang w:val="ru-RU" w:bidi="ar-SA"/>
              </w:rPr>
              <w:t>** Измеренные значения во всех контрольных точках каждого участка записывают подряд</w:t>
            </w:r>
          </w:p>
        </w:tc>
      </w:tr>
    </w:tbl>
    <w:p>
      <w:pPr>
        <w:pStyle w:val="Normal"/>
        <w:spacing w:lineRule="auto" w:line="276"/>
        <w:ind w:start="-142"/>
        <w:rPr>
          <w:rFonts w:ascii="Verdana" w:hAnsi="Verdana"/>
          <w:iCs/>
        </w:rPr>
      </w:pPr>
      <w:r>
        <w:rPr>
          <w:rFonts w:ascii="Verdana" w:hAnsi="Verdana"/>
          <w:iCs/>
        </w:rPr>
        <w:t>Заключение по обследованию осветительной установки _____________________</w:t>
      </w:r>
    </w:p>
    <w:tbl>
      <w:tblPr>
        <w:tblW w:w="14950"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7475"/>
        <w:gridCol w:w="7475"/>
      </w:tblGrid>
      <w:tr>
        <w:trPr/>
        <w:tc>
          <w:tcPr>
            <w:tcW w:w="7475" w:type="dxa"/>
            <w:tcBorders/>
          </w:tcPr>
          <w:p>
            <w:pPr>
              <w:pStyle w:val="Normal"/>
              <w:spacing w:before="120" w:after="0"/>
              <w:jc w:val="center"/>
              <w:rPr/>
            </w:pPr>
            <w:r>
              <w:rPr>
                <w:sz w:val="22"/>
                <w:szCs w:val="22"/>
              </w:rPr>
              <w:t>Представители Заказчика</w:t>
            </w:r>
          </w:p>
          <w:p>
            <w:pPr>
              <w:pStyle w:val="Normal"/>
              <w:tabs>
                <w:tab w:val="clear" w:pos="369"/>
                <w:tab w:val="left" w:pos="1350" w:leader="none"/>
              </w:tabs>
              <w:jc w:val="center"/>
              <w:rPr/>
            </w:pPr>
            <w:r>
              <w:rPr/>
              <w:t>________________________</w:t>
            </w:r>
          </w:p>
          <w:p>
            <w:pPr>
              <w:pStyle w:val="Normal"/>
              <w:tabs>
                <w:tab w:val="clear" w:pos="369"/>
                <w:tab w:val="left" w:pos="1350" w:leader="none"/>
              </w:tabs>
              <w:jc w:val="center"/>
              <w:rPr>
                <w:sz w:val="16"/>
                <w:szCs w:val="16"/>
              </w:rPr>
            </w:pPr>
            <w:r>
              <w:rPr>
                <w:sz w:val="16"/>
                <w:szCs w:val="16"/>
              </w:rPr>
              <w:t>(должность, подпись, Ф.И.О.)</w:t>
            </w:r>
          </w:p>
        </w:tc>
        <w:tc>
          <w:tcPr>
            <w:tcW w:w="7475" w:type="dxa"/>
            <w:tcBorders/>
          </w:tcPr>
          <w:p>
            <w:pPr>
              <w:pStyle w:val="Normal"/>
              <w:spacing w:before="120" w:after="0"/>
              <w:jc w:val="center"/>
              <w:rPr>
                <w:sz w:val="22"/>
                <w:szCs w:val="22"/>
              </w:rPr>
            </w:pPr>
            <w:r>
              <w:rPr>
                <w:sz w:val="22"/>
                <w:szCs w:val="22"/>
              </w:rPr>
              <w:t>Представители Субподрядчика</w:t>
            </w:r>
          </w:p>
          <w:p>
            <w:pPr>
              <w:pStyle w:val="Normal"/>
              <w:tabs>
                <w:tab w:val="clear" w:pos="369"/>
                <w:tab w:val="left" w:pos="1350" w:leader="none"/>
              </w:tabs>
              <w:jc w:val="center"/>
              <w:rPr/>
            </w:pPr>
            <w:r>
              <w:rPr/>
              <w:t>________________________</w:t>
            </w:r>
          </w:p>
          <w:p>
            <w:pPr>
              <w:pStyle w:val="Normal"/>
              <w:tabs>
                <w:tab w:val="clear" w:pos="369"/>
                <w:tab w:val="left" w:pos="1350" w:leader="none"/>
              </w:tabs>
              <w:jc w:val="center"/>
              <w:rPr>
                <w:sz w:val="16"/>
                <w:szCs w:val="16"/>
              </w:rPr>
            </w:pPr>
            <w:r>
              <w:rPr>
                <w:sz w:val="16"/>
                <w:szCs w:val="16"/>
              </w:rPr>
              <w:t>(должность, подпись, Ф.И.О.)</w:t>
            </w:r>
          </w:p>
        </w:tc>
      </w:tr>
    </w:tbl>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tabs>
          <w:tab w:val="clear" w:pos="369"/>
          <w:tab w:val="left" w:pos="1746" w:leader="none"/>
          <w:tab w:val="left" w:pos="5886" w:leader="none"/>
          <w:tab w:val="left" w:pos="7308" w:leader="none"/>
          <w:tab w:val="left" w:pos="8751" w:leader="none"/>
        </w:tabs>
        <w:rPr>
          <w:rFonts w:ascii="Verdana" w:hAnsi="Verdana" w:cs="Verdana"/>
          <w:sz w:val="22"/>
          <w:szCs w:val="22"/>
        </w:rPr>
      </w:pPr>
      <w:r>
        <w:rPr>
          <w:rFonts w:eastAsia="Verdana" w:cs="Verdana" w:ascii="Verdana" w:hAnsi="Verdana"/>
          <w:sz w:val="22"/>
          <w:szCs w:val="22"/>
        </w:rPr>
        <w:t>_______________________________________________________________________</w:t>
      </w:r>
    </w:p>
    <w:p>
      <w:pPr>
        <w:pStyle w:val="Normal"/>
        <w:jc w:val="center"/>
        <w:rPr>
          <w:rFonts w:ascii="Verdana" w:hAnsi="Verdana" w:cs="Verdana"/>
          <w:b/>
          <w:i/>
          <w:sz w:val="22"/>
          <w:szCs w:val="22"/>
        </w:rPr>
      </w:pPr>
      <w:r>
        <w:rPr>
          <w:rFonts w:eastAsia="Verdana" w:cs="Verdana" w:ascii="Verdana" w:hAnsi="Verdana"/>
          <w:b/>
          <w:i/>
          <w:sz w:val="22"/>
          <w:szCs w:val="22"/>
        </w:rPr>
        <w:t>конец формы</w:t>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rPr>
          <w:sz w:val="8"/>
          <w:szCs w:val="8"/>
        </w:rPr>
      </w:pPr>
      <w:r>
        <w:rPr>
          <w:sz w:val="8"/>
          <w:szCs w:val="8"/>
        </w:rPr>
      </w:r>
    </w:p>
    <w:p>
      <w:pPr>
        <w:pStyle w:val="Normal"/>
        <w:spacing w:before="0" w:after="0"/>
        <w:rPr>
          <w:sz w:val="8"/>
          <w:szCs w:val="8"/>
        </w:rPr>
        <w:sectPr>
          <w:footerReference w:type="default" r:id="rId17"/>
          <w:footerReference w:type="first" r:id="rId18"/>
          <w:type w:val="nextPage"/>
          <w:pgSz w:w="11906" w:h="16838"/>
          <w:pgMar w:left="1134" w:right="707" w:gutter="0" w:header="0" w:top="1134" w:footer="709" w:bottom="993"/>
          <w:pgNumType w:fmt="decimal"/>
          <w:formProt w:val="false"/>
          <w:textDirection w:val="lrTb"/>
          <w:docGrid w:type="default" w:linePitch="360" w:charSpace="0"/>
        </w:sectPr>
      </w:pPr>
      <w:r>
        <w:rPr>
          <w:sz w:val="8"/>
          <w:szCs w:val="8"/>
        </w:rPr>
      </w:r>
    </w:p>
    <w:p>
      <w:pPr>
        <w:pStyle w:val="Normal"/>
        <w:tabs>
          <w:tab w:val="clear" w:pos="369"/>
          <w:tab w:val="left" w:pos="2542" w:leader="none"/>
        </w:tabs>
        <w:jc w:val="end"/>
        <w:rPr>
          <w:rFonts w:ascii="Verdana" w:hAnsi="Verdana" w:cs="Verdana"/>
          <w:sz w:val="22"/>
          <w:szCs w:val="22"/>
        </w:rPr>
      </w:pPr>
      <w:r>
        <w:rPr>
          <w:rFonts w:eastAsia="Verdana" w:cs="Verdana" w:ascii="Verdana" w:hAnsi="Verdana"/>
          <w:sz w:val="22"/>
          <w:szCs w:val="22"/>
        </w:rPr>
        <w:t>Приложение № 8</w:t>
      </w:r>
    </w:p>
    <w:p>
      <w:pPr>
        <w:pStyle w:val="Normal"/>
        <w:tabs>
          <w:tab w:val="clear" w:pos="369"/>
          <w:tab w:val="left" w:pos="2542" w:leader="none"/>
        </w:tabs>
        <w:jc w:val="end"/>
        <w:rPr>
          <w:rFonts w:ascii="Verdana" w:hAnsi="Verdana" w:cs="Verdana"/>
          <w:sz w:val="22"/>
          <w:szCs w:val="22"/>
        </w:rPr>
      </w:pPr>
      <w:r>
        <w:rPr>
          <w:rFonts w:eastAsia="Verdana" w:cs="Verdana" w:ascii="Verdana" w:hAnsi="Verdana"/>
          <w:sz w:val="22"/>
          <w:szCs w:val="22"/>
        </w:rPr>
        <w:t>к Техническому заданию</w:t>
      </w:r>
    </w:p>
    <w:p>
      <w:pPr>
        <w:pStyle w:val="Normal"/>
        <w:jc w:val="center"/>
        <w:rPr>
          <w:rFonts w:ascii="Verdana" w:hAnsi="Verdana" w:eastAsia="Verdana" w:cs="Verdana"/>
          <w:b/>
          <w:sz w:val="22"/>
          <w:szCs w:val="22"/>
        </w:rPr>
      </w:pPr>
      <w:r>
        <w:rPr>
          <w:rFonts w:eastAsia="Verdana" w:cs="Verdana" w:ascii="Verdana" w:hAnsi="Verdana"/>
          <w:b/>
          <w:sz w:val="22"/>
          <w:szCs w:val="22"/>
        </w:rPr>
      </w:r>
    </w:p>
    <w:p>
      <w:pPr>
        <w:pStyle w:val="Normal"/>
        <w:jc w:val="center"/>
        <w:rPr>
          <w:rFonts w:ascii="Verdana" w:hAnsi="Verdana" w:cs="Verdana"/>
          <w:b/>
          <w:sz w:val="22"/>
          <w:szCs w:val="22"/>
        </w:rPr>
      </w:pPr>
      <w:r>
        <w:rPr>
          <w:rFonts w:eastAsia="Verdana" w:cs="Verdana" w:ascii="Verdana" w:hAnsi="Verdana"/>
          <w:b/>
          <w:sz w:val="22"/>
          <w:szCs w:val="22"/>
        </w:rPr>
        <w:t xml:space="preserve">Форма </w:t>
      </w:r>
    </w:p>
    <w:p>
      <w:pPr>
        <w:pStyle w:val="Normal"/>
        <w:jc w:val="center"/>
        <w:rPr>
          <w:rFonts w:ascii="Verdana" w:hAnsi="Verdana" w:cs="Verdana"/>
          <w:b/>
          <w:sz w:val="22"/>
          <w:szCs w:val="22"/>
        </w:rPr>
      </w:pPr>
      <w:r>
        <w:rPr>
          <w:rFonts w:eastAsia="Verdana" w:cs="Verdana" w:ascii="Verdana" w:hAnsi="Verdana"/>
          <w:b/>
          <w:sz w:val="22"/>
          <w:szCs w:val="22"/>
        </w:rPr>
        <w:t>«Акт фиксации потребляемой мощности</w:t>
        <w:br/>
        <w:t>контрольных осветительных приборов»</w:t>
      </w:r>
    </w:p>
    <w:p>
      <w:pPr>
        <w:pStyle w:val="Normal"/>
        <w:jc w:val="end"/>
        <w:rPr>
          <w:rFonts w:ascii="Verdana" w:hAnsi="Verdana" w:cs="Verdana"/>
          <w:sz w:val="22"/>
          <w:szCs w:val="22"/>
        </w:rPr>
      </w:pPr>
      <w:r>
        <w:rPr>
          <w:rFonts w:eastAsia="Verdana" w:cs="Verdana" w:ascii="Verdana" w:hAnsi="Verdana"/>
          <w:sz w:val="22"/>
          <w:szCs w:val="22"/>
        </w:rPr>
        <w:t xml:space="preserve">№ </w:t>
      </w:r>
      <w:r>
        <w:rPr>
          <w:rFonts w:eastAsia="Verdana" w:cs="Verdana" w:ascii="Verdana" w:hAnsi="Verdana"/>
          <w:sz w:val="22"/>
          <w:szCs w:val="22"/>
        </w:rPr>
        <w:t>_______</w:t>
      </w:r>
    </w:p>
    <w:p>
      <w:pPr>
        <w:pStyle w:val="ListParagraph"/>
        <w:numPr>
          <w:ilvl w:val="6"/>
          <w:numId w:val="6"/>
        </w:numPr>
        <w:ind w:hanging="360" w:start="284"/>
        <w:rPr>
          <w:rFonts w:ascii="Verdana" w:hAnsi="Verdana" w:cs="Verdana"/>
          <w:sz w:val="22"/>
          <w:szCs w:val="22"/>
        </w:rPr>
      </w:pPr>
      <w:r>
        <w:rPr>
          <w:rFonts w:eastAsia="Verdana" w:cs="Verdana" w:ascii="Verdana" w:hAnsi="Verdana"/>
          <w:sz w:val="22"/>
          <w:szCs w:val="22"/>
        </w:rPr>
        <w:t>Дата и время проведения измерений: ___________________________________________</w:t>
      </w:r>
    </w:p>
    <w:p>
      <w:pPr>
        <w:pStyle w:val="ListParagraph"/>
        <w:numPr>
          <w:ilvl w:val="6"/>
          <w:numId w:val="6"/>
        </w:numPr>
        <w:ind w:hanging="360" w:start="284"/>
        <w:rPr>
          <w:rFonts w:ascii="Verdana" w:hAnsi="Verdana" w:cs="Verdana"/>
          <w:sz w:val="22"/>
          <w:szCs w:val="22"/>
        </w:rPr>
      </w:pPr>
      <w:r>
        <w:rPr>
          <w:rFonts w:eastAsia="Verdana" w:cs="Verdana" w:ascii="Verdana" w:hAnsi="Verdana"/>
          <w:sz w:val="22"/>
          <w:szCs w:val="22"/>
        </w:rPr>
        <w:t>Тип и номер прибора, дата последней поверки: ___________________________________</w:t>
      </w:r>
    </w:p>
    <w:p>
      <w:pPr>
        <w:pStyle w:val="ListParagraph"/>
        <w:numPr>
          <w:ilvl w:val="6"/>
          <w:numId w:val="6"/>
        </w:numPr>
        <w:ind w:hanging="360" w:start="284"/>
        <w:rPr>
          <w:rFonts w:ascii="Verdana" w:hAnsi="Verdana" w:cs="Verdana"/>
          <w:sz w:val="22"/>
          <w:szCs w:val="22"/>
        </w:rPr>
      </w:pPr>
      <w:r>
        <w:rPr>
          <w:rFonts w:eastAsia="Verdana" w:cs="Verdana" w:ascii="Verdana" w:hAnsi="Verdana"/>
          <w:sz w:val="22"/>
          <w:szCs w:val="22"/>
        </w:rPr>
        <w:t>Напряжение сети: ____________________________________________________________</w:t>
      </w:r>
    </w:p>
    <w:p>
      <w:pPr>
        <w:pStyle w:val="ListParagraph"/>
        <w:numPr>
          <w:ilvl w:val="6"/>
          <w:numId w:val="6"/>
        </w:numPr>
        <w:ind w:hanging="360" w:start="284"/>
        <w:rPr>
          <w:rFonts w:ascii="Verdana" w:hAnsi="Verdana" w:cs="Verdana"/>
          <w:sz w:val="22"/>
          <w:szCs w:val="22"/>
        </w:rPr>
      </w:pPr>
      <w:r>
        <w:rPr>
          <w:rFonts w:eastAsia="Verdana" w:cs="Verdana" w:ascii="Verdana" w:hAnsi="Verdana"/>
          <w:sz w:val="22"/>
          <w:szCs w:val="22"/>
        </w:rPr>
        <w:t>Результаты замеров:</w:t>
      </w:r>
    </w:p>
    <w:p>
      <w:pPr>
        <w:pStyle w:val="Normal"/>
        <w:jc w:val="end"/>
        <w:rPr>
          <w:rFonts w:ascii="Verdana" w:hAnsi="Verdana" w:cs="Verdana"/>
          <w:sz w:val="22"/>
          <w:szCs w:val="22"/>
        </w:rPr>
      </w:pPr>
      <w:r>
        <w:rPr>
          <w:rFonts w:cs="Verdana" w:ascii="Verdana" w:hAnsi="Verdana"/>
          <w:sz w:val="22"/>
          <w:szCs w:val="22"/>
        </w:rPr>
      </w:r>
    </w:p>
    <w:tbl>
      <w:tblPr>
        <w:tblW w:w="1005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926"/>
        <w:gridCol w:w="3568"/>
        <w:gridCol w:w="1555"/>
        <w:gridCol w:w="1595"/>
        <w:gridCol w:w="1411"/>
      </w:tblGrid>
      <w:tr>
        <w:trPr/>
        <w:tc>
          <w:tcPr>
            <w:tcW w:w="1926"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eastAsia="Verdana" w:cs="Verdana" w:ascii="Verdana" w:hAnsi="Verdana"/>
                <w:sz w:val="22"/>
                <w:szCs w:val="22"/>
              </w:rPr>
              <w:t>Порядковый</w:t>
            </w:r>
          </w:p>
          <w:p>
            <w:pPr>
              <w:pStyle w:val="Normal"/>
              <w:jc w:val="center"/>
              <w:rPr>
                <w:rFonts w:ascii="Verdana" w:hAnsi="Verdana" w:cs="Verdana"/>
                <w:sz w:val="22"/>
                <w:szCs w:val="22"/>
              </w:rPr>
            </w:pPr>
            <w:r>
              <w:rPr>
                <w:rFonts w:eastAsia="Verdana" w:cs="Verdana" w:ascii="Verdana" w:hAnsi="Verdana"/>
                <w:sz w:val="22"/>
                <w:szCs w:val="22"/>
              </w:rPr>
              <w:t>номер типа</w:t>
            </w:r>
          </w:p>
          <w:p>
            <w:pPr>
              <w:pStyle w:val="Normal"/>
              <w:jc w:val="center"/>
              <w:rPr>
                <w:rFonts w:ascii="Verdana" w:hAnsi="Verdana" w:cs="Verdana"/>
                <w:sz w:val="22"/>
                <w:szCs w:val="22"/>
              </w:rPr>
            </w:pPr>
            <w:r>
              <w:rPr>
                <w:rFonts w:eastAsia="Verdana" w:cs="Verdana" w:ascii="Verdana" w:hAnsi="Verdana"/>
                <w:sz w:val="22"/>
                <w:szCs w:val="22"/>
              </w:rPr>
              <w:t>осветительных приборов</w:t>
            </w:r>
          </w:p>
          <w:p>
            <w:pPr>
              <w:pStyle w:val="Normal"/>
              <w:jc w:val="center"/>
              <w:rPr>
                <w:rFonts w:ascii="Verdana" w:hAnsi="Verdana" w:cs="Verdana"/>
                <w:sz w:val="22"/>
                <w:szCs w:val="22"/>
              </w:rPr>
            </w:pPr>
            <w:r>
              <w:rPr>
                <w:rFonts w:eastAsia="Verdana" w:cs="Verdana" w:ascii="Verdana" w:hAnsi="Verdana"/>
                <w:sz w:val="22"/>
                <w:szCs w:val="22"/>
              </w:rPr>
              <w:t>(</w:t>
            </w:r>
            <w:r>
              <w:rPr>
                <w:rFonts w:eastAsia="Verdana" w:cs="Verdana" w:ascii="Verdana" w:hAnsi="Verdana"/>
                <w:i/>
                <w:sz w:val="22"/>
                <w:szCs w:val="22"/>
              </w:rPr>
              <w:t>j</w:t>
            </w:r>
            <w:r>
              <w:rPr>
                <w:rFonts w:eastAsia="Verdana" w:cs="Verdana" w:ascii="Verdana" w:hAnsi="Verdana"/>
                <w:sz w:val="22"/>
                <w:szCs w:val="22"/>
              </w:rPr>
              <w:t>)</w:t>
            </w:r>
          </w:p>
        </w:tc>
        <w:tc>
          <w:tcPr>
            <w:tcW w:w="3568"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eastAsia="Verdana" w:cs="Verdana" w:ascii="Verdana" w:hAnsi="Verdana"/>
                <w:sz w:val="22"/>
                <w:szCs w:val="22"/>
              </w:rPr>
              <w:t xml:space="preserve">Осветительный прибор </w:t>
            </w:r>
            <w:r>
              <w:rPr>
                <w:rFonts w:eastAsia="Verdana" w:cs="Verdana" w:ascii="Verdana" w:hAnsi="Verdana"/>
                <w:i/>
                <w:sz w:val="22"/>
                <w:szCs w:val="22"/>
              </w:rPr>
              <w:t>j</w:t>
            </w:r>
            <w:r>
              <w:rPr>
                <w:rFonts w:eastAsia="Verdana" w:cs="Verdana" w:ascii="Verdana" w:hAnsi="Verdana"/>
                <w:sz w:val="22"/>
                <w:szCs w:val="22"/>
              </w:rPr>
              <w:t>-го типа</w:t>
            </w:r>
          </w:p>
        </w:tc>
        <w:tc>
          <w:tcPr>
            <w:tcW w:w="1555"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eastAsia="Verdana" w:cs="Verdana" w:ascii="Verdana" w:hAnsi="Verdana"/>
                <w:sz w:val="22"/>
                <w:szCs w:val="22"/>
              </w:rPr>
              <w:t>Паспортная мощность, кВт</w:t>
            </w:r>
          </w:p>
        </w:tc>
        <w:tc>
          <w:tcPr>
            <w:tcW w:w="1595"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eastAsia="Verdana" w:cs="Verdana" w:ascii="Verdana" w:hAnsi="Verdana"/>
                <w:sz w:val="22"/>
                <w:szCs w:val="22"/>
              </w:rPr>
              <w:t xml:space="preserve">Измеренная мощность </w:t>
            </w:r>
            <w:r>
              <w:rPr>
                <w:rFonts w:eastAsia="Verdana" w:cs="Verdana" w:ascii="Verdana" w:hAnsi="Verdana"/>
                <w:i/>
                <w:sz w:val="22"/>
                <w:szCs w:val="22"/>
                <w:lang w:val="en-US"/>
              </w:rPr>
              <w:t>P</w:t>
            </w:r>
            <w:r>
              <w:rPr>
                <w:rFonts w:eastAsia="Verdana" w:cs="Verdana" w:ascii="Verdana" w:hAnsi="Verdana"/>
                <w:i/>
                <w:sz w:val="22"/>
                <w:szCs w:val="22"/>
                <w:vertAlign w:val="subscript"/>
                <w:lang w:val="en-US"/>
              </w:rPr>
              <w:t>j</w:t>
            </w:r>
            <w:r>
              <w:rPr>
                <w:rFonts w:eastAsia="Verdana" w:cs="Verdana" w:ascii="Verdana" w:hAnsi="Verdana"/>
                <w:i/>
                <w:sz w:val="22"/>
                <w:szCs w:val="22"/>
                <w:vertAlign w:val="subscript"/>
              </w:rPr>
              <w:t xml:space="preserve"> контр 1…</w:t>
            </w:r>
            <w:r>
              <w:rPr>
                <w:rFonts w:eastAsia="Verdana" w:cs="Verdana" w:ascii="Verdana" w:hAnsi="Verdana"/>
                <w:i/>
                <w:sz w:val="22"/>
                <w:szCs w:val="22"/>
                <w:vertAlign w:val="subscript"/>
                <w:lang w:val="en-US"/>
              </w:rPr>
              <w:t>k</w:t>
            </w:r>
            <w:r>
              <w:rPr>
                <w:rFonts w:eastAsia="Verdana" w:cs="Verdana" w:ascii="Verdana" w:hAnsi="Verdana"/>
                <w:sz w:val="22"/>
                <w:szCs w:val="22"/>
              </w:rPr>
              <w:t>, кВт</w:t>
            </w:r>
          </w:p>
        </w:tc>
        <w:tc>
          <w:tcPr>
            <w:tcW w:w="1411"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eastAsia="Verdana" w:cs="Verdana" w:ascii="Verdana" w:hAnsi="Verdana"/>
                <w:sz w:val="22"/>
                <w:szCs w:val="22"/>
              </w:rPr>
              <w:t xml:space="preserve">Средняя мощность </w:t>
            </w:r>
            <w:r>
              <w:rPr>
                <w:rFonts w:eastAsia="Verdana" w:cs="Verdana" w:ascii="Verdana" w:hAnsi="Verdana"/>
                <w:sz w:val="22"/>
                <w:szCs w:val="22"/>
                <w:lang w:val="en-US"/>
              </w:rPr>
              <w:t>P</w:t>
            </w:r>
            <w:r>
              <w:rPr>
                <w:rFonts w:eastAsia="Verdana" w:cs="Verdana" w:ascii="Verdana" w:hAnsi="Verdana"/>
                <w:i/>
                <w:sz w:val="22"/>
                <w:szCs w:val="22"/>
                <w:vertAlign w:val="subscript"/>
                <w:lang w:val="en-US"/>
              </w:rPr>
              <w:t>j</w:t>
            </w:r>
            <w:r>
              <w:rPr>
                <w:rFonts w:eastAsia="Verdana" w:cs="Verdana" w:ascii="Verdana" w:hAnsi="Verdana"/>
                <w:i/>
                <w:sz w:val="22"/>
                <w:szCs w:val="22"/>
                <w:vertAlign w:val="subscript"/>
              </w:rPr>
              <w:t xml:space="preserve"> контр ср</w:t>
            </w:r>
            <w:r>
              <w:rPr>
                <w:rFonts w:eastAsia="Verdana" w:cs="Verdana" w:ascii="Verdana" w:hAnsi="Verdana"/>
                <w:sz w:val="22"/>
                <w:szCs w:val="22"/>
              </w:rPr>
              <w:t>, кВт</w:t>
            </w:r>
          </w:p>
        </w:tc>
      </w:tr>
      <w:tr>
        <w:trPr/>
        <w:tc>
          <w:tcPr>
            <w:tcW w:w="1926"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eastAsia="Verdana" w:cs="Verdana" w:ascii="Verdana" w:hAnsi="Verdana"/>
                <w:sz w:val="22"/>
                <w:szCs w:val="22"/>
                <w:lang w:val="en-US"/>
              </w:rPr>
              <w:t>1</w:t>
            </w:r>
          </w:p>
        </w:tc>
        <w:tc>
          <w:tcPr>
            <w:tcW w:w="3568"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eastAsia="Verdana" w:cs="Verdana" w:ascii="Verdana" w:hAnsi="Verdana"/>
                <w:sz w:val="22"/>
                <w:szCs w:val="22"/>
                <w:lang w:val="en-US"/>
              </w:rPr>
              <w:t>2</w:t>
            </w:r>
          </w:p>
        </w:tc>
        <w:tc>
          <w:tcPr>
            <w:tcW w:w="1555"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eastAsia="Verdana" w:cs="Verdana" w:ascii="Verdana" w:hAnsi="Verdana"/>
                <w:sz w:val="22"/>
                <w:szCs w:val="22"/>
                <w:lang w:val="en-US"/>
              </w:rPr>
              <w:t>3</w:t>
            </w:r>
          </w:p>
        </w:tc>
        <w:tc>
          <w:tcPr>
            <w:tcW w:w="1595"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eastAsia="Verdana" w:cs="Verdana" w:ascii="Verdana" w:hAnsi="Verdana"/>
                <w:sz w:val="22"/>
                <w:szCs w:val="22"/>
                <w:lang w:val="en-US"/>
              </w:rPr>
              <w:t>4</w:t>
            </w:r>
          </w:p>
        </w:tc>
        <w:tc>
          <w:tcPr>
            <w:tcW w:w="1411"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eastAsia="Verdana" w:cs="Verdana" w:ascii="Verdana" w:hAnsi="Verdana"/>
                <w:sz w:val="22"/>
                <w:szCs w:val="22"/>
                <w:lang w:val="en-US"/>
              </w:rPr>
              <w:t>5</w:t>
            </w:r>
          </w:p>
        </w:tc>
      </w:tr>
      <w:tr>
        <w:trPr/>
        <w:tc>
          <w:tcPr>
            <w:tcW w:w="1926"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cs="Verdana" w:ascii="Verdana" w:hAnsi="Verdana"/>
                <w:sz w:val="22"/>
                <w:szCs w:val="22"/>
              </w:rPr>
            </w:r>
          </w:p>
        </w:tc>
        <w:tc>
          <w:tcPr>
            <w:tcW w:w="3568"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cs="Verdana" w:ascii="Verdana" w:hAnsi="Verdana"/>
                <w:sz w:val="22"/>
                <w:szCs w:val="22"/>
              </w:rPr>
            </w:r>
          </w:p>
        </w:tc>
        <w:tc>
          <w:tcPr>
            <w:tcW w:w="1555"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cs="Verdana" w:ascii="Verdana" w:hAnsi="Verdana"/>
                <w:sz w:val="22"/>
                <w:szCs w:val="22"/>
              </w:rPr>
            </w:r>
          </w:p>
        </w:tc>
        <w:tc>
          <w:tcPr>
            <w:tcW w:w="1595"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cs="Verdana" w:ascii="Verdana" w:hAnsi="Verdana"/>
                <w:sz w:val="22"/>
                <w:szCs w:val="22"/>
              </w:rPr>
            </w:r>
          </w:p>
        </w:tc>
        <w:tc>
          <w:tcPr>
            <w:tcW w:w="1411"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cs="Verdana" w:ascii="Verdana" w:hAnsi="Verdana"/>
                <w:sz w:val="22"/>
                <w:szCs w:val="22"/>
              </w:rPr>
            </w:r>
          </w:p>
        </w:tc>
      </w:tr>
      <w:tr>
        <w:trPr/>
        <w:tc>
          <w:tcPr>
            <w:tcW w:w="1926"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cs="Verdana" w:ascii="Verdana" w:hAnsi="Verdana"/>
                <w:sz w:val="22"/>
                <w:szCs w:val="22"/>
              </w:rPr>
            </w:r>
          </w:p>
        </w:tc>
        <w:tc>
          <w:tcPr>
            <w:tcW w:w="3568"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cs="Verdana" w:ascii="Verdana" w:hAnsi="Verdana"/>
                <w:sz w:val="22"/>
                <w:szCs w:val="22"/>
              </w:rPr>
            </w:r>
          </w:p>
        </w:tc>
        <w:tc>
          <w:tcPr>
            <w:tcW w:w="1555"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cs="Verdana" w:ascii="Verdana" w:hAnsi="Verdana"/>
                <w:sz w:val="22"/>
                <w:szCs w:val="22"/>
              </w:rPr>
            </w:r>
          </w:p>
        </w:tc>
        <w:tc>
          <w:tcPr>
            <w:tcW w:w="1595"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cs="Verdana" w:ascii="Verdana" w:hAnsi="Verdana"/>
                <w:sz w:val="22"/>
                <w:szCs w:val="22"/>
              </w:rPr>
            </w:r>
          </w:p>
        </w:tc>
        <w:tc>
          <w:tcPr>
            <w:tcW w:w="1411" w:type="dxa"/>
            <w:tcBorders>
              <w:top w:val="single" w:sz="4" w:space="0" w:color="000000"/>
              <w:start w:val="single" w:sz="4" w:space="0" w:color="000000"/>
              <w:bottom w:val="single" w:sz="4" w:space="0" w:color="000000"/>
              <w:end w:val="single" w:sz="4" w:space="0" w:color="000000"/>
            </w:tcBorders>
          </w:tcPr>
          <w:p>
            <w:pPr>
              <w:pStyle w:val="Normal"/>
              <w:jc w:val="center"/>
              <w:rPr>
                <w:rFonts w:ascii="Verdana" w:hAnsi="Verdana" w:cs="Verdana"/>
                <w:sz w:val="22"/>
                <w:szCs w:val="22"/>
              </w:rPr>
            </w:pPr>
            <w:r>
              <w:rPr>
                <w:rFonts w:cs="Verdana" w:ascii="Verdana" w:hAnsi="Verdana"/>
                <w:sz w:val="22"/>
                <w:szCs w:val="22"/>
              </w:rPr>
            </w:r>
          </w:p>
        </w:tc>
      </w:tr>
    </w:tbl>
    <w:p>
      <w:pPr>
        <w:pStyle w:val="Normal"/>
        <w:tabs>
          <w:tab w:val="clear" w:pos="369"/>
          <w:tab w:val="left" w:pos="1746" w:leader="none"/>
          <w:tab w:val="left" w:pos="5886" w:leader="none"/>
          <w:tab w:val="left" w:pos="7308" w:leader="none"/>
          <w:tab w:val="left" w:pos="8751" w:leader="none"/>
        </w:tabs>
        <w:rPr>
          <w:rFonts w:ascii="Verdana" w:hAnsi="Verdana" w:cs="Verdana"/>
          <w:sz w:val="22"/>
          <w:szCs w:val="22"/>
        </w:rPr>
      </w:pPr>
      <w:r>
        <w:rPr>
          <w:rFonts w:cs="Verdana" w:ascii="Verdana" w:hAnsi="Verdana"/>
          <w:sz w:val="22"/>
          <w:szCs w:val="22"/>
        </w:rPr>
      </w:r>
    </w:p>
    <w:tbl>
      <w:tblPr>
        <w:tblW w:w="9216"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4608"/>
        <w:gridCol w:w="4608"/>
      </w:tblGrid>
      <w:tr>
        <w:trPr/>
        <w:tc>
          <w:tcPr>
            <w:tcW w:w="4608" w:type="dxa"/>
            <w:tcBorders/>
          </w:tcPr>
          <w:p>
            <w:pPr>
              <w:pStyle w:val="Normal"/>
              <w:jc w:val="center"/>
              <w:rPr>
                <w:rFonts w:ascii="Verdana" w:hAnsi="Verdana" w:cs="Verdana"/>
                <w:sz w:val="22"/>
                <w:szCs w:val="22"/>
              </w:rPr>
            </w:pPr>
            <w:r>
              <w:rPr>
                <w:rFonts w:eastAsia="Verdana" w:cs="Verdana" w:ascii="Verdana" w:hAnsi="Verdana"/>
                <w:sz w:val="22"/>
                <w:szCs w:val="22"/>
              </w:rPr>
              <w:t>Представители Заказчика</w:t>
            </w:r>
          </w:p>
          <w:p>
            <w:pPr>
              <w:pStyle w:val="Normal"/>
              <w:tabs>
                <w:tab w:val="clear" w:pos="369"/>
                <w:tab w:val="left" w:pos="1350" w:leader="none"/>
              </w:tabs>
              <w:rPr>
                <w:rFonts w:ascii="Verdana" w:hAnsi="Verdana" w:cs="Verdana"/>
                <w:sz w:val="22"/>
                <w:szCs w:val="22"/>
              </w:rPr>
            </w:pPr>
            <w:r>
              <w:rPr>
                <w:rFonts w:cs="Verdana" w:ascii="Verdana" w:hAnsi="Verdana"/>
                <w:sz w:val="22"/>
                <w:szCs w:val="22"/>
              </w:rPr>
            </w:r>
          </w:p>
          <w:p>
            <w:pPr>
              <w:pStyle w:val="Normal"/>
              <w:tabs>
                <w:tab w:val="clear" w:pos="369"/>
                <w:tab w:val="left" w:pos="1350" w:leader="none"/>
              </w:tabs>
              <w:jc w:val="center"/>
              <w:rPr>
                <w:rFonts w:ascii="Verdana" w:hAnsi="Verdana" w:cs="Verdana"/>
                <w:sz w:val="22"/>
                <w:szCs w:val="22"/>
              </w:rPr>
            </w:pPr>
            <w:r>
              <w:rPr>
                <w:rFonts w:eastAsia="Verdana" w:cs="Verdana" w:ascii="Verdana" w:hAnsi="Verdana"/>
                <w:sz w:val="22"/>
                <w:szCs w:val="22"/>
              </w:rPr>
              <w:t>________________________</w:t>
            </w:r>
          </w:p>
          <w:p>
            <w:pPr>
              <w:pStyle w:val="Normal"/>
              <w:tabs>
                <w:tab w:val="clear" w:pos="369"/>
                <w:tab w:val="left" w:pos="1350" w:leader="none"/>
              </w:tabs>
              <w:jc w:val="center"/>
              <w:rPr>
                <w:rFonts w:ascii="Verdana" w:hAnsi="Verdana" w:cs="Verdana"/>
                <w:sz w:val="22"/>
                <w:szCs w:val="22"/>
              </w:rPr>
            </w:pPr>
            <w:r>
              <w:rPr>
                <w:rFonts w:eastAsia="Verdana" w:cs="Verdana" w:ascii="Verdana" w:hAnsi="Verdana"/>
                <w:sz w:val="22"/>
                <w:szCs w:val="22"/>
              </w:rPr>
              <w:t>(должность, подпись, Ф.И.О.)</w:t>
            </w:r>
          </w:p>
          <w:p>
            <w:pPr>
              <w:pStyle w:val="Normal"/>
              <w:tabs>
                <w:tab w:val="clear" w:pos="369"/>
                <w:tab w:val="left" w:pos="1350" w:leader="none"/>
              </w:tabs>
              <w:rPr>
                <w:rFonts w:ascii="Verdana" w:hAnsi="Verdana" w:cs="Verdana"/>
                <w:sz w:val="22"/>
                <w:szCs w:val="22"/>
              </w:rPr>
            </w:pPr>
            <w:r>
              <w:rPr>
                <w:rFonts w:cs="Verdana" w:ascii="Verdana" w:hAnsi="Verdana"/>
                <w:sz w:val="22"/>
                <w:szCs w:val="22"/>
              </w:rPr>
            </w:r>
          </w:p>
          <w:p>
            <w:pPr>
              <w:pStyle w:val="Normal"/>
              <w:tabs>
                <w:tab w:val="clear" w:pos="369"/>
                <w:tab w:val="left" w:pos="1350" w:leader="none"/>
              </w:tabs>
              <w:jc w:val="center"/>
              <w:rPr>
                <w:rFonts w:ascii="Verdana" w:hAnsi="Verdana" w:cs="Verdana"/>
                <w:sz w:val="22"/>
                <w:szCs w:val="22"/>
              </w:rPr>
            </w:pPr>
            <w:r>
              <w:rPr>
                <w:rFonts w:eastAsia="Verdana" w:cs="Verdana" w:ascii="Verdana" w:hAnsi="Verdana"/>
                <w:sz w:val="22"/>
                <w:szCs w:val="22"/>
              </w:rPr>
              <w:t>________________________</w:t>
            </w:r>
          </w:p>
          <w:p>
            <w:pPr>
              <w:pStyle w:val="Normal"/>
              <w:tabs>
                <w:tab w:val="clear" w:pos="369"/>
                <w:tab w:val="left" w:pos="1350" w:leader="none"/>
              </w:tabs>
              <w:jc w:val="center"/>
              <w:rPr>
                <w:rFonts w:ascii="Verdana" w:hAnsi="Verdana" w:cs="Verdana"/>
                <w:sz w:val="22"/>
                <w:szCs w:val="22"/>
              </w:rPr>
            </w:pPr>
            <w:r>
              <w:rPr>
                <w:rFonts w:eastAsia="Verdana" w:cs="Verdana" w:ascii="Verdana" w:hAnsi="Verdana"/>
                <w:sz w:val="22"/>
                <w:szCs w:val="22"/>
              </w:rPr>
              <w:t>(должность, подпись, Ф.И.О.)</w:t>
            </w:r>
          </w:p>
        </w:tc>
        <w:tc>
          <w:tcPr>
            <w:tcW w:w="4608" w:type="dxa"/>
            <w:tcBorders/>
          </w:tcPr>
          <w:p>
            <w:pPr>
              <w:pStyle w:val="Normal"/>
              <w:jc w:val="center"/>
              <w:rPr>
                <w:rFonts w:ascii="Verdana" w:hAnsi="Verdana" w:cs="Verdana"/>
                <w:sz w:val="22"/>
                <w:szCs w:val="22"/>
              </w:rPr>
            </w:pPr>
            <w:r>
              <w:rPr>
                <w:rFonts w:eastAsia="Verdana" w:cs="Verdana" w:ascii="Verdana" w:hAnsi="Verdana"/>
                <w:sz w:val="22"/>
                <w:szCs w:val="22"/>
              </w:rPr>
              <w:t>Представители Субподрядчика</w:t>
            </w:r>
          </w:p>
          <w:p>
            <w:pPr>
              <w:pStyle w:val="Normal"/>
              <w:jc w:val="center"/>
              <w:rPr>
                <w:rFonts w:ascii="Verdana" w:hAnsi="Verdana" w:cs="Verdana"/>
                <w:sz w:val="22"/>
                <w:szCs w:val="22"/>
              </w:rPr>
            </w:pPr>
            <w:r>
              <w:rPr>
                <w:rFonts w:cs="Verdana" w:ascii="Verdana" w:hAnsi="Verdana"/>
                <w:sz w:val="22"/>
                <w:szCs w:val="22"/>
              </w:rPr>
            </w:r>
          </w:p>
          <w:p>
            <w:pPr>
              <w:pStyle w:val="Normal"/>
              <w:tabs>
                <w:tab w:val="clear" w:pos="369"/>
                <w:tab w:val="left" w:pos="1350" w:leader="none"/>
              </w:tabs>
              <w:jc w:val="center"/>
              <w:rPr>
                <w:rFonts w:ascii="Verdana" w:hAnsi="Verdana" w:cs="Verdana"/>
                <w:sz w:val="22"/>
                <w:szCs w:val="22"/>
              </w:rPr>
            </w:pPr>
            <w:r>
              <w:rPr>
                <w:rFonts w:eastAsia="Verdana" w:cs="Verdana" w:ascii="Verdana" w:hAnsi="Verdana"/>
                <w:sz w:val="22"/>
                <w:szCs w:val="22"/>
              </w:rPr>
              <w:t>________________________</w:t>
            </w:r>
          </w:p>
          <w:p>
            <w:pPr>
              <w:pStyle w:val="Normal"/>
              <w:tabs>
                <w:tab w:val="clear" w:pos="369"/>
                <w:tab w:val="left" w:pos="1350" w:leader="none"/>
              </w:tabs>
              <w:jc w:val="center"/>
              <w:rPr>
                <w:rFonts w:ascii="Verdana" w:hAnsi="Verdana" w:cs="Verdana"/>
                <w:sz w:val="22"/>
                <w:szCs w:val="22"/>
              </w:rPr>
            </w:pPr>
            <w:r>
              <w:rPr>
                <w:rFonts w:eastAsia="Verdana" w:cs="Verdana" w:ascii="Verdana" w:hAnsi="Verdana"/>
                <w:sz w:val="22"/>
                <w:szCs w:val="22"/>
              </w:rPr>
              <w:t>(должность, подпись, Ф.И.О.)</w:t>
            </w:r>
          </w:p>
          <w:p>
            <w:pPr>
              <w:pStyle w:val="Normal"/>
              <w:rPr>
                <w:rFonts w:ascii="Verdana" w:hAnsi="Verdana" w:cs="Verdana"/>
                <w:sz w:val="22"/>
                <w:szCs w:val="22"/>
              </w:rPr>
            </w:pPr>
            <w:r>
              <w:rPr>
                <w:rFonts w:cs="Verdana" w:ascii="Verdana" w:hAnsi="Verdana"/>
                <w:sz w:val="22"/>
                <w:szCs w:val="22"/>
              </w:rPr>
            </w:r>
          </w:p>
          <w:p>
            <w:pPr>
              <w:pStyle w:val="Normal"/>
              <w:tabs>
                <w:tab w:val="clear" w:pos="369"/>
                <w:tab w:val="left" w:pos="1350" w:leader="none"/>
              </w:tabs>
              <w:jc w:val="center"/>
              <w:rPr>
                <w:rFonts w:ascii="Verdana" w:hAnsi="Verdana" w:cs="Verdana"/>
                <w:sz w:val="22"/>
                <w:szCs w:val="22"/>
              </w:rPr>
            </w:pPr>
            <w:r>
              <w:rPr>
                <w:rFonts w:eastAsia="Verdana" w:cs="Verdana" w:ascii="Verdana" w:hAnsi="Verdana"/>
                <w:sz w:val="22"/>
                <w:szCs w:val="22"/>
              </w:rPr>
              <w:t>________________________</w:t>
            </w:r>
          </w:p>
          <w:p>
            <w:pPr>
              <w:pStyle w:val="Normal"/>
              <w:tabs>
                <w:tab w:val="clear" w:pos="369"/>
                <w:tab w:val="left" w:pos="1350" w:leader="none"/>
              </w:tabs>
              <w:jc w:val="center"/>
              <w:rPr>
                <w:rFonts w:ascii="Verdana" w:hAnsi="Verdana" w:cs="Verdana"/>
                <w:sz w:val="22"/>
                <w:szCs w:val="22"/>
              </w:rPr>
            </w:pPr>
            <w:r>
              <w:rPr>
                <w:rFonts w:eastAsia="Verdana" w:cs="Verdana" w:ascii="Verdana" w:hAnsi="Verdana"/>
                <w:sz w:val="22"/>
                <w:szCs w:val="22"/>
              </w:rPr>
              <w:t>(должность, подпись, Ф.И.О.)</w:t>
            </w:r>
          </w:p>
        </w:tc>
      </w:tr>
    </w:tbl>
    <w:p>
      <w:pPr>
        <w:pStyle w:val="Normal"/>
        <w:tabs>
          <w:tab w:val="clear" w:pos="369"/>
          <w:tab w:val="left" w:pos="1746" w:leader="none"/>
          <w:tab w:val="left" w:pos="5886" w:leader="none"/>
          <w:tab w:val="left" w:pos="7308" w:leader="none"/>
          <w:tab w:val="left" w:pos="8751" w:leader="none"/>
        </w:tabs>
        <w:rPr>
          <w:rFonts w:ascii="Verdana" w:hAnsi="Verdana" w:cs="Verdana"/>
          <w:sz w:val="22"/>
          <w:szCs w:val="22"/>
        </w:rPr>
      </w:pPr>
      <w:r>
        <w:rPr>
          <w:rFonts w:cs="Verdana" w:ascii="Verdana" w:hAnsi="Verdana"/>
          <w:sz w:val="22"/>
          <w:szCs w:val="22"/>
        </w:rPr>
      </w:r>
    </w:p>
    <w:p>
      <w:pPr>
        <w:pStyle w:val="Normal"/>
        <w:tabs>
          <w:tab w:val="clear" w:pos="369"/>
          <w:tab w:val="left" w:pos="1746" w:leader="none"/>
          <w:tab w:val="left" w:pos="5886" w:leader="none"/>
          <w:tab w:val="left" w:pos="7308" w:leader="none"/>
          <w:tab w:val="left" w:pos="8751" w:leader="none"/>
        </w:tabs>
        <w:rPr>
          <w:rFonts w:ascii="Verdana" w:hAnsi="Verdana" w:cs="Verdana"/>
          <w:sz w:val="22"/>
          <w:szCs w:val="22"/>
        </w:rPr>
      </w:pPr>
      <w:r>
        <w:rPr>
          <w:rFonts w:eastAsia="Verdana" w:cs="Verdana" w:ascii="Verdana" w:hAnsi="Verdana"/>
          <w:sz w:val="22"/>
          <w:szCs w:val="22"/>
        </w:rPr>
        <w:t>_______________________________________________________________________</w:t>
      </w:r>
    </w:p>
    <w:p>
      <w:pPr>
        <w:pStyle w:val="Normal"/>
        <w:jc w:val="center"/>
        <w:rPr>
          <w:lang w:val="en-US"/>
        </w:rPr>
      </w:pPr>
      <w:r>
        <w:rPr>
          <w:rFonts w:eastAsia="Verdana" w:cs="Verdana" w:ascii="Verdana" w:hAnsi="Verdana"/>
          <w:b/>
          <w:i/>
          <w:sz w:val="22"/>
          <w:szCs w:val="22"/>
        </w:rPr>
        <w:t>конец формы</w:t>
      </w:r>
    </w:p>
    <w:sectPr>
      <w:footerReference w:type="default" r:id="rId19"/>
      <w:footerReference w:type="first" r:id="rId20"/>
      <w:type w:val="nextPage"/>
      <w:pgSz w:w="11906" w:h="16838"/>
      <w:pgMar w:left="1134" w:right="707" w:gutter="0" w:header="0" w:top="1134" w:footer="709"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alibri">
    <w:charset w:val="01" w:characterSet="utf-8"/>
    <w:family w:val="swiss"/>
    <w:pitch w:val="variable"/>
  </w:font>
  <w:font w:name="Symbol">
    <w:charset w:val="01" w:characterSet="utf-8"/>
    <w:family w:val="roman"/>
    <w:pitch w:val="variable"/>
  </w:font>
  <w:font w:name="Verdana">
    <w:charset w:val="01" w:characterSet="utf-8"/>
    <w:family w:val="swiss"/>
    <w:pitch w:val="variable"/>
  </w:font>
  <w:font w:name="Arial">
    <w:charset w:val="01" w:characterSet="utf-8"/>
    <w:family w:val="swiss"/>
    <w:pitch w:val="variable"/>
  </w:font>
  <w:font w:name="Courier New">
    <w:charset w:val="01" w:characterSet="utf-8"/>
    <w:family w:val="roman"/>
    <w:pitch w:val="variable"/>
  </w:font>
  <w:font w:name="Wingdings">
    <w:charset w:val="01" w:characterSet="utf-8"/>
    <w:family w:val="roman"/>
    <w:pitch w:val="variable"/>
  </w:font>
  <w:font w:name="Tahoma">
    <w:charset w:val="01" w:characterSet="utf-8"/>
    <w:family w:val="swiss"/>
    <w:pitch w:val="variable"/>
  </w:font>
  <w:font w:name="Consolas">
    <w:charset w:val="01" w:characterSet="utf-8"/>
    <w:family w:val="roman"/>
    <w:pitch w:val="variable"/>
  </w:font>
  <w:font w:name="Bookman Old Style">
    <w:charset w:val="01" w:characterSet="utf-8"/>
    <w:family w:val="roman"/>
    <w:pitch w:val="variable"/>
  </w:font>
  <w:font w:name="Trebuchet MS">
    <w:charset w:val="01" w:characterSet="utf-8"/>
    <w:family w:val="swiss"/>
    <w:pitch w:val="variable"/>
  </w:font>
  <w:font w:name="Liberation Sans">
    <w:altName w:val="Arial"/>
    <w:charset w:val="01" w:characterSet="utf-8"/>
    <w:family w:val="swiss"/>
    <w:pitch w:val="variable"/>
  </w:font>
  <w:font w:name="TimesET">
    <w:charset w:val="01" w:characterSet="utf-8"/>
    <w:family w:val="roman"/>
    <w:pitch w:val="variable"/>
  </w:font>
  <w:font w:name="Peterburg">
    <w:charset w:val="01" w:characterSet="utf-8"/>
    <w:family w:val="roman"/>
    <w:pitch w:val="variable"/>
  </w:font>
  <w:font w:name="Journal">
    <w:charset w:val="01" w:characterSet="utf-8"/>
    <w:family w:val="roman"/>
    <w:pitch w:val="variable"/>
  </w:font>
  <w:font w:name="Times New Roman">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16968576"/>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24</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16968576"/>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24</w:t>
        </w:r>
        <w:r>
          <w:rPr/>
          <w:fldChar w:fldCharType="end"/>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16968576"/>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26</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432" w:hanging="432"/>
      </w:pPr>
      <w:rPr>
        <w:rFonts w:ascii="Times New Roman" w:hAnsi="Times New Roman" w:cs="Symbol"/>
      </w:rPr>
    </w:lvl>
    <w:lvl w:ilvl="1">
      <w:start w:val="1"/>
      <w:numFmt w:val="none"/>
      <w:suff w:val="nothing"/>
      <w:lvlText w:val=""/>
      <w:lvlJc w:val="start"/>
      <w:pPr>
        <w:tabs>
          <w:tab w:val="num" w:pos="0"/>
        </w:tabs>
        <w:ind w:start="576" w:hanging="576"/>
      </w:pPr>
      <w:rPr/>
    </w:lvl>
    <w:lvl w:ilvl="2">
      <w:start w:val="1"/>
      <w:numFmt w:val="none"/>
      <w:suff w:val="nothing"/>
      <w:lvlText w:val=""/>
      <w:lvlJc w:val="start"/>
      <w:pPr>
        <w:tabs>
          <w:tab w:val="num" w:pos="0"/>
        </w:tabs>
        <w:ind w:start="720" w:hanging="720"/>
      </w:pPr>
      <w:rPr/>
    </w:lvl>
    <w:lvl w:ilvl="3">
      <w:start w:val="1"/>
      <w:numFmt w:val="none"/>
      <w:suff w:val="nothing"/>
      <w:lvlText w:val=""/>
      <w:lvlJc w:val="start"/>
      <w:pPr>
        <w:tabs>
          <w:tab w:val="num" w:pos="0"/>
        </w:tabs>
        <w:ind w:start="864" w:hanging="864"/>
      </w:pPr>
      <w:rPr/>
    </w:lvl>
    <w:lvl w:ilvl="4">
      <w:start w:val="1"/>
      <w:numFmt w:val="none"/>
      <w:suff w:val="nothing"/>
      <w:lvlText w:val=""/>
      <w:lvlJc w:val="start"/>
      <w:pPr>
        <w:tabs>
          <w:tab w:val="num" w:pos="0"/>
        </w:tabs>
        <w:ind w:start="1008" w:hanging="1008"/>
      </w:pPr>
      <w:rPr/>
    </w:lvl>
    <w:lvl w:ilvl="5">
      <w:start w:val="1"/>
      <w:numFmt w:val="none"/>
      <w:suff w:val="nothing"/>
      <w:lvlText w:val=""/>
      <w:lvlJc w:val="start"/>
      <w:pPr>
        <w:tabs>
          <w:tab w:val="num" w:pos="0"/>
        </w:tabs>
        <w:ind w:start="1152" w:hanging="1152"/>
      </w:pPr>
      <w:rPr/>
    </w:lvl>
    <w:lvl w:ilvl="6">
      <w:start w:val="1"/>
      <w:numFmt w:val="none"/>
      <w:suff w:val="nothing"/>
      <w:lvlText w:val=""/>
      <w:lvlJc w:val="start"/>
      <w:pPr>
        <w:tabs>
          <w:tab w:val="num" w:pos="0"/>
        </w:tabs>
        <w:ind w:start="1296" w:hanging="1296"/>
      </w:pPr>
      <w:rPr/>
    </w:lvl>
    <w:lvl w:ilvl="7">
      <w:start w:val="1"/>
      <w:numFmt w:val="none"/>
      <w:suff w:val="nothing"/>
      <w:lvlText w:val=""/>
      <w:lvlJc w:val="start"/>
      <w:pPr>
        <w:tabs>
          <w:tab w:val="num" w:pos="0"/>
        </w:tabs>
        <w:ind w:start="1440" w:hanging="1440"/>
      </w:pPr>
      <w:rPr/>
    </w:lvl>
    <w:lvl w:ilvl="8">
      <w:start w:val="1"/>
      <w:numFmt w:val="none"/>
      <w:suff w:val="nothing"/>
      <w:lvlText w:val=""/>
      <w:lvlJc w:val="start"/>
      <w:pPr>
        <w:tabs>
          <w:tab w:val="num" w:pos="0"/>
        </w:tabs>
        <w:ind w:start="1584" w:hanging="1584"/>
      </w:pPr>
      <w:rPr/>
    </w:lvl>
  </w:abstractNum>
  <w:abstractNum w:abstractNumId="2">
    <w:lvl w:ilvl="0">
      <w:start w:val="1"/>
      <w:numFmt w:val="bullet"/>
      <w:lvlText w:val=""/>
      <w:lvlJc w:val="start"/>
      <w:pPr>
        <w:tabs>
          <w:tab w:val="num" w:pos="360"/>
        </w:tabs>
        <w:ind w:start="36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decimal"/>
      <w:lvlText w:val="%1."/>
      <w:lvlJc w:val="start"/>
      <w:pPr>
        <w:tabs>
          <w:tab w:val="num" w:pos="720"/>
        </w:tabs>
        <w:ind w:start="720" w:hanging="360"/>
      </w:pPr>
      <w:rPr>
        <w:b w:val="false"/>
        <w:bCs w:val="false"/>
        <w:color w:val="000000"/>
        <w:shd w:fill="auto" w:val="clear"/>
      </w:r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b w:val="false"/>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4">
    <w:lvl w:ilvl="0">
      <w:start w:val="1"/>
      <w:numFmt w:val="none"/>
      <w:suff w:val="nothing"/>
      <w:lvlText w:val=""/>
      <w:lvlJc w:val="start"/>
      <w:pPr>
        <w:tabs>
          <w:tab w:val="num" w:pos="0"/>
        </w:tabs>
        <w:ind w:start="432" w:hanging="432"/>
      </w:pPr>
      <w:rPr>
        <w:rFonts w:ascii="Times New Roman" w:hAnsi="Times New Roman" w:cs="Symbol"/>
      </w:rPr>
    </w:lvl>
    <w:lvl w:ilvl="1">
      <w:start w:val="1"/>
      <w:numFmt w:val="none"/>
      <w:suff w:val="nothing"/>
      <w:lvlText w:val=""/>
      <w:lvlJc w:val="start"/>
      <w:pPr>
        <w:tabs>
          <w:tab w:val="num" w:pos="0"/>
        </w:tabs>
        <w:ind w:start="576" w:hanging="576"/>
      </w:pPr>
      <w:rPr/>
    </w:lvl>
    <w:lvl w:ilvl="2">
      <w:start w:val="1"/>
      <w:numFmt w:val="none"/>
      <w:suff w:val="nothing"/>
      <w:lvlText w:val=""/>
      <w:lvlJc w:val="start"/>
      <w:pPr>
        <w:tabs>
          <w:tab w:val="num" w:pos="0"/>
        </w:tabs>
        <w:ind w:start="720" w:hanging="720"/>
      </w:pPr>
      <w:rPr/>
    </w:lvl>
    <w:lvl w:ilvl="3">
      <w:start w:val="1"/>
      <w:numFmt w:val="none"/>
      <w:suff w:val="nothing"/>
      <w:lvlText w:val=""/>
      <w:lvlJc w:val="start"/>
      <w:pPr>
        <w:tabs>
          <w:tab w:val="num" w:pos="0"/>
        </w:tabs>
        <w:ind w:start="864" w:hanging="864"/>
      </w:pPr>
      <w:rPr/>
    </w:lvl>
    <w:lvl w:ilvl="4">
      <w:start w:val="1"/>
      <w:numFmt w:val="none"/>
      <w:suff w:val="nothing"/>
      <w:lvlText w:val=""/>
      <w:lvlJc w:val="start"/>
      <w:pPr>
        <w:tabs>
          <w:tab w:val="num" w:pos="0"/>
        </w:tabs>
        <w:ind w:start="1008" w:hanging="1008"/>
      </w:pPr>
      <w:rPr/>
    </w:lvl>
    <w:lvl w:ilvl="5">
      <w:start w:val="1"/>
      <w:numFmt w:val="none"/>
      <w:suff w:val="nothing"/>
      <w:lvlText w:val=""/>
      <w:lvlJc w:val="start"/>
      <w:pPr>
        <w:tabs>
          <w:tab w:val="num" w:pos="0"/>
        </w:tabs>
        <w:ind w:start="1152" w:hanging="1152"/>
      </w:pPr>
      <w:rPr/>
    </w:lvl>
    <w:lvl w:ilvl="6">
      <w:start w:val="1"/>
      <w:numFmt w:val="none"/>
      <w:suff w:val="nothing"/>
      <w:lvlText w:val=""/>
      <w:lvlJc w:val="start"/>
      <w:pPr>
        <w:tabs>
          <w:tab w:val="num" w:pos="0"/>
        </w:tabs>
        <w:ind w:start="1296" w:hanging="1296"/>
      </w:pPr>
      <w:rPr/>
    </w:lvl>
    <w:lvl w:ilvl="7">
      <w:start w:val="1"/>
      <w:numFmt w:val="none"/>
      <w:suff w:val="nothing"/>
      <w:lvlText w:val=""/>
      <w:lvlJc w:val="start"/>
      <w:pPr>
        <w:tabs>
          <w:tab w:val="num" w:pos="0"/>
        </w:tabs>
        <w:ind w:start="1440" w:hanging="1440"/>
      </w:pPr>
      <w:rPr/>
    </w:lvl>
    <w:lvl w:ilvl="8">
      <w:start w:val="1"/>
      <w:numFmt w:val="none"/>
      <w:suff w:val="nothing"/>
      <w:lvlText w:val=""/>
      <w:lvlJc w:val="start"/>
      <w:pPr>
        <w:tabs>
          <w:tab w:val="num" w:pos="0"/>
        </w:tabs>
        <w:ind w:start="1584" w:hanging="1584"/>
      </w:pPr>
      <w:rPr/>
    </w:lvl>
  </w:abstractNum>
  <w:abstractNum w:abstractNumId="5">
    <w:lvl w:ilvl="0">
      <w:start w:val="1"/>
      <w:numFmt w:val="bullet"/>
      <w:lvlText w:val=""/>
      <w:lvlJc w:val="start"/>
      <w:pPr>
        <w:tabs>
          <w:tab w:val="num" w:pos="0"/>
        </w:tabs>
        <w:ind w:start="502" w:hanging="360"/>
      </w:pPr>
      <w:rPr>
        <w:rFonts w:ascii="Wingdings" w:hAnsi="Wingdings" w:cs="Wingdings" w:hint="default"/>
      </w:rPr>
    </w:lvl>
    <w:lvl w:ilvl="1">
      <w:start w:val="1"/>
      <w:numFmt w:val="bullet"/>
      <w:lvlText w:val="o"/>
      <w:lvlJc w:val="start"/>
      <w:pPr>
        <w:tabs>
          <w:tab w:val="num" w:pos="0"/>
        </w:tabs>
        <w:ind w:start="1222" w:hanging="360"/>
      </w:pPr>
      <w:rPr>
        <w:rFonts w:ascii="Courier New" w:hAnsi="Courier New" w:cs="Courier New" w:hint="default"/>
      </w:rPr>
    </w:lvl>
    <w:lvl w:ilvl="2">
      <w:start w:val="1"/>
      <w:numFmt w:val="bullet"/>
      <w:lvlText w:val=""/>
      <w:lvlJc w:val="start"/>
      <w:pPr>
        <w:tabs>
          <w:tab w:val="num" w:pos="0"/>
        </w:tabs>
        <w:ind w:start="1942" w:hanging="360"/>
      </w:pPr>
      <w:rPr>
        <w:rFonts w:ascii="Wingdings" w:hAnsi="Wingdings" w:cs="Wingdings" w:hint="default"/>
      </w:rPr>
    </w:lvl>
    <w:lvl w:ilvl="3">
      <w:start w:val="1"/>
      <w:numFmt w:val="bullet"/>
      <w:lvlText w:val=""/>
      <w:lvlJc w:val="start"/>
      <w:pPr>
        <w:tabs>
          <w:tab w:val="num" w:pos="0"/>
        </w:tabs>
        <w:ind w:start="2662" w:hanging="360"/>
      </w:pPr>
      <w:rPr>
        <w:rFonts w:ascii="Symbol" w:hAnsi="Symbol" w:cs="Symbol" w:hint="default"/>
      </w:rPr>
    </w:lvl>
    <w:lvl w:ilvl="4">
      <w:start w:val="1"/>
      <w:numFmt w:val="bullet"/>
      <w:lvlText w:val="o"/>
      <w:lvlJc w:val="start"/>
      <w:pPr>
        <w:tabs>
          <w:tab w:val="num" w:pos="0"/>
        </w:tabs>
        <w:ind w:start="3382" w:hanging="360"/>
      </w:pPr>
      <w:rPr>
        <w:rFonts w:ascii="Courier New" w:hAnsi="Courier New" w:cs="Courier New" w:hint="default"/>
      </w:rPr>
    </w:lvl>
    <w:lvl w:ilvl="5">
      <w:start w:val="1"/>
      <w:numFmt w:val="bullet"/>
      <w:lvlText w:val=""/>
      <w:lvlJc w:val="start"/>
      <w:pPr>
        <w:tabs>
          <w:tab w:val="num" w:pos="0"/>
        </w:tabs>
        <w:ind w:start="4102" w:hanging="360"/>
      </w:pPr>
      <w:rPr>
        <w:rFonts w:ascii="Wingdings" w:hAnsi="Wingdings" w:cs="Wingdings" w:hint="default"/>
      </w:rPr>
    </w:lvl>
    <w:lvl w:ilvl="6">
      <w:start w:val="1"/>
      <w:numFmt w:val="bullet"/>
      <w:lvlText w:val=""/>
      <w:lvlJc w:val="start"/>
      <w:pPr>
        <w:tabs>
          <w:tab w:val="num" w:pos="0"/>
        </w:tabs>
        <w:ind w:start="4822" w:hanging="360"/>
      </w:pPr>
      <w:rPr>
        <w:rFonts w:ascii="Symbol" w:hAnsi="Symbol" w:cs="Symbol" w:hint="default"/>
      </w:rPr>
    </w:lvl>
    <w:lvl w:ilvl="7">
      <w:start w:val="1"/>
      <w:numFmt w:val="bullet"/>
      <w:lvlText w:val="o"/>
      <w:lvlJc w:val="start"/>
      <w:pPr>
        <w:tabs>
          <w:tab w:val="num" w:pos="0"/>
        </w:tabs>
        <w:ind w:start="5542" w:hanging="360"/>
      </w:pPr>
      <w:rPr>
        <w:rFonts w:ascii="Courier New" w:hAnsi="Courier New" w:cs="Courier New" w:hint="default"/>
      </w:rPr>
    </w:lvl>
    <w:lvl w:ilvl="8">
      <w:start w:val="1"/>
      <w:numFmt w:val="bullet"/>
      <w:lvlText w:val=""/>
      <w:lvlJc w:val="start"/>
      <w:pPr>
        <w:tabs>
          <w:tab w:val="num" w:pos="0"/>
        </w:tabs>
        <w:ind w:start="6262" w:hanging="360"/>
      </w:pPr>
      <w:rPr>
        <w:rFonts w:ascii="Wingdings" w:hAnsi="Wingdings" w:cs="Wingdings" w:hint="default"/>
      </w:rPr>
    </w:lvl>
  </w:abstractNum>
  <w:abstractNum w:abstractNumId="6">
    <w:lvl w:ilvl="0">
      <w:start w:val="1"/>
      <w:numFmt w:val="decimal"/>
      <w:lvlText w:val="%1."/>
      <w:lvlJc w:val="start"/>
      <w:pPr>
        <w:tabs>
          <w:tab w:val="num" w:pos="720"/>
        </w:tabs>
        <w:ind w:start="720" w:hanging="360"/>
      </w:pPr>
      <w:rPr>
        <w:b w:val="false"/>
        <w:bCs w:val="false"/>
        <w:color w:val="000000"/>
        <w:shd w:fill="auto" w:val="clear"/>
      </w:r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b w:val="false"/>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7">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8">
    <w:lvl w:ilvl="0">
      <w:start w:val="1"/>
      <w:numFmt w:val="decimal"/>
      <w:lvlText w:val="%1"/>
      <w:lvlJc w:val="start"/>
      <w:pPr>
        <w:tabs>
          <w:tab w:val="num" w:pos="480"/>
        </w:tabs>
        <w:ind w:start="480" w:hanging="480"/>
      </w:pPr>
      <w:rPr/>
    </w:lvl>
    <w:lvl w:ilvl="1">
      <w:start w:val="1"/>
      <w:numFmt w:val="decimal"/>
      <w:lvlText w:val="%1.%2"/>
      <w:lvlJc w:val="start"/>
      <w:pPr>
        <w:tabs>
          <w:tab w:val="num" w:pos="480"/>
        </w:tabs>
        <w:ind w:start="480" w:hanging="480"/>
      </w:pPr>
      <w:rPr/>
    </w:lvl>
    <w:lvl w:ilvl="2">
      <w:start w:val="1"/>
      <w:numFmt w:val="decimal"/>
      <w:lvlText w:val="%1.%2.%3"/>
      <w:lvlJc w:val="start"/>
      <w:pPr>
        <w:tabs>
          <w:tab w:val="num" w:pos="1430"/>
        </w:tabs>
        <w:ind w:start="1430" w:hanging="720"/>
      </w:pPr>
      <w:rPr/>
    </w:lvl>
    <w:lvl w:ilvl="3">
      <w:start w:val="1"/>
      <w:numFmt w:val="decimal"/>
      <w:lvlText w:val="%1.%2.%3.%4"/>
      <w:lvlJc w:val="start"/>
      <w:pPr>
        <w:tabs>
          <w:tab w:val="num" w:pos="1080"/>
        </w:tabs>
        <w:ind w:start="1080" w:hanging="1080"/>
      </w:pPr>
      <w:rPr/>
    </w:lvl>
    <w:lvl w:ilvl="4">
      <w:start w:val="1"/>
      <w:numFmt w:val="decimal"/>
      <w:lvlText w:val="%1.%2.%3.%4.%5"/>
      <w:lvlJc w:val="start"/>
      <w:pPr>
        <w:tabs>
          <w:tab w:val="num" w:pos="1080"/>
        </w:tabs>
        <w:ind w:start="1080" w:hanging="1080"/>
      </w:pPr>
      <w:rPr/>
    </w:lvl>
    <w:lvl w:ilvl="5">
      <w:start w:val="1"/>
      <w:numFmt w:val="decimal"/>
      <w:lvlText w:val="%1.%2.%3.%4.%5.%6"/>
      <w:lvlJc w:val="start"/>
      <w:pPr>
        <w:tabs>
          <w:tab w:val="num" w:pos="1440"/>
        </w:tabs>
        <w:ind w:start="1440" w:hanging="1440"/>
      </w:pPr>
      <w:rPr/>
    </w:lvl>
    <w:lvl w:ilvl="6">
      <w:start w:val="1"/>
      <w:numFmt w:val="decimal"/>
      <w:lvlText w:val="%1.%2.%3.%4.%5.%6.%7"/>
      <w:lvlJc w:val="start"/>
      <w:pPr>
        <w:tabs>
          <w:tab w:val="num" w:pos="1440"/>
        </w:tabs>
        <w:ind w:start="1440" w:hanging="1440"/>
      </w:pPr>
      <w:rPr/>
    </w:lvl>
    <w:lvl w:ilvl="7">
      <w:start w:val="1"/>
      <w:numFmt w:val="decimal"/>
      <w:lvlText w:val="%1.%2.%3.%4.%5.%6.%7.%8"/>
      <w:lvlJc w:val="start"/>
      <w:pPr>
        <w:tabs>
          <w:tab w:val="num" w:pos="1800"/>
        </w:tabs>
        <w:ind w:start="1800" w:hanging="1800"/>
      </w:pPr>
      <w:rPr/>
    </w:lvl>
    <w:lvl w:ilvl="8">
      <w:start w:val="1"/>
      <w:numFmt w:val="decimal"/>
      <w:lvlText w:val="%1.%2.%3.%4.%5.%6.%7.%8.%9"/>
      <w:lvlJc w:val="start"/>
      <w:pPr>
        <w:tabs>
          <w:tab w:val="num" w:pos="2160"/>
        </w:tabs>
        <w:ind w:start="2160" w:hanging="2160"/>
      </w:pPr>
      <w:rPr/>
    </w:lvl>
  </w:abstractNum>
  <w:abstractNum w:abstractNumId="9">
    <w:lvl w:ilvl="0">
      <w:start w:val="3"/>
      <w:numFmt w:val="decimal"/>
      <w:lvlText w:val="%1"/>
      <w:lvlJc w:val="start"/>
      <w:pPr>
        <w:tabs>
          <w:tab w:val="num" w:pos="0"/>
        </w:tabs>
        <w:ind w:start="840" w:hanging="360"/>
      </w:pPr>
      <w:rPr/>
    </w:lvl>
    <w:lvl w:ilvl="1">
      <w:start w:val="1"/>
      <w:numFmt w:val="lowerLetter"/>
      <w:lvlText w:val="%2."/>
      <w:lvlJc w:val="start"/>
      <w:pPr>
        <w:tabs>
          <w:tab w:val="num" w:pos="0"/>
        </w:tabs>
        <w:ind w:start="1560" w:hanging="360"/>
      </w:pPr>
      <w:rPr/>
    </w:lvl>
    <w:lvl w:ilvl="2">
      <w:start w:val="1"/>
      <w:numFmt w:val="lowerRoman"/>
      <w:lvlText w:val="%3."/>
      <w:lvlJc w:val="end"/>
      <w:pPr>
        <w:tabs>
          <w:tab w:val="num" w:pos="0"/>
        </w:tabs>
        <w:ind w:start="2280" w:hanging="180"/>
      </w:pPr>
      <w:rPr/>
    </w:lvl>
    <w:lvl w:ilvl="3">
      <w:start w:val="1"/>
      <w:numFmt w:val="decimal"/>
      <w:lvlText w:val="%4."/>
      <w:lvlJc w:val="start"/>
      <w:pPr>
        <w:tabs>
          <w:tab w:val="num" w:pos="0"/>
        </w:tabs>
        <w:ind w:start="3000" w:hanging="360"/>
      </w:pPr>
      <w:rPr/>
    </w:lvl>
    <w:lvl w:ilvl="4">
      <w:start w:val="1"/>
      <w:numFmt w:val="lowerLetter"/>
      <w:lvlText w:val="%5."/>
      <w:lvlJc w:val="start"/>
      <w:pPr>
        <w:tabs>
          <w:tab w:val="num" w:pos="0"/>
        </w:tabs>
        <w:ind w:start="3720" w:hanging="360"/>
      </w:pPr>
      <w:rPr/>
    </w:lvl>
    <w:lvl w:ilvl="5">
      <w:start w:val="1"/>
      <w:numFmt w:val="lowerRoman"/>
      <w:lvlText w:val="%6."/>
      <w:lvlJc w:val="end"/>
      <w:pPr>
        <w:tabs>
          <w:tab w:val="num" w:pos="0"/>
        </w:tabs>
        <w:ind w:start="4440" w:hanging="180"/>
      </w:pPr>
      <w:rPr/>
    </w:lvl>
    <w:lvl w:ilvl="6">
      <w:start w:val="1"/>
      <w:numFmt w:val="decimal"/>
      <w:lvlText w:val="%7."/>
      <w:lvlJc w:val="start"/>
      <w:pPr>
        <w:tabs>
          <w:tab w:val="num" w:pos="0"/>
        </w:tabs>
        <w:ind w:start="5160" w:hanging="360"/>
      </w:pPr>
      <w:rPr/>
    </w:lvl>
    <w:lvl w:ilvl="7">
      <w:start w:val="1"/>
      <w:numFmt w:val="lowerLetter"/>
      <w:lvlText w:val="%8."/>
      <w:lvlJc w:val="start"/>
      <w:pPr>
        <w:tabs>
          <w:tab w:val="num" w:pos="0"/>
        </w:tabs>
        <w:ind w:start="5880" w:hanging="360"/>
      </w:pPr>
      <w:rPr/>
    </w:lvl>
    <w:lvl w:ilvl="8">
      <w:start w:val="1"/>
      <w:numFmt w:val="lowerRoman"/>
      <w:lvlText w:val="%9."/>
      <w:lvlJc w:val="end"/>
      <w:pPr>
        <w:tabs>
          <w:tab w:val="num" w:pos="0"/>
        </w:tabs>
        <w:ind w:start="6600" w:hanging="180"/>
      </w:pPr>
      <w:rPr/>
    </w:lvl>
  </w:abstractNum>
  <w:abstractNum w:abstractNumId="10">
    <w:lvl w:ilvl="0">
      <w:start w:val="2"/>
      <w:numFmt w:val="decimal"/>
      <w:lvlText w:val="7.1,%1"/>
      <w:lvlJc w:val="start"/>
      <w:pPr>
        <w:tabs>
          <w:tab w:val="num" w:pos="0"/>
        </w:tabs>
        <w:ind w:start="0" w:hanging="0"/>
      </w:pPr>
      <w:rPr>
        <w:rFonts w:ascii="Trebuchet MS" w:hAnsi="Trebuchet MS" w:eastAsia="Trebuchet MS" w:cs="Trebuchet MS"/>
        <w:b w:val="false"/>
        <w:bCs w:val="false"/>
        <w:i w:val="false"/>
        <w:iCs w:val="false"/>
        <w:caps w:val="false"/>
        <w:smallCaps w:val="false"/>
        <w:strike w:val="false"/>
        <w:dstrike w:val="false"/>
        <w:color w:val="000000"/>
        <w:spacing w:val="0"/>
        <w:sz w:val="24"/>
        <w:szCs w:val="24"/>
        <w:u w:val="none"/>
        <w:lang w:val="ru-RU" w:eastAsia="ru-RU" w:bidi="ru-RU"/>
      </w:rPr>
    </w:lvl>
    <w:lvl w:ilvl="1">
      <w:start w:val="1"/>
      <w:numFmt w:val="decimal"/>
      <w:lvlText w:val=""/>
      <w:lvlJc w:val="start"/>
      <w:pPr>
        <w:tabs>
          <w:tab w:val="num" w:pos="0"/>
        </w:tabs>
        <w:ind w:start="0" w:hanging="0"/>
      </w:pPr>
      <w:rPr/>
    </w:lvl>
    <w:lvl w:ilvl="2">
      <w:start w:val="1"/>
      <w:numFmt w:val="decimal"/>
      <w:lvlText w:val=""/>
      <w:lvlJc w:val="start"/>
      <w:pPr>
        <w:tabs>
          <w:tab w:val="num" w:pos="0"/>
        </w:tabs>
        <w:ind w:start="0" w:hanging="0"/>
      </w:pPr>
      <w:rPr/>
    </w:lvl>
    <w:lvl w:ilvl="3">
      <w:start w:val="1"/>
      <w:numFmt w:val="decimal"/>
      <w:lvlText w:val=""/>
      <w:lvlJc w:val="start"/>
      <w:pPr>
        <w:tabs>
          <w:tab w:val="num" w:pos="0"/>
        </w:tabs>
        <w:ind w:start="0" w:hanging="0"/>
      </w:pPr>
      <w:rPr/>
    </w:lvl>
    <w:lvl w:ilvl="4">
      <w:start w:val="1"/>
      <w:numFmt w:val="decimal"/>
      <w:lvlText w:val=""/>
      <w:lvlJc w:val="start"/>
      <w:pPr>
        <w:tabs>
          <w:tab w:val="num" w:pos="0"/>
        </w:tabs>
        <w:ind w:start="0" w:hanging="0"/>
      </w:pPr>
      <w:rPr/>
    </w:lvl>
    <w:lvl w:ilvl="5">
      <w:start w:val="1"/>
      <w:numFmt w:val="decimal"/>
      <w:lvlText w:val=""/>
      <w:lvlJc w:val="start"/>
      <w:pPr>
        <w:tabs>
          <w:tab w:val="num" w:pos="0"/>
        </w:tabs>
        <w:ind w:start="0" w:hanging="0"/>
      </w:pPr>
      <w:rPr/>
    </w:lvl>
    <w:lvl w:ilvl="6">
      <w:start w:val="1"/>
      <w:numFmt w:val="decimal"/>
      <w:lvlText w:val=""/>
      <w:lvlJc w:val="start"/>
      <w:pPr>
        <w:tabs>
          <w:tab w:val="num" w:pos="0"/>
        </w:tabs>
        <w:ind w:start="0" w:hanging="0"/>
      </w:pPr>
      <w:rPr/>
    </w:lvl>
    <w:lvl w:ilvl="7">
      <w:start w:val="1"/>
      <w:numFmt w:val="decimal"/>
      <w:lvlText w:val=""/>
      <w:lvlJc w:val="start"/>
      <w:pPr>
        <w:tabs>
          <w:tab w:val="num" w:pos="0"/>
        </w:tabs>
        <w:ind w:start="0" w:hanging="0"/>
      </w:pPr>
      <w:rPr/>
    </w:lvl>
    <w:lvl w:ilvl="8">
      <w:start w:val="1"/>
      <w:numFmt w:val="decimal"/>
      <w:lvlText w:val=""/>
      <w:lvlJc w:val="start"/>
      <w:pPr>
        <w:tabs>
          <w:tab w:val="num" w:pos="0"/>
        </w:tabs>
        <w:ind w:start="0" w:hanging="0"/>
      </w:pPr>
      <w:rPr/>
    </w:lvl>
  </w:abstractNum>
  <w:abstractNum w:abstractNumId="11">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12">
    <w:lvl w:ilvl="0">
      <w:start w:val="1"/>
      <w:numFmt w:val="bullet"/>
      <w:lvlText w:val="–"/>
      <w:lvlJc w:val="start"/>
      <w:pPr>
        <w:tabs>
          <w:tab w:val="num" w:pos="0"/>
        </w:tabs>
        <w:ind w:start="1418" w:hanging="360"/>
      </w:pPr>
      <w:rPr>
        <w:rFonts w:ascii="Arial" w:hAnsi="Arial" w:cs="Arial" w:hint="default"/>
      </w:rPr>
    </w:lvl>
    <w:lvl w:ilvl="1">
      <w:start w:val="1"/>
      <w:numFmt w:val="bullet"/>
      <w:lvlText w:val="o"/>
      <w:lvlJc w:val="start"/>
      <w:pPr>
        <w:tabs>
          <w:tab w:val="num" w:pos="0"/>
        </w:tabs>
        <w:ind w:start="2138" w:hanging="360"/>
      </w:pPr>
      <w:rPr>
        <w:rFonts w:ascii="Courier New" w:hAnsi="Courier New" w:cs="Courier New" w:hint="default"/>
      </w:rPr>
    </w:lvl>
    <w:lvl w:ilvl="2">
      <w:start w:val="1"/>
      <w:numFmt w:val="bullet"/>
      <w:lvlText w:val="§"/>
      <w:lvlJc w:val="start"/>
      <w:pPr>
        <w:tabs>
          <w:tab w:val="num" w:pos="0"/>
        </w:tabs>
        <w:ind w:start="2858" w:hanging="360"/>
      </w:pPr>
      <w:rPr>
        <w:rFonts w:ascii="Wingdings" w:hAnsi="Wingdings" w:cs="Wingdings" w:hint="default"/>
      </w:rPr>
    </w:lvl>
    <w:lvl w:ilvl="3">
      <w:start w:val="1"/>
      <w:numFmt w:val="bullet"/>
      <w:lvlText w:val="·"/>
      <w:lvlJc w:val="start"/>
      <w:pPr>
        <w:tabs>
          <w:tab w:val="num" w:pos="0"/>
        </w:tabs>
        <w:ind w:start="3578" w:hanging="360"/>
      </w:pPr>
      <w:rPr>
        <w:rFonts w:ascii="Symbol" w:hAnsi="Symbol" w:cs="Symbol" w:hint="default"/>
      </w:rPr>
    </w:lvl>
    <w:lvl w:ilvl="4">
      <w:start w:val="1"/>
      <w:numFmt w:val="bullet"/>
      <w:lvlText w:val="o"/>
      <w:lvlJc w:val="start"/>
      <w:pPr>
        <w:tabs>
          <w:tab w:val="num" w:pos="0"/>
        </w:tabs>
        <w:ind w:start="4298" w:hanging="360"/>
      </w:pPr>
      <w:rPr>
        <w:rFonts w:ascii="Courier New" w:hAnsi="Courier New" w:cs="Courier New" w:hint="default"/>
      </w:rPr>
    </w:lvl>
    <w:lvl w:ilvl="5">
      <w:start w:val="1"/>
      <w:numFmt w:val="bullet"/>
      <w:lvlText w:val="§"/>
      <w:lvlJc w:val="start"/>
      <w:pPr>
        <w:tabs>
          <w:tab w:val="num" w:pos="0"/>
        </w:tabs>
        <w:ind w:start="5018" w:hanging="360"/>
      </w:pPr>
      <w:rPr>
        <w:rFonts w:ascii="Wingdings" w:hAnsi="Wingdings" w:cs="Wingdings" w:hint="default"/>
      </w:rPr>
    </w:lvl>
    <w:lvl w:ilvl="6">
      <w:start w:val="1"/>
      <w:numFmt w:val="bullet"/>
      <w:lvlText w:val="·"/>
      <w:lvlJc w:val="start"/>
      <w:pPr>
        <w:tabs>
          <w:tab w:val="num" w:pos="0"/>
        </w:tabs>
        <w:ind w:start="5738" w:hanging="360"/>
      </w:pPr>
      <w:rPr>
        <w:rFonts w:ascii="Symbol" w:hAnsi="Symbol" w:cs="Symbol" w:hint="default"/>
      </w:rPr>
    </w:lvl>
    <w:lvl w:ilvl="7">
      <w:start w:val="1"/>
      <w:numFmt w:val="bullet"/>
      <w:lvlText w:val="o"/>
      <w:lvlJc w:val="start"/>
      <w:pPr>
        <w:tabs>
          <w:tab w:val="num" w:pos="0"/>
        </w:tabs>
        <w:ind w:start="6458" w:hanging="360"/>
      </w:pPr>
      <w:rPr>
        <w:rFonts w:ascii="Courier New" w:hAnsi="Courier New" w:cs="Courier New" w:hint="default"/>
      </w:rPr>
    </w:lvl>
    <w:lvl w:ilvl="8">
      <w:start w:val="1"/>
      <w:numFmt w:val="bullet"/>
      <w:lvlText w:val="§"/>
      <w:lvlJc w:val="start"/>
      <w:pPr>
        <w:tabs>
          <w:tab w:val="num" w:pos="0"/>
        </w:tabs>
        <w:ind w:start="7178" w:hanging="360"/>
      </w:pPr>
      <w:rPr>
        <w:rFonts w:ascii="Wingdings" w:hAnsi="Wingdings" w:cs="Wingdings" w:hint="default"/>
      </w:rPr>
    </w:lvl>
  </w:abstractNum>
  <w:abstractNum w:abstractNumId="13">
    <w:lvl w:ilvl="0">
      <w:start w:val="1"/>
      <w:numFmt w:val="bullet"/>
      <w:lvlText w:val="–"/>
      <w:lvlJc w:val="start"/>
      <w:pPr>
        <w:tabs>
          <w:tab w:val="num" w:pos="0"/>
        </w:tabs>
        <w:ind w:start="1417" w:hanging="360"/>
      </w:pPr>
      <w:rPr>
        <w:rFonts w:ascii="Arial" w:hAnsi="Arial" w:cs="Arial" w:hint="default"/>
      </w:rPr>
    </w:lvl>
    <w:lvl w:ilvl="1">
      <w:start w:val="1"/>
      <w:numFmt w:val="bullet"/>
      <w:lvlText w:val="o"/>
      <w:lvlJc w:val="start"/>
      <w:pPr>
        <w:tabs>
          <w:tab w:val="num" w:pos="0"/>
        </w:tabs>
        <w:ind w:start="2137" w:hanging="360"/>
      </w:pPr>
      <w:rPr>
        <w:rFonts w:ascii="Courier New" w:hAnsi="Courier New" w:cs="Courier New" w:hint="default"/>
      </w:rPr>
    </w:lvl>
    <w:lvl w:ilvl="2">
      <w:start w:val="1"/>
      <w:numFmt w:val="bullet"/>
      <w:lvlText w:val="§"/>
      <w:lvlJc w:val="start"/>
      <w:pPr>
        <w:tabs>
          <w:tab w:val="num" w:pos="0"/>
        </w:tabs>
        <w:ind w:start="2857" w:hanging="360"/>
      </w:pPr>
      <w:rPr>
        <w:rFonts w:ascii="Wingdings" w:hAnsi="Wingdings" w:cs="Wingdings" w:hint="default"/>
      </w:rPr>
    </w:lvl>
    <w:lvl w:ilvl="3">
      <w:start w:val="1"/>
      <w:numFmt w:val="bullet"/>
      <w:lvlText w:val="·"/>
      <w:lvlJc w:val="start"/>
      <w:pPr>
        <w:tabs>
          <w:tab w:val="num" w:pos="0"/>
        </w:tabs>
        <w:ind w:start="3577" w:hanging="360"/>
      </w:pPr>
      <w:rPr>
        <w:rFonts w:ascii="Symbol" w:hAnsi="Symbol" w:cs="Symbol" w:hint="default"/>
      </w:rPr>
    </w:lvl>
    <w:lvl w:ilvl="4">
      <w:start w:val="1"/>
      <w:numFmt w:val="bullet"/>
      <w:lvlText w:val="o"/>
      <w:lvlJc w:val="start"/>
      <w:pPr>
        <w:tabs>
          <w:tab w:val="num" w:pos="0"/>
        </w:tabs>
        <w:ind w:start="4297" w:hanging="360"/>
      </w:pPr>
      <w:rPr>
        <w:rFonts w:ascii="Courier New" w:hAnsi="Courier New" w:cs="Courier New" w:hint="default"/>
      </w:rPr>
    </w:lvl>
    <w:lvl w:ilvl="5">
      <w:start w:val="1"/>
      <w:numFmt w:val="bullet"/>
      <w:lvlText w:val="§"/>
      <w:lvlJc w:val="start"/>
      <w:pPr>
        <w:tabs>
          <w:tab w:val="num" w:pos="0"/>
        </w:tabs>
        <w:ind w:start="5017" w:hanging="360"/>
      </w:pPr>
      <w:rPr>
        <w:rFonts w:ascii="Wingdings" w:hAnsi="Wingdings" w:cs="Wingdings" w:hint="default"/>
      </w:rPr>
    </w:lvl>
    <w:lvl w:ilvl="6">
      <w:start w:val="1"/>
      <w:numFmt w:val="bullet"/>
      <w:lvlText w:val="·"/>
      <w:lvlJc w:val="start"/>
      <w:pPr>
        <w:tabs>
          <w:tab w:val="num" w:pos="0"/>
        </w:tabs>
        <w:ind w:start="5737" w:hanging="360"/>
      </w:pPr>
      <w:rPr>
        <w:rFonts w:ascii="Symbol" w:hAnsi="Symbol" w:cs="Symbol" w:hint="default"/>
      </w:rPr>
    </w:lvl>
    <w:lvl w:ilvl="7">
      <w:start w:val="1"/>
      <w:numFmt w:val="bullet"/>
      <w:lvlText w:val="o"/>
      <w:lvlJc w:val="start"/>
      <w:pPr>
        <w:tabs>
          <w:tab w:val="num" w:pos="0"/>
        </w:tabs>
        <w:ind w:start="6457" w:hanging="360"/>
      </w:pPr>
      <w:rPr>
        <w:rFonts w:ascii="Courier New" w:hAnsi="Courier New" w:cs="Courier New" w:hint="default"/>
      </w:rPr>
    </w:lvl>
    <w:lvl w:ilvl="8">
      <w:start w:val="1"/>
      <w:numFmt w:val="bullet"/>
      <w:lvlText w:val="§"/>
      <w:lvlJc w:val="start"/>
      <w:pPr>
        <w:tabs>
          <w:tab w:val="num" w:pos="0"/>
        </w:tabs>
        <w:ind w:start="7177" w:hanging="360"/>
      </w:pPr>
      <w:rPr>
        <w:rFonts w:ascii="Wingdings" w:hAnsi="Wingdings" w:cs="Wingdings" w:hint="default"/>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4"/>
    <w:lvlOverride w:ilvl="0">
      <w:startOverride w:val="1"/>
    </w:lvlOverride>
    <w:lvlOverride w:ilvl="1">
      <w:startOverride w:val="1"/>
    </w:lvlOverride>
  </w:num>
</w:numbering>
</file>

<file path=word/settings.xml><?xml version="1.0" encoding="utf-8"?>
<w:settings xmlns:w="http://schemas.openxmlformats.org/wordprocessingml/2006/main">
  <w:zoom w:percent="100"/>
  <w:defaultTabStop w:val="36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640f2"/>
    <w:pPr>
      <w:widowControl/>
      <w:bidi w:val="0"/>
      <w:spacing w:before="0" w:after="0"/>
      <w:jc w:val="start"/>
    </w:pPr>
    <w:rPr>
      <w:rFonts w:ascii="Times New Roman" w:hAnsi="Times New Roman" w:eastAsia="Times New Roman" w:cs="Times New Roman"/>
      <w:color w:val="auto"/>
      <w:kern w:val="0"/>
      <w:sz w:val="24"/>
      <w:szCs w:val="24"/>
      <w:lang w:eastAsia="ar-SA" w:val="ru-RU" w:bidi="ar-SA"/>
    </w:rPr>
  </w:style>
  <w:style w:type="paragraph" w:styleId="Heading1">
    <w:name w:val="heading 1"/>
    <w:basedOn w:val="Normal"/>
    <w:next w:val="Normal"/>
    <w:link w:val="11"/>
    <w:uiPriority w:val="9"/>
    <w:qFormat/>
    <w:pPr>
      <w:numPr>
        <w:ilvl w:val="0"/>
        <w:numId w:val="1"/>
      </w:numPr>
      <w:spacing w:lineRule="auto" w:line="360" w:before="0" w:after="120"/>
      <w:jc w:val="both"/>
      <w:outlineLvl w:val="0"/>
    </w:pPr>
    <w:rPr>
      <w:rFonts w:ascii="Calibri" w:hAnsi="Calibri" w:eastAsia="Calibri" w:cs="Calibri"/>
      <w:b/>
      <w:bCs/>
      <w:sz w:val="20"/>
      <w:szCs w:val="20"/>
    </w:rPr>
  </w:style>
  <w:style w:type="paragraph" w:styleId="Heading2">
    <w:name w:val="heading 2"/>
    <w:basedOn w:val="Normal"/>
    <w:next w:val="BodyText"/>
    <w:link w:val="21"/>
    <w:uiPriority w:val="9"/>
    <w:qFormat/>
    <w:pPr>
      <w:keepNext w:val="true"/>
      <w:numPr>
        <w:ilvl w:val="1"/>
        <w:numId w:val="1"/>
      </w:numPr>
      <w:spacing w:before="0" w:after="240"/>
      <w:ind w:hanging="720" w:start="720"/>
      <w:jc w:val="both"/>
      <w:outlineLvl w:val="1"/>
    </w:pPr>
    <w:rPr>
      <w:b/>
      <w:bCs/>
      <w:iCs/>
      <w:szCs w:val="28"/>
      <w:lang w:val="en-GB"/>
    </w:rPr>
  </w:style>
  <w:style w:type="paragraph" w:styleId="Heading3">
    <w:name w:val="heading 3"/>
    <w:basedOn w:val="Normal"/>
    <w:next w:val="BodyText"/>
    <w:link w:val="31"/>
    <w:uiPriority w:val="9"/>
    <w:qFormat/>
    <w:pPr>
      <w:numPr>
        <w:ilvl w:val="2"/>
        <w:numId w:val="1"/>
      </w:numPr>
      <w:tabs>
        <w:tab w:val="clear" w:pos="369"/>
        <w:tab w:val="left" w:pos="1580" w:leader="none"/>
      </w:tabs>
      <w:spacing w:before="0" w:after="240"/>
      <w:jc w:val="both"/>
      <w:outlineLvl w:val="2"/>
    </w:pPr>
    <w:rPr>
      <w:bCs/>
      <w:szCs w:val="26"/>
      <w:lang w:val="en-GB"/>
    </w:rPr>
  </w:style>
  <w:style w:type="paragraph" w:styleId="Heading4">
    <w:name w:val="heading 4"/>
    <w:basedOn w:val="Normal"/>
    <w:next w:val="BodyText"/>
    <w:link w:val="41"/>
    <w:uiPriority w:val="9"/>
    <w:qFormat/>
    <w:pPr>
      <w:numPr>
        <w:ilvl w:val="3"/>
        <w:numId w:val="1"/>
      </w:numPr>
      <w:tabs>
        <w:tab w:val="clear" w:pos="369"/>
        <w:tab w:val="left" w:pos="2300" w:leader="none"/>
      </w:tabs>
      <w:spacing w:before="0" w:after="240"/>
      <w:ind w:hanging="720" w:start="2304"/>
      <w:jc w:val="both"/>
      <w:outlineLvl w:val="3"/>
    </w:pPr>
    <w:rPr>
      <w:bCs/>
      <w:szCs w:val="28"/>
      <w:lang w:val="en-GB"/>
    </w:rPr>
  </w:style>
  <w:style w:type="paragraph" w:styleId="Heading5">
    <w:name w:val="heading 5"/>
    <w:basedOn w:val="Normal"/>
    <w:next w:val="BodyText"/>
    <w:link w:val="51"/>
    <w:uiPriority w:val="9"/>
    <w:qFormat/>
    <w:pPr>
      <w:numPr>
        <w:ilvl w:val="4"/>
        <w:numId w:val="1"/>
      </w:numPr>
      <w:tabs>
        <w:tab w:val="clear" w:pos="369"/>
        <w:tab w:val="left" w:pos="3020" w:leader="none"/>
      </w:tabs>
      <w:spacing w:before="0" w:after="240"/>
      <w:ind w:hanging="720" w:start="3024"/>
      <w:jc w:val="both"/>
      <w:outlineLvl w:val="4"/>
    </w:pPr>
    <w:rPr>
      <w:bCs/>
      <w:iCs/>
      <w:szCs w:val="26"/>
      <w:lang w:val="en-GB"/>
    </w:rPr>
  </w:style>
  <w:style w:type="paragraph" w:styleId="Heading6">
    <w:name w:val="heading 6"/>
    <w:basedOn w:val="Normal"/>
    <w:next w:val="BodyText"/>
    <w:link w:val="61"/>
    <w:uiPriority w:val="9"/>
    <w:qFormat/>
    <w:pPr>
      <w:numPr>
        <w:ilvl w:val="5"/>
        <w:numId w:val="1"/>
      </w:numPr>
      <w:tabs>
        <w:tab w:val="clear" w:pos="369"/>
        <w:tab w:val="left" w:pos="3740" w:leader="none"/>
      </w:tabs>
      <w:spacing w:before="0" w:after="240"/>
      <w:ind w:hanging="720" w:start="3744"/>
      <w:jc w:val="both"/>
      <w:outlineLvl w:val="5"/>
    </w:pPr>
    <w:rPr>
      <w:bCs/>
      <w:szCs w:val="20"/>
      <w:lang w:val="en-GB"/>
    </w:rPr>
  </w:style>
  <w:style w:type="paragraph" w:styleId="Heading7">
    <w:name w:val="heading 7"/>
    <w:basedOn w:val="Normal"/>
    <w:next w:val="BodyText"/>
    <w:link w:val="71"/>
    <w:uiPriority w:val="9"/>
    <w:qFormat/>
    <w:pPr>
      <w:numPr>
        <w:ilvl w:val="6"/>
        <w:numId w:val="1"/>
      </w:numPr>
      <w:tabs>
        <w:tab w:val="clear" w:pos="369"/>
        <w:tab w:val="left" w:pos="4460" w:leader="none"/>
      </w:tabs>
      <w:spacing w:before="0" w:after="240"/>
      <w:ind w:hanging="720" w:start="4464"/>
      <w:jc w:val="both"/>
      <w:outlineLvl w:val="6"/>
    </w:pPr>
    <w:rPr>
      <w:lang w:val="en-GB"/>
    </w:rPr>
  </w:style>
  <w:style w:type="paragraph" w:styleId="Heading8">
    <w:name w:val="heading 8"/>
    <w:basedOn w:val="Normal"/>
    <w:next w:val="BodyText"/>
    <w:link w:val="81"/>
    <w:uiPriority w:val="9"/>
    <w:qFormat/>
    <w:pPr>
      <w:numPr>
        <w:ilvl w:val="7"/>
        <w:numId w:val="1"/>
      </w:numPr>
      <w:spacing w:before="0" w:after="240"/>
      <w:jc w:val="both"/>
      <w:outlineLvl w:val="7"/>
    </w:pPr>
    <w:rPr>
      <w:iCs/>
      <w:sz w:val="20"/>
      <w:lang w:val="en-GB"/>
    </w:rPr>
  </w:style>
  <w:style w:type="paragraph" w:styleId="Heading9">
    <w:name w:val="heading 9"/>
    <w:basedOn w:val="Normal"/>
    <w:next w:val="BodyText"/>
    <w:link w:val="91"/>
    <w:uiPriority w:val="9"/>
    <w:qFormat/>
    <w:pPr>
      <w:numPr>
        <w:ilvl w:val="8"/>
        <w:numId w:val="1"/>
      </w:numPr>
      <w:spacing w:before="0" w:after="240"/>
      <w:jc w:val="center"/>
      <w:outlineLvl w:val="8"/>
    </w:pPr>
    <w:rPr>
      <w:b/>
      <w:sz w:val="20"/>
      <w:szCs w:val="20"/>
      <w:lang w:val="en-GB"/>
    </w:rPr>
  </w:style>
  <w:style w:type="character" w:styleId="DefaultParagraphFont" w:default="1">
    <w:name w:val="Default Paragraph Font"/>
    <w:uiPriority w:val="1"/>
    <w:semiHidden/>
    <w:unhideWhenUsed/>
    <w:qFormat/>
    <w:rPr/>
  </w:style>
  <w:style w:type="character" w:styleId="11" w:customStyle="1">
    <w:name w:val="Заголовок 1 Знак1"/>
    <w:basedOn w:val="DefaultParagraphFont"/>
    <w:uiPriority w:val="9"/>
    <w:qFormat/>
    <w:rPr>
      <w:rFonts w:ascii="Calibri" w:hAnsi="Calibri" w:eastAsia="Calibri" w:cs="Calibri"/>
      <w:b/>
      <w:bCs/>
      <w:lang w:eastAsia="ar-SA"/>
    </w:rPr>
  </w:style>
  <w:style w:type="character" w:styleId="21" w:customStyle="1">
    <w:name w:val="Заголовок 2 Знак1"/>
    <w:basedOn w:val="DefaultParagraphFont"/>
    <w:uiPriority w:val="9"/>
    <w:qFormat/>
    <w:rPr>
      <w:b/>
      <w:bCs/>
      <w:iCs/>
      <w:sz w:val="24"/>
      <w:szCs w:val="28"/>
      <w:lang w:val="en-GB" w:eastAsia="ar-SA"/>
    </w:rPr>
  </w:style>
  <w:style w:type="character" w:styleId="31" w:customStyle="1">
    <w:name w:val="Заголовок 3 Знак1"/>
    <w:basedOn w:val="DefaultParagraphFont"/>
    <w:uiPriority w:val="9"/>
    <w:qFormat/>
    <w:rPr>
      <w:bCs/>
      <w:sz w:val="24"/>
      <w:szCs w:val="26"/>
      <w:lang w:val="en-GB" w:eastAsia="ar-SA"/>
    </w:rPr>
  </w:style>
  <w:style w:type="character" w:styleId="41" w:customStyle="1">
    <w:name w:val="Заголовок 4 Знак1"/>
    <w:basedOn w:val="DefaultParagraphFont"/>
    <w:uiPriority w:val="9"/>
    <w:qFormat/>
    <w:rPr>
      <w:bCs/>
      <w:sz w:val="24"/>
      <w:szCs w:val="28"/>
      <w:lang w:val="en-GB" w:eastAsia="ar-SA"/>
    </w:rPr>
  </w:style>
  <w:style w:type="character" w:styleId="51" w:customStyle="1">
    <w:name w:val="Заголовок 5 Знак1"/>
    <w:basedOn w:val="DefaultParagraphFont"/>
    <w:uiPriority w:val="9"/>
    <w:qFormat/>
    <w:rPr>
      <w:bCs/>
      <w:iCs/>
      <w:sz w:val="24"/>
      <w:szCs w:val="26"/>
      <w:lang w:val="en-GB" w:eastAsia="ar-SA"/>
    </w:rPr>
  </w:style>
  <w:style w:type="character" w:styleId="61" w:customStyle="1">
    <w:name w:val="Заголовок 6 Знак1"/>
    <w:basedOn w:val="DefaultParagraphFont"/>
    <w:uiPriority w:val="9"/>
    <w:qFormat/>
    <w:rPr>
      <w:bCs/>
      <w:sz w:val="24"/>
      <w:lang w:val="en-GB" w:eastAsia="ar-SA"/>
    </w:rPr>
  </w:style>
  <w:style w:type="character" w:styleId="71" w:customStyle="1">
    <w:name w:val="Заголовок 7 Знак1"/>
    <w:basedOn w:val="DefaultParagraphFont"/>
    <w:uiPriority w:val="9"/>
    <w:qFormat/>
    <w:rPr>
      <w:sz w:val="24"/>
      <w:szCs w:val="24"/>
      <w:lang w:val="en-GB" w:eastAsia="ar-SA"/>
    </w:rPr>
  </w:style>
  <w:style w:type="character" w:styleId="81" w:customStyle="1">
    <w:name w:val="Заголовок 8 Знак1"/>
    <w:basedOn w:val="DefaultParagraphFont"/>
    <w:uiPriority w:val="9"/>
    <w:qFormat/>
    <w:rPr>
      <w:iCs/>
      <w:szCs w:val="24"/>
      <w:lang w:val="en-GB" w:eastAsia="ar-SA"/>
    </w:rPr>
  </w:style>
  <w:style w:type="character" w:styleId="91" w:customStyle="1">
    <w:name w:val="Заголовок 9 Знак1"/>
    <w:basedOn w:val="DefaultParagraphFont"/>
    <w:uiPriority w:val="9"/>
    <w:qFormat/>
    <w:rPr>
      <w:b/>
      <w:lang w:val="en-GB" w:eastAsia="ar-SA"/>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FooterChar" w:customStyle="1">
    <w:name w:val="Footer Char"/>
    <w:basedOn w:val="DefaultParagraphFont"/>
    <w:uiPriority w:val="99"/>
    <w:qFormat/>
    <w:rPr/>
  </w:style>
  <w:style w:type="character" w:styleId="CaptionChar" w:customStyle="1">
    <w:name w:val="Caption Char"/>
    <w:basedOn w:val="DefaultParagraphFont"/>
    <w:uiPriority w:val="35"/>
    <w:qFormat/>
    <w:rPr>
      <w:b/>
      <w:bCs/>
      <w:color w:themeColor="accent1" w:val="4F81BD"/>
      <w:sz w:val="18"/>
      <w:szCs w:val="18"/>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WW8Num1z0" w:customStyle="1">
    <w:name w:val="WW8Num1z0"/>
    <w:qFormat/>
    <w:rPr>
      <w:rFonts w:ascii="Symbol" w:hAnsi="Symbol" w:cs="Symbol"/>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3z0" w:customStyle="1">
    <w:name w:val="WW8Num3z0"/>
    <w:qFormat/>
    <w:rPr>
      <w:rFonts w:ascii="Symbol" w:hAnsi="Symbol" w:cs="Symbol"/>
      <w:lang w:val="ru-RU"/>
    </w:rPr>
  </w:style>
  <w:style w:type="character" w:styleId="WW8Num4z0" w:customStyle="1">
    <w:name w:val="WW8Num4z0"/>
    <w:qFormat/>
    <w:rPr>
      <w:b w:val="false"/>
      <w:color w:val="000000"/>
      <w:shd w:fill="auto" w:val="clear"/>
    </w:rPr>
  </w:style>
  <w:style w:type="character" w:styleId="WW8Num5z0" w:customStyle="1">
    <w:name w:val="WW8Num5z0"/>
    <w:qFormat/>
    <w:rPr>
      <w:b w:val="false"/>
      <w:color w:val="000000"/>
      <w:shd w:fill="auto" w:val="clear"/>
      <w:lang w:val="ru-RU"/>
    </w:rPr>
  </w:style>
  <w:style w:type="character" w:styleId="WW8Num6z0" w:customStyle="1">
    <w:name w:val="WW8Num6z0"/>
    <w:qFormat/>
    <w:rPr>
      <w:rFonts w:ascii="Verdana" w:hAnsi="Verdana" w:cs="Verdana"/>
      <w:sz w:val="22"/>
      <w:szCs w:val="22"/>
      <w:lang w:val="ru-RU"/>
    </w:rPr>
  </w:style>
  <w:style w:type="character" w:styleId="WW8Num7z0" w:customStyle="1">
    <w:name w:val="WW8Num7z0"/>
    <w:qFormat/>
    <w:rPr>
      <w:b w:val="false"/>
      <w:bCs w:val="false"/>
      <w:color w:val="000000"/>
      <w:shd w:fill="auto" w:val="clear"/>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b/>
      <w:color w:val="000000"/>
      <w:lang w:val="ru-RU"/>
    </w:rPr>
  </w:style>
  <w:style w:type="character" w:styleId="WW8Num8z1" w:customStyle="1">
    <w:name w:val="WW8Num8z1"/>
    <w:qFormat/>
    <w:rPr>
      <w:rFonts w:cs="Times New Roman"/>
      <w:lang w:val="ru-RU"/>
    </w:rPr>
  </w:style>
  <w:style w:type="character" w:styleId="WW8Num9z0" w:customStyle="1">
    <w:name w:val="WW8Num9z0"/>
    <w:qFormat/>
    <w:rPr>
      <w:b/>
      <w:color w:val="000000"/>
      <w:sz w:val="22"/>
      <w:szCs w:val="22"/>
    </w:rPr>
  </w:style>
  <w:style w:type="character" w:styleId="WW8Num10z0" w:customStyle="1">
    <w:name w:val="WW8Num10z0"/>
    <w:qFormat/>
    <w:rPr>
      <w:color w:val="000000"/>
    </w:rPr>
  </w:style>
  <w:style w:type="character" w:styleId="WW8Num11z0" w:customStyle="1">
    <w:name w:val="WW8Num11z0"/>
    <w:qFormat/>
    <w:rPr>
      <w:rFonts w:ascii="Times New Roman" w:hAnsi="Times New Roman" w:eastAsia="Times New Roman" w:cs="Times New Roman"/>
      <w:b/>
      <w:color w:val="000000"/>
      <w:sz w:val="24"/>
      <w:szCs w:val="24"/>
      <w:shd w:fill="FFFFFF" w:val="clear"/>
    </w:rPr>
  </w:style>
  <w:style w:type="character" w:styleId="WW8Num12z0" w:customStyle="1">
    <w:name w:val="WW8Num12z0"/>
    <w:qFormat/>
    <w:rPr>
      <w:rFonts w:ascii="Times New Roman" w:hAnsi="Times New Roman" w:eastAsia="Times New Roman" w:cs="Times New Roman"/>
      <w:color w:val="000000"/>
      <w:sz w:val="24"/>
      <w:szCs w:val="24"/>
    </w:rPr>
  </w:style>
  <w:style w:type="character" w:styleId="WW8Num13z0" w:customStyle="1">
    <w:name w:val="WW8Num13z0"/>
    <w:qFormat/>
    <w:rPr>
      <w:rFonts w:ascii="Arial" w:hAnsi="Arial" w:eastAsia="Times New Roman" w:cs="Arial"/>
      <w:color w:val="auto"/>
      <w:sz w:val="20"/>
      <w:szCs w:val="24"/>
      <w:lang w:val="ru-RU"/>
    </w:rPr>
  </w:style>
  <w:style w:type="character" w:styleId="WW8Num14z0" w:customStyle="1">
    <w:name w:val="WW8Num14z0"/>
    <w:qFormat/>
    <w:rPr>
      <w:rFonts w:ascii="Times New Roman" w:hAnsi="Times New Roman" w:eastAsia="Times New Roman" w:cs="Times New Roman"/>
      <w:sz w:val="24"/>
      <w:szCs w:val="24"/>
      <w:lang w:val="ru-RU"/>
    </w:rPr>
  </w:style>
  <w:style w:type="character" w:styleId="WW8Num15z0" w:customStyle="1">
    <w:name w:val="WW8Num15z0"/>
    <w:qFormat/>
    <w:rPr>
      <w:color w:val="FFFFFF"/>
      <w:shd w:fill="auto" w:val="clear"/>
      <w:lang w:val="ru-RU"/>
    </w:rPr>
  </w:style>
  <w:style w:type="character" w:styleId="WW8Num16z0" w:customStyle="1">
    <w:name w:val="WW8Num16z0"/>
    <w:qFormat/>
    <w:rPr>
      <w:color w:val="000000"/>
      <w:lang w:val="ru-RU"/>
    </w:rPr>
  </w:style>
  <w:style w:type="character" w:styleId="WW8Num17z0" w:customStyle="1">
    <w:name w:val="WW8Num17z0"/>
    <w:qFormat/>
    <w:rPr>
      <w:color w:val="auto"/>
      <w:lang w:val="ru-RU"/>
    </w:rPr>
  </w:style>
  <w:style w:type="character" w:styleId="WW8Num18z0" w:customStyle="1">
    <w:name w:val="WW8Num18z0"/>
    <w:qFormat/>
    <w:rPr>
      <w:i/>
      <w:color w:val="000000"/>
      <w:sz w:val="20"/>
      <w:lang w:val="ru-RU"/>
    </w:rPr>
  </w:style>
  <w:style w:type="character" w:styleId="WW8Num19z0" w:customStyle="1">
    <w:name w:val="WW8Num19z0"/>
    <w:qFormat/>
    <w:rPr>
      <w:rFonts w:ascii="Times New Roman" w:hAnsi="Times New Roman" w:cs="Times New Roman"/>
      <w:szCs w:val="24"/>
      <w:lang w:val="ru-RU"/>
    </w:rPr>
  </w:style>
  <w:style w:type="character" w:styleId="WW8Num20z0" w:customStyle="1">
    <w:name w:val="WW8Num20z0"/>
    <w:qFormat/>
    <w:rPr>
      <w:color w:val="000000"/>
      <w:szCs w:val="24"/>
      <w:shd w:fill="auto" w:val="clear"/>
    </w:rPr>
  </w:style>
  <w:style w:type="character" w:styleId="WW8Num21z0" w:customStyle="1">
    <w:name w:val="WW8Num21z0"/>
    <w:qFormat/>
    <w:rPr>
      <w:b/>
      <w:color w:val="000000"/>
      <w:szCs w:val="24"/>
      <w:shd w:fill="auto" w:val="clear"/>
    </w:rPr>
  </w:style>
  <w:style w:type="character" w:styleId="WW8Num22z0" w:customStyle="1">
    <w:name w:val="WW8Num22z0"/>
    <w:qFormat/>
    <w:rPr>
      <w:b/>
      <w:color w:val="000000"/>
      <w:shd w:fill="auto" w:val="clear"/>
    </w:rPr>
  </w:style>
  <w:style w:type="character" w:styleId="WW8Num23z0" w:customStyle="1">
    <w:name w:val="WW8Num23z0"/>
    <w:qFormat/>
    <w:rPr>
      <w:color w:val="000000"/>
      <w:szCs w:val="24"/>
      <w:shd w:fill="00FF00" w:val="clear"/>
      <w:lang w:val="ru-RU"/>
    </w:rPr>
  </w:style>
  <w:style w:type="character" w:styleId="WW8Num24z0" w:customStyle="1">
    <w:name w:val="WW8Num24z0"/>
    <w:qFormat/>
    <w:rPr>
      <w:color w:val="000000"/>
      <w:lang w:val="ru-RU"/>
    </w:rPr>
  </w:style>
  <w:style w:type="character" w:styleId="WW8Num25z0" w:customStyle="1">
    <w:name w:val="WW8Num25z0"/>
    <w:qFormat/>
    <w:rPr>
      <w:color w:val="000000"/>
      <w:sz w:val="24"/>
      <w:szCs w:val="24"/>
    </w:rPr>
  </w:style>
  <w:style w:type="character" w:styleId="WW8Num26z0" w:customStyle="1">
    <w:name w:val="WW8Num26z0"/>
    <w:qFormat/>
    <w:rPr>
      <w:color w:val="000000"/>
      <w:lang w:val="ru-RU"/>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lang w:val="ru-RU"/>
    </w:rPr>
  </w:style>
  <w:style w:type="character" w:styleId="WW8Num27z1" w:customStyle="1">
    <w:name w:val="WW8Num27z1"/>
    <w:qFormat/>
    <w:rPr>
      <w:bCs/>
      <w:color w:val="000000"/>
      <w:shd w:fill="33FF99" w:val="clear"/>
      <w:lang w:val="ru-RU"/>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WW8Num28z0" w:customStyle="1">
    <w:name w:val="WW8Num28z0"/>
    <w:qFormat/>
    <w:rPr>
      <w:b/>
      <w:lang w:val="ru-RU"/>
    </w:rPr>
  </w:style>
  <w:style w:type="character" w:styleId="WW8Num28z1" w:customStyle="1">
    <w:name w:val="WW8Num28z1"/>
    <w:qFormat/>
    <w:rPr/>
  </w:style>
  <w:style w:type="character" w:styleId="WW8Num28z2" w:customStyle="1">
    <w:name w:val="WW8Num28z2"/>
    <w:qFormat/>
    <w:rPr/>
  </w:style>
  <w:style w:type="character" w:styleId="WW8Num28z3" w:customStyle="1">
    <w:name w:val="WW8Num28z3"/>
    <w:qFormat/>
    <w:rPr/>
  </w:style>
  <w:style w:type="character" w:styleId="WW8Num28z4" w:customStyle="1">
    <w:name w:val="WW8Num28z4"/>
    <w:qFormat/>
    <w:rPr/>
  </w:style>
  <w:style w:type="character" w:styleId="WW8Num28z5" w:customStyle="1">
    <w:name w:val="WW8Num28z5"/>
    <w:qFormat/>
    <w:rPr/>
  </w:style>
  <w:style w:type="character" w:styleId="WW8Num28z6" w:customStyle="1">
    <w:name w:val="WW8Num28z6"/>
    <w:qFormat/>
    <w:rPr/>
  </w:style>
  <w:style w:type="character" w:styleId="WW8Num28z7" w:customStyle="1">
    <w:name w:val="WW8Num28z7"/>
    <w:qFormat/>
    <w:rPr/>
  </w:style>
  <w:style w:type="character" w:styleId="WW8Num28z8" w:customStyle="1">
    <w:name w:val="WW8Num28z8"/>
    <w:qFormat/>
    <w:rPr/>
  </w:style>
  <w:style w:type="character" w:styleId="WW8Num29z0" w:customStyle="1">
    <w:name w:val="WW8Num29z0"/>
    <w:qFormat/>
    <w:rPr>
      <w:rFonts w:ascii="Symbol" w:hAnsi="Symbol" w:cs="Symbol"/>
      <w:b/>
      <w:lang w:val="ru-RU"/>
    </w:rPr>
  </w:style>
  <w:style w:type="character" w:styleId="WW8Num29z1" w:customStyle="1">
    <w:name w:val="WW8Num29z1"/>
    <w:qFormat/>
    <w:rPr/>
  </w:style>
  <w:style w:type="character" w:styleId="WW8Num29z2" w:customStyle="1">
    <w:name w:val="WW8Num29z2"/>
    <w:qFormat/>
    <w:rPr/>
  </w:style>
  <w:style w:type="character" w:styleId="WW8Num29z3" w:customStyle="1">
    <w:name w:val="WW8Num29z3"/>
    <w:qFormat/>
    <w:rPr/>
  </w:style>
  <w:style w:type="character" w:styleId="WW8Num29z4" w:customStyle="1">
    <w:name w:val="WW8Num29z4"/>
    <w:qFormat/>
    <w:rPr/>
  </w:style>
  <w:style w:type="character" w:styleId="WW8Num29z5" w:customStyle="1">
    <w:name w:val="WW8Num29z5"/>
    <w:qFormat/>
    <w:rPr/>
  </w:style>
  <w:style w:type="character" w:styleId="WW8Num29z6" w:customStyle="1">
    <w:name w:val="WW8Num29z6"/>
    <w:qFormat/>
    <w:rPr/>
  </w:style>
  <w:style w:type="character" w:styleId="WW8Num29z7" w:customStyle="1">
    <w:name w:val="WW8Num29z7"/>
    <w:qFormat/>
    <w:rPr/>
  </w:style>
  <w:style w:type="character" w:styleId="WW8Num29z8" w:customStyle="1">
    <w:name w:val="WW8Num29z8"/>
    <w:qFormat/>
    <w:rPr/>
  </w:style>
  <w:style w:type="character" w:styleId="WW8Num30z0" w:customStyle="1">
    <w:name w:val="WW8Num30z0"/>
    <w:qFormat/>
    <w:rPr>
      <w:b/>
      <w:color w:val="000000"/>
      <w:sz w:val="22"/>
      <w:lang w:val="ru-RU"/>
    </w:rPr>
  </w:style>
  <w:style w:type="character" w:styleId="WW8Num30z1" w:customStyle="1">
    <w:name w:val="WW8Num30z1"/>
    <w:qFormat/>
    <w:rPr>
      <w:lang w:val="ru-RU"/>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color w:val="000000"/>
      <w:lang w:val="ru-RU"/>
    </w:rPr>
  </w:style>
  <w:style w:type="character" w:styleId="WW8Num31z1" w:customStyle="1">
    <w:name w:val="WW8Num31z1"/>
    <w:qFormat/>
    <w:rPr>
      <w:lang w:val="ru-RU"/>
    </w:rPr>
  </w:style>
  <w:style w:type="character" w:styleId="WW8Num31z2" w:customStyle="1">
    <w:name w:val="WW8Num31z2"/>
    <w:qFormat/>
    <w:rPr/>
  </w:style>
  <w:style w:type="character" w:styleId="WW8Num31z3" w:customStyle="1">
    <w:name w:val="WW8Num31z3"/>
    <w:qFormat/>
    <w:rPr/>
  </w:style>
  <w:style w:type="character" w:styleId="WW8Num31z4" w:customStyle="1">
    <w:name w:val="WW8Num31z4"/>
    <w:qFormat/>
    <w:rPr/>
  </w:style>
  <w:style w:type="character" w:styleId="WW8Num31z5" w:customStyle="1">
    <w:name w:val="WW8Num31z5"/>
    <w:qFormat/>
    <w:rPr/>
  </w:style>
  <w:style w:type="character" w:styleId="WW8Num31z6" w:customStyle="1">
    <w:name w:val="WW8Num31z6"/>
    <w:qFormat/>
    <w:rPr/>
  </w:style>
  <w:style w:type="character" w:styleId="WW8Num31z7" w:customStyle="1">
    <w:name w:val="WW8Num31z7"/>
    <w:qFormat/>
    <w:rPr/>
  </w:style>
  <w:style w:type="character" w:styleId="WW8Num31z8" w:customStyle="1">
    <w:name w:val="WW8Num31z8"/>
    <w:qFormat/>
    <w:rPr/>
  </w:style>
  <w:style w:type="character" w:styleId="WW8Num32z0" w:customStyle="1">
    <w:name w:val="WW8Num32z0"/>
    <w:qFormat/>
    <w:rPr>
      <w:color w:val="auto"/>
      <w:shd w:fill="00FF00" w:val="clear"/>
      <w:lang w:val="ru-RU"/>
    </w:rPr>
  </w:style>
  <w:style w:type="character" w:styleId="WW8Num32z1" w:customStyle="1">
    <w:name w:val="WW8Num32z1"/>
    <w:qFormat/>
    <w:rPr/>
  </w:style>
  <w:style w:type="character" w:styleId="WW8Num32z2" w:customStyle="1">
    <w:name w:val="WW8Num32z2"/>
    <w:qFormat/>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0" w:customStyle="1">
    <w:name w:val="WW8Num33z0"/>
    <w:qFormat/>
    <w:rPr>
      <w:color w:val="auto"/>
    </w:rPr>
  </w:style>
  <w:style w:type="character" w:styleId="WW8Num33z1" w:customStyle="1">
    <w:name w:val="WW8Num33z1"/>
    <w:qFormat/>
    <w:rPr>
      <w:bCs/>
      <w:color w:val="000000"/>
      <w:shd w:fill="33FF99" w:val="clear"/>
      <w:lang w:val="ru-RU"/>
    </w:rPr>
  </w:style>
  <w:style w:type="character" w:styleId="WW8Num33z2" w:customStyle="1">
    <w:name w:val="WW8Num33z2"/>
    <w:qFormat/>
    <w:rPr/>
  </w:style>
  <w:style w:type="character" w:styleId="WW8Num33z3" w:customStyle="1">
    <w:name w:val="WW8Num33z3"/>
    <w:qFormat/>
    <w:rPr/>
  </w:style>
  <w:style w:type="character" w:styleId="WW8Num33z4" w:customStyle="1">
    <w:name w:val="WW8Num33z4"/>
    <w:qFormat/>
    <w:rPr/>
  </w:style>
  <w:style w:type="character" w:styleId="WW8Num33z5" w:customStyle="1">
    <w:name w:val="WW8Num33z5"/>
    <w:qFormat/>
    <w:rPr/>
  </w:style>
  <w:style w:type="character" w:styleId="WW8Num33z6" w:customStyle="1">
    <w:name w:val="WW8Num33z6"/>
    <w:qFormat/>
    <w:rPr/>
  </w:style>
  <w:style w:type="character" w:styleId="WW8Num33z7" w:customStyle="1">
    <w:name w:val="WW8Num33z7"/>
    <w:qFormat/>
    <w:rPr/>
  </w:style>
  <w:style w:type="character" w:styleId="WW8Num33z8" w:customStyle="1">
    <w:name w:val="WW8Num33z8"/>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rFonts w:cs="Times New Roman"/>
      <w:color w:val="000000"/>
      <w:shd w:fill="FFFFFF" w:val="clear"/>
      <w:lang w:val="ru-RU"/>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1" w:customStyle="1">
    <w:name w:val="WW8Num10z1"/>
    <w:qFormat/>
    <w:rPr>
      <w:rFonts w:cs="Times New Roman"/>
      <w:color w:val="000000"/>
      <w:shd w:fill="33FF99" w:val="clear"/>
      <w:lang w:val="ru-RU"/>
    </w:rPr>
  </w:style>
  <w:style w:type="character" w:styleId="WW8Num34z0" w:customStyle="1">
    <w:name w:val="WW8Num34z0"/>
    <w:qFormat/>
    <w:rPr/>
  </w:style>
  <w:style w:type="character" w:styleId="WW8Num34z1" w:customStyle="1">
    <w:name w:val="WW8Num34z1"/>
    <w:qFormat/>
    <w:rPr>
      <w:bCs/>
      <w:color w:val="000000"/>
      <w:shd w:fill="33FF99" w:val="clear"/>
      <w:lang w:val="ru-RU"/>
    </w:rPr>
  </w:style>
  <w:style w:type="character" w:styleId="WW8Num35z0" w:customStyle="1">
    <w:name w:val="WW8Num35z0"/>
    <w:qFormat/>
    <w:rPr>
      <w:color w:val="000000"/>
    </w:rPr>
  </w:style>
  <w:style w:type="character" w:styleId="WW8Num35z1" w:customStyle="1">
    <w:name w:val="WW8Num35z1"/>
    <w:qFormat/>
    <w:rPr>
      <w:bCs/>
      <w:color w:val="000000"/>
      <w:shd w:fill="33FF99" w:val="clear"/>
      <w:lang w:val="ru-RU"/>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1" w:customStyle="1">
    <w:name w:val="WW8Num11z1"/>
    <w:qFormat/>
    <w:rPr>
      <w:color w:val="000000"/>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5z1" w:customStyle="1">
    <w:name w:val="WW8Num15z1"/>
    <w:qFormat/>
    <w:rPr>
      <w:bCs/>
      <w:color w:val="000000"/>
      <w:lang w:val="ru-RU"/>
    </w:rPr>
  </w:style>
  <w:style w:type="character" w:styleId="WW8Num17z1" w:customStyle="1">
    <w:name w:val="WW8Num17z1"/>
    <w:qFormat/>
    <w:rPr>
      <w:color w:val="auto"/>
      <w:lang w:val="en-GB"/>
    </w:rPr>
  </w:style>
  <w:style w:type="character" w:styleId="WW8Num18z1" w:customStyle="1">
    <w:name w:val="WW8Num18z1"/>
    <w:qFormat/>
    <w:rPr/>
  </w:style>
  <w:style w:type="character" w:styleId="WW8Num18z2" w:customStyle="1">
    <w:name w:val="WW8Num18z2"/>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WW8Num24z1" w:customStyle="1">
    <w:name w:val="WW8Num24z1"/>
    <w:qFormat/>
    <w:rPr>
      <w:color w:val="auto"/>
    </w:rPr>
  </w:style>
  <w:style w:type="character" w:styleId="WW8Num36z0" w:customStyle="1">
    <w:name w:val="WW8Num36z0"/>
    <w:qFormat/>
    <w:rPr>
      <w:rFonts w:ascii="Symbol" w:hAnsi="Symbol" w:cs="Symbol"/>
      <w:color w:val="000000"/>
    </w:rPr>
  </w:style>
  <w:style w:type="character" w:styleId="WW8Num36z1" w:customStyle="1">
    <w:name w:val="WW8Num36z1"/>
    <w:qFormat/>
    <w:rPr>
      <w:rFonts w:ascii="Courier New" w:hAnsi="Courier New" w:cs="Courier New"/>
    </w:rPr>
  </w:style>
  <w:style w:type="character" w:styleId="WW8Num36z2" w:customStyle="1">
    <w:name w:val="WW8Num36z2"/>
    <w:qFormat/>
    <w:rPr>
      <w:rFonts w:ascii="Wingdings" w:hAnsi="Wingdings" w:cs="Wingdings"/>
    </w:rPr>
  </w:style>
  <w:style w:type="character" w:styleId="WW8Num37z0" w:customStyle="1">
    <w:name w:val="WW8Num37z0"/>
    <w:qFormat/>
    <w:rPr/>
  </w:style>
  <w:style w:type="character" w:styleId="WW8Num38z0" w:customStyle="1">
    <w:name w:val="WW8Num38z0"/>
    <w:qFormat/>
    <w:rPr>
      <w:b w:val="false"/>
    </w:rPr>
  </w:style>
  <w:style w:type="character" w:styleId="WW8Num39z0" w:customStyle="1">
    <w:name w:val="WW8Num39z0"/>
    <w:qFormat/>
    <w:rPr/>
  </w:style>
  <w:style w:type="character" w:styleId="WW8Num40z0" w:customStyle="1">
    <w:name w:val="WW8Num40z0"/>
    <w:qFormat/>
    <w:rPr/>
  </w:style>
  <w:style w:type="character" w:styleId="WW8Num41z0" w:customStyle="1">
    <w:name w:val="WW8Num41z0"/>
    <w:qFormat/>
    <w:rPr>
      <w:rFonts w:ascii="Symbol" w:hAnsi="Symbol" w:cs="Symbol"/>
    </w:rPr>
  </w:style>
  <w:style w:type="character" w:styleId="WW8Num41z1" w:customStyle="1">
    <w:name w:val="WW8Num41z1"/>
    <w:qFormat/>
    <w:rPr>
      <w:rFonts w:ascii="Symbol" w:hAnsi="Symbol" w:cs="Symbol"/>
      <w:color w:val="auto"/>
    </w:rPr>
  </w:style>
  <w:style w:type="character" w:styleId="WW8Num41z2" w:customStyle="1">
    <w:name w:val="WW8Num41z2"/>
    <w:qFormat/>
    <w:rPr>
      <w:rFonts w:ascii="Wingdings" w:hAnsi="Wingdings" w:cs="Wingdings"/>
    </w:rPr>
  </w:style>
  <w:style w:type="character" w:styleId="WW8Num41z4" w:customStyle="1">
    <w:name w:val="WW8Num41z4"/>
    <w:qFormat/>
    <w:rPr>
      <w:rFonts w:ascii="Courier New" w:hAnsi="Courier New" w:cs="Courier New"/>
    </w:rPr>
  </w:style>
  <w:style w:type="character" w:styleId="WW8Num42z0" w:customStyle="1">
    <w:name w:val="WW8Num42z0"/>
    <w:qFormat/>
    <w:rPr/>
  </w:style>
  <w:style w:type="character" w:styleId="WW8Num43z0" w:customStyle="1">
    <w:name w:val="WW8Num43z0"/>
    <w:qFormat/>
    <w:rPr>
      <w:color w:val="000000"/>
      <w:sz w:val="22"/>
    </w:rPr>
  </w:style>
  <w:style w:type="character" w:styleId="WW8Num43z1" w:customStyle="1">
    <w:name w:val="WW8Num43z1"/>
    <w:qFormat/>
    <w:rPr/>
  </w:style>
  <w:style w:type="character" w:styleId="WW8Num43z2" w:customStyle="1">
    <w:name w:val="WW8Num43z2"/>
    <w:qFormat/>
    <w:rPr/>
  </w:style>
  <w:style w:type="character" w:styleId="WW8Num43z3" w:customStyle="1">
    <w:name w:val="WW8Num43z3"/>
    <w:qFormat/>
    <w:rPr/>
  </w:style>
  <w:style w:type="character" w:styleId="WW8Num43z4" w:customStyle="1">
    <w:name w:val="WW8Num43z4"/>
    <w:qFormat/>
    <w:rPr/>
  </w:style>
  <w:style w:type="character" w:styleId="WW8Num43z5" w:customStyle="1">
    <w:name w:val="WW8Num43z5"/>
    <w:qFormat/>
    <w:rPr/>
  </w:style>
  <w:style w:type="character" w:styleId="WW8Num43z6" w:customStyle="1">
    <w:name w:val="WW8Num43z6"/>
    <w:qFormat/>
    <w:rPr/>
  </w:style>
  <w:style w:type="character" w:styleId="WW8Num43z7" w:customStyle="1">
    <w:name w:val="WW8Num43z7"/>
    <w:qFormat/>
    <w:rPr/>
  </w:style>
  <w:style w:type="character" w:styleId="WW8Num43z8" w:customStyle="1">
    <w:name w:val="WW8Num43z8"/>
    <w:qFormat/>
    <w:rPr/>
  </w:style>
  <w:style w:type="character" w:styleId="WW8Num44z0" w:customStyle="1">
    <w:name w:val="WW8Num44z0"/>
    <w:qFormat/>
    <w:rPr>
      <w:rFonts w:ascii="Verdana" w:hAnsi="Verdana" w:cs="Verdana"/>
      <w:sz w:val="22"/>
      <w:szCs w:val="22"/>
    </w:rPr>
  </w:style>
  <w:style w:type="character" w:styleId="WW8Num44z1" w:customStyle="1">
    <w:name w:val="WW8Num44z1"/>
    <w:qFormat/>
    <w:rPr/>
  </w:style>
  <w:style w:type="character" w:styleId="WW8Num44z2" w:customStyle="1">
    <w:name w:val="WW8Num44z2"/>
    <w:qFormat/>
    <w:rPr/>
  </w:style>
  <w:style w:type="character" w:styleId="WW8Num44z3" w:customStyle="1">
    <w:name w:val="WW8Num44z3"/>
    <w:qFormat/>
    <w:rPr/>
  </w:style>
  <w:style w:type="character" w:styleId="WW8Num44z4" w:customStyle="1">
    <w:name w:val="WW8Num44z4"/>
    <w:qFormat/>
    <w:rPr/>
  </w:style>
  <w:style w:type="character" w:styleId="WW8Num44z5" w:customStyle="1">
    <w:name w:val="WW8Num44z5"/>
    <w:qFormat/>
    <w:rPr/>
  </w:style>
  <w:style w:type="character" w:styleId="WW8Num44z6" w:customStyle="1">
    <w:name w:val="WW8Num44z6"/>
    <w:qFormat/>
    <w:rPr/>
  </w:style>
  <w:style w:type="character" w:styleId="WW8Num44z7" w:customStyle="1">
    <w:name w:val="WW8Num44z7"/>
    <w:qFormat/>
    <w:rPr/>
  </w:style>
  <w:style w:type="character" w:styleId="WW8Num44z8" w:customStyle="1">
    <w:name w:val="WW8Num44z8"/>
    <w:qFormat/>
    <w:rPr/>
  </w:style>
  <w:style w:type="character" w:styleId="WW8Num45z0" w:customStyle="1">
    <w:name w:val="WW8Num45z0"/>
    <w:qFormat/>
    <w:rPr/>
  </w:style>
  <w:style w:type="character" w:styleId="WW8Num45z1" w:customStyle="1">
    <w:name w:val="WW8Num45z1"/>
    <w:qFormat/>
    <w:rPr/>
  </w:style>
  <w:style w:type="character" w:styleId="WW8Num45z2" w:customStyle="1">
    <w:name w:val="WW8Num45z2"/>
    <w:qFormat/>
    <w:rPr/>
  </w:style>
  <w:style w:type="character" w:styleId="WW8Num45z3" w:customStyle="1">
    <w:name w:val="WW8Num45z3"/>
    <w:qFormat/>
    <w:rPr/>
  </w:style>
  <w:style w:type="character" w:styleId="WW8Num45z4" w:customStyle="1">
    <w:name w:val="WW8Num45z4"/>
    <w:qFormat/>
    <w:rPr/>
  </w:style>
  <w:style w:type="character" w:styleId="WW8Num45z5" w:customStyle="1">
    <w:name w:val="WW8Num45z5"/>
    <w:qFormat/>
    <w:rPr/>
  </w:style>
  <w:style w:type="character" w:styleId="WW8Num45z6" w:customStyle="1">
    <w:name w:val="WW8Num45z6"/>
    <w:qFormat/>
    <w:rPr/>
  </w:style>
  <w:style w:type="character" w:styleId="WW8Num45z7" w:customStyle="1">
    <w:name w:val="WW8Num45z7"/>
    <w:qFormat/>
    <w:rPr/>
  </w:style>
  <w:style w:type="character" w:styleId="WW8Num45z8" w:customStyle="1">
    <w:name w:val="WW8Num45z8"/>
    <w:qFormat/>
    <w:rPr/>
  </w:style>
  <w:style w:type="character" w:styleId="WW8Num46z0" w:customStyle="1">
    <w:name w:val="WW8Num46z0"/>
    <w:qFormat/>
    <w:rPr/>
  </w:style>
  <w:style w:type="character" w:styleId="WW8Num46z1" w:customStyle="1">
    <w:name w:val="WW8Num46z1"/>
    <w:qFormat/>
    <w:rPr/>
  </w:style>
  <w:style w:type="character" w:styleId="WW8Num46z2" w:customStyle="1">
    <w:name w:val="WW8Num46z2"/>
    <w:qFormat/>
    <w:rPr/>
  </w:style>
  <w:style w:type="character" w:styleId="WW8Num46z3" w:customStyle="1">
    <w:name w:val="WW8Num46z3"/>
    <w:qFormat/>
    <w:rPr/>
  </w:style>
  <w:style w:type="character" w:styleId="WW8Num46z4" w:customStyle="1">
    <w:name w:val="WW8Num46z4"/>
    <w:qFormat/>
    <w:rPr/>
  </w:style>
  <w:style w:type="character" w:styleId="WW8Num46z5" w:customStyle="1">
    <w:name w:val="WW8Num46z5"/>
    <w:qFormat/>
    <w:rPr/>
  </w:style>
  <w:style w:type="character" w:styleId="WW8Num46z6" w:customStyle="1">
    <w:name w:val="WW8Num46z6"/>
    <w:qFormat/>
    <w:rPr/>
  </w:style>
  <w:style w:type="character" w:styleId="WW8Num46z7" w:customStyle="1">
    <w:name w:val="WW8Num46z7"/>
    <w:qFormat/>
    <w:rPr/>
  </w:style>
  <w:style w:type="character" w:styleId="WW8Num46z8" w:customStyle="1">
    <w:name w:val="WW8Num46z8"/>
    <w:qFormat/>
    <w:rPr/>
  </w:style>
  <w:style w:type="character" w:styleId="WW8Num47z0" w:customStyle="1">
    <w:name w:val="WW8Num47z0"/>
    <w:qFormat/>
    <w:rPr/>
  </w:style>
  <w:style w:type="character" w:styleId="WW8Num48z0" w:customStyle="1">
    <w:name w:val="WW8Num48z0"/>
    <w:qFormat/>
    <w:rPr>
      <w:lang w:val="ru-RU"/>
    </w:rPr>
  </w:style>
  <w:style w:type="character" w:styleId="WW8Num49z0" w:customStyle="1">
    <w:name w:val="WW8Num49z0"/>
    <w:qFormat/>
    <w:rPr/>
  </w:style>
  <w:style w:type="character" w:styleId="WW8Num50z0" w:customStyle="1">
    <w:name w:val="WW8Num50z0"/>
    <w:qFormat/>
    <w:rPr>
      <w:color w:val="auto"/>
      <w:lang w:val="ru-RU"/>
    </w:rPr>
  </w:style>
  <w:style w:type="character" w:styleId="WW8Num50z1" w:customStyle="1">
    <w:name w:val="WW8Num50z1"/>
    <w:qFormat/>
    <w:rPr/>
  </w:style>
  <w:style w:type="character" w:styleId="WW8Num50z2" w:customStyle="1">
    <w:name w:val="WW8Num50z2"/>
    <w:qFormat/>
    <w:rPr/>
  </w:style>
  <w:style w:type="character" w:styleId="WW8Num50z3" w:customStyle="1">
    <w:name w:val="WW8Num50z3"/>
    <w:qFormat/>
    <w:rPr/>
  </w:style>
  <w:style w:type="character" w:styleId="WW8Num50z4" w:customStyle="1">
    <w:name w:val="WW8Num50z4"/>
    <w:qFormat/>
    <w:rPr/>
  </w:style>
  <w:style w:type="character" w:styleId="WW8Num50z5" w:customStyle="1">
    <w:name w:val="WW8Num50z5"/>
    <w:qFormat/>
    <w:rPr/>
  </w:style>
  <w:style w:type="character" w:styleId="WW8Num50z6" w:customStyle="1">
    <w:name w:val="WW8Num50z6"/>
    <w:qFormat/>
    <w:rPr/>
  </w:style>
  <w:style w:type="character" w:styleId="WW8Num50z7" w:customStyle="1">
    <w:name w:val="WW8Num50z7"/>
    <w:qFormat/>
    <w:rPr/>
  </w:style>
  <w:style w:type="character" w:styleId="WW8Num50z8" w:customStyle="1">
    <w:name w:val="WW8Num50z8"/>
    <w:qFormat/>
    <w:rPr/>
  </w:style>
  <w:style w:type="character" w:styleId="WW8Num51z0" w:customStyle="1">
    <w:name w:val="WW8Num51z0"/>
    <w:qFormat/>
    <w:rPr>
      <w:color w:val="000000"/>
      <w:lang w:val="ru-RU"/>
    </w:rPr>
  </w:style>
  <w:style w:type="character" w:styleId="WW8Num51z1" w:customStyle="1">
    <w:name w:val="WW8Num51z1"/>
    <w:qFormat/>
    <w:rPr/>
  </w:style>
  <w:style w:type="character" w:styleId="WW8Num51z2" w:customStyle="1">
    <w:name w:val="WW8Num51z2"/>
    <w:qFormat/>
    <w:rPr/>
  </w:style>
  <w:style w:type="character" w:styleId="WW8Num51z3" w:customStyle="1">
    <w:name w:val="WW8Num51z3"/>
    <w:qFormat/>
    <w:rPr/>
  </w:style>
  <w:style w:type="character" w:styleId="WW8Num51z4" w:customStyle="1">
    <w:name w:val="WW8Num51z4"/>
    <w:qFormat/>
    <w:rPr/>
  </w:style>
  <w:style w:type="character" w:styleId="WW8Num51z5" w:customStyle="1">
    <w:name w:val="WW8Num51z5"/>
    <w:qFormat/>
    <w:rPr/>
  </w:style>
  <w:style w:type="character" w:styleId="WW8Num51z6" w:customStyle="1">
    <w:name w:val="WW8Num51z6"/>
    <w:qFormat/>
    <w:rPr/>
  </w:style>
  <w:style w:type="character" w:styleId="WW8Num51z7" w:customStyle="1">
    <w:name w:val="WW8Num51z7"/>
    <w:qFormat/>
    <w:rPr/>
  </w:style>
  <w:style w:type="character" w:styleId="WW8Num51z8" w:customStyle="1">
    <w:name w:val="WW8Num51z8"/>
    <w:qFormat/>
    <w:rPr/>
  </w:style>
  <w:style w:type="character" w:styleId="WW8Num52z0" w:customStyle="1">
    <w:name w:val="WW8Num52z0"/>
    <w:qFormat/>
    <w:rPr/>
  </w:style>
  <w:style w:type="character" w:styleId="WW8Num53z0" w:customStyle="1">
    <w:name w:val="WW8Num53z0"/>
    <w:qFormat/>
    <w:rPr/>
  </w:style>
  <w:style w:type="character" w:styleId="WW8Num54z0" w:customStyle="1">
    <w:name w:val="WW8Num54z0"/>
    <w:qFormat/>
    <w:rPr>
      <w:rFonts w:ascii="Symbol" w:hAnsi="Symbol" w:cs="Symbol"/>
    </w:rPr>
  </w:style>
  <w:style w:type="character" w:styleId="WW8Num54z1" w:customStyle="1">
    <w:name w:val="WW8Num54z1"/>
    <w:qFormat/>
    <w:rPr>
      <w:rFonts w:ascii="Courier New" w:hAnsi="Courier New" w:cs="Courier New"/>
    </w:rPr>
  </w:style>
  <w:style w:type="character" w:styleId="WW8Num54z2" w:customStyle="1">
    <w:name w:val="WW8Num54z2"/>
    <w:qFormat/>
    <w:rPr>
      <w:rFonts w:ascii="Wingdings" w:hAnsi="Wingdings" w:cs="Wingdings"/>
    </w:rPr>
  </w:style>
  <w:style w:type="character" w:styleId="WW8Num55z0" w:customStyle="1">
    <w:name w:val="WW8Num55z0"/>
    <w:qFormat/>
    <w:rPr>
      <w:color w:val="000000"/>
      <w:lang w:val="ru-RU"/>
    </w:rPr>
  </w:style>
  <w:style w:type="character" w:styleId="WW8Num55z1" w:customStyle="1">
    <w:name w:val="WW8Num55z1"/>
    <w:qFormat/>
    <w:rPr/>
  </w:style>
  <w:style w:type="character" w:styleId="WW8Num55z2" w:customStyle="1">
    <w:name w:val="WW8Num55z2"/>
    <w:qFormat/>
    <w:rPr/>
  </w:style>
  <w:style w:type="character" w:styleId="WW8Num55z3" w:customStyle="1">
    <w:name w:val="WW8Num55z3"/>
    <w:qFormat/>
    <w:rPr/>
  </w:style>
  <w:style w:type="character" w:styleId="WW8Num55z4" w:customStyle="1">
    <w:name w:val="WW8Num55z4"/>
    <w:qFormat/>
    <w:rPr/>
  </w:style>
  <w:style w:type="character" w:styleId="WW8Num55z5" w:customStyle="1">
    <w:name w:val="WW8Num55z5"/>
    <w:qFormat/>
    <w:rPr/>
  </w:style>
  <w:style w:type="character" w:styleId="WW8Num55z6" w:customStyle="1">
    <w:name w:val="WW8Num55z6"/>
    <w:qFormat/>
    <w:rPr/>
  </w:style>
  <w:style w:type="character" w:styleId="WW8Num55z7" w:customStyle="1">
    <w:name w:val="WW8Num55z7"/>
    <w:qFormat/>
    <w:rPr/>
  </w:style>
  <w:style w:type="character" w:styleId="WW8Num55z8" w:customStyle="1">
    <w:name w:val="WW8Num55z8"/>
    <w:qFormat/>
    <w:rPr/>
  </w:style>
  <w:style w:type="character" w:styleId="WW8Num56z0" w:customStyle="1">
    <w:name w:val="WW8Num56z0"/>
    <w:qFormat/>
    <w:rPr/>
  </w:style>
  <w:style w:type="character" w:styleId="WW8Num56z1" w:customStyle="1">
    <w:name w:val="WW8Num56z1"/>
    <w:qFormat/>
    <w:rPr/>
  </w:style>
  <w:style w:type="character" w:styleId="WW8Num56z2" w:customStyle="1">
    <w:name w:val="WW8Num56z2"/>
    <w:qFormat/>
    <w:rPr/>
  </w:style>
  <w:style w:type="character" w:styleId="WW8Num56z3" w:customStyle="1">
    <w:name w:val="WW8Num56z3"/>
    <w:qFormat/>
    <w:rPr/>
  </w:style>
  <w:style w:type="character" w:styleId="WW8Num56z4" w:customStyle="1">
    <w:name w:val="WW8Num56z4"/>
    <w:qFormat/>
    <w:rPr/>
  </w:style>
  <w:style w:type="character" w:styleId="WW8Num56z5" w:customStyle="1">
    <w:name w:val="WW8Num56z5"/>
    <w:qFormat/>
    <w:rPr/>
  </w:style>
  <w:style w:type="character" w:styleId="WW8Num56z6" w:customStyle="1">
    <w:name w:val="WW8Num56z6"/>
    <w:qFormat/>
    <w:rPr/>
  </w:style>
  <w:style w:type="character" w:styleId="WW8Num56z7" w:customStyle="1">
    <w:name w:val="WW8Num56z7"/>
    <w:qFormat/>
    <w:rPr/>
  </w:style>
  <w:style w:type="character" w:styleId="WW8Num56z8" w:customStyle="1">
    <w:name w:val="WW8Num56z8"/>
    <w:qFormat/>
    <w:rPr/>
  </w:style>
  <w:style w:type="character" w:styleId="1" w:customStyle="1">
    <w:name w:val="Основной шрифт абзаца1"/>
    <w:qFormat/>
    <w:rPr/>
  </w:style>
  <w:style w:type="character" w:styleId="12" w:customStyle="1">
    <w:name w:val="Заголовок 1 Знак"/>
    <w:uiPriority w:val="9"/>
    <w:qFormat/>
    <w:rPr>
      <w:rFonts w:ascii="Calibri" w:hAnsi="Calibri" w:eastAsia="Calibri" w:cs="Times New Roman"/>
      <w:b/>
      <w:bCs/>
      <w:szCs w:val="20"/>
    </w:rPr>
  </w:style>
  <w:style w:type="character" w:styleId="2" w:customStyle="1">
    <w:name w:val="Заголовок 2 Знак"/>
    <w:uiPriority w:val="9"/>
    <w:qFormat/>
    <w:rPr>
      <w:rFonts w:ascii="Times New Roman" w:hAnsi="Times New Roman" w:eastAsia="Times New Roman" w:cs="Times New Roman"/>
      <w:b/>
      <w:bCs/>
      <w:iCs/>
      <w:sz w:val="24"/>
      <w:szCs w:val="28"/>
      <w:lang w:val="en-GB"/>
    </w:rPr>
  </w:style>
  <w:style w:type="character" w:styleId="3" w:customStyle="1">
    <w:name w:val="Заголовок 3 Знак"/>
    <w:uiPriority w:val="9"/>
    <w:qFormat/>
    <w:rPr>
      <w:rFonts w:ascii="Times New Roman" w:hAnsi="Times New Roman" w:eastAsia="Times New Roman" w:cs="Times New Roman"/>
      <w:bCs/>
      <w:sz w:val="24"/>
      <w:szCs w:val="26"/>
      <w:lang w:val="en-GB"/>
    </w:rPr>
  </w:style>
  <w:style w:type="character" w:styleId="4" w:customStyle="1">
    <w:name w:val="Заголовок 4 Знак"/>
    <w:uiPriority w:val="9"/>
    <w:qFormat/>
    <w:rPr>
      <w:rFonts w:ascii="Times New Roman" w:hAnsi="Times New Roman" w:eastAsia="Times New Roman" w:cs="Times New Roman"/>
      <w:bCs/>
      <w:sz w:val="24"/>
      <w:szCs w:val="28"/>
      <w:lang w:val="en-GB"/>
    </w:rPr>
  </w:style>
  <w:style w:type="character" w:styleId="5" w:customStyle="1">
    <w:name w:val="Заголовок 5 Знак"/>
    <w:uiPriority w:val="9"/>
    <w:qFormat/>
    <w:rPr>
      <w:rFonts w:ascii="Times New Roman" w:hAnsi="Times New Roman" w:eastAsia="Times New Roman" w:cs="Times New Roman"/>
      <w:bCs/>
      <w:iCs/>
      <w:sz w:val="24"/>
      <w:szCs w:val="26"/>
      <w:lang w:val="en-GB"/>
    </w:rPr>
  </w:style>
  <w:style w:type="character" w:styleId="6" w:customStyle="1">
    <w:name w:val="Заголовок 6 Знак"/>
    <w:uiPriority w:val="9"/>
    <w:qFormat/>
    <w:rPr>
      <w:rFonts w:ascii="Times New Roman" w:hAnsi="Times New Roman" w:eastAsia="Times New Roman" w:cs="Times New Roman"/>
      <w:bCs/>
      <w:sz w:val="24"/>
      <w:szCs w:val="20"/>
      <w:lang w:val="en-GB"/>
    </w:rPr>
  </w:style>
  <w:style w:type="character" w:styleId="7" w:customStyle="1">
    <w:name w:val="Заголовок 7 Знак"/>
    <w:uiPriority w:val="9"/>
    <w:qFormat/>
    <w:rPr>
      <w:rFonts w:ascii="Times New Roman" w:hAnsi="Times New Roman" w:eastAsia="Times New Roman" w:cs="Times New Roman"/>
      <w:sz w:val="24"/>
      <w:szCs w:val="24"/>
      <w:lang w:val="en-GB"/>
    </w:rPr>
  </w:style>
  <w:style w:type="character" w:styleId="8" w:customStyle="1">
    <w:name w:val="Заголовок 8 Знак"/>
    <w:uiPriority w:val="9"/>
    <w:qFormat/>
    <w:rPr>
      <w:rFonts w:ascii="Times New Roman" w:hAnsi="Times New Roman" w:eastAsia="Times New Roman" w:cs="Times New Roman"/>
      <w:iCs/>
      <w:sz w:val="20"/>
      <w:szCs w:val="24"/>
      <w:lang w:val="en-GB"/>
    </w:rPr>
  </w:style>
  <w:style w:type="character" w:styleId="9" w:customStyle="1">
    <w:name w:val="Заголовок 9 Знак"/>
    <w:uiPriority w:val="9"/>
    <w:qFormat/>
    <w:rPr>
      <w:rFonts w:ascii="Times New Roman" w:hAnsi="Times New Roman" w:eastAsia="Times New Roman" w:cs="Times New Roman"/>
      <w:b/>
      <w:sz w:val="20"/>
      <w:szCs w:val="20"/>
      <w:lang w:val="en-GB"/>
    </w:rPr>
  </w:style>
  <w:style w:type="character" w:styleId="Style5" w:customStyle="1">
    <w:name w:val="Основной текст Знак"/>
    <w:qFormat/>
    <w:rPr>
      <w:rFonts w:ascii="Times New Roman" w:hAnsi="Times New Roman" w:eastAsia="Times New Roman" w:cs="Times New Roman"/>
      <w:sz w:val="24"/>
      <w:szCs w:val="24"/>
      <w:lang w:val="en-GB"/>
    </w:rPr>
  </w:style>
  <w:style w:type="character" w:styleId="Style6" w:customStyle="1">
    <w:name w:val="Текст сноски Знак"/>
    <w:uiPriority w:val="99"/>
    <w:qFormat/>
    <w:rPr>
      <w:rFonts w:ascii="Arial" w:hAnsi="Arial" w:eastAsia="Calibri" w:cs="Times New Roman"/>
      <w:sz w:val="18"/>
    </w:rPr>
  </w:style>
  <w:style w:type="character" w:styleId="22" w:customStyle="1">
    <w:name w:val="Стиль2 Знак"/>
    <w:qFormat/>
    <w:rPr>
      <w:rFonts w:ascii="Arial" w:hAnsi="Arial" w:eastAsia="Times New Roman" w:cs="Times New Roman"/>
      <w:sz w:val="18"/>
      <w:szCs w:val="18"/>
    </w:rPr>
  </w:style>
  <w:style w:type="character" w:styleId="Body2" w:customStyle="1">
    <w:name w:val="Body2 Знак"/>
    <w:qFormat/>
    <w:rPr>
      <w:rFonts w:ascii="Times New Roman" w:hAnsi="Times New Roman" w:eastAsia="Times New Roman" w:cs="Times New Roman"/>
      <w:sz w:val="24"/>
      <w:szCs w:val="24"/>
      <w:lang w:val="en-GB"/>
    </w:rPr>
  </w:style>
  <w:style w:type="character" w:styleId="Strong">
    <w:name w:val="Strong"/>
    <w:qFormat/>
    <w:rPr>
      <w:b/>
      <w:bCs/>
    </w:rPr>
  </w:style>
  <w:style w:type="character" w:styleId="Style7" w:customStyle="1">
    <w:name w:val="Текст Знак"/>
    <w:link w:val="PlainText"/>
    <w:uiPriority w:val="99"/>
    <w:qFormat/>
    <w:rPr>
      <w:rFonts w:ascii="Times New Roman" w:hAnsi="Times New Roman" w:eastAsia="Times New Roman" w:cs="Times New Roman"/>
      <w:sz w:val="24"/>
      <w:szCs w:val="21"/>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character" w:styleId="style151" w:customStyle="1">
    <w:name w:val="style151"/>
    <w:qFormat/>
    <w:rPr>
      <w:rFonts w:ascii="Tahoma" w:hAnsi="Tahoma" w:cs="Tahoma"/>
      <w:color w:val="4D4D4D"/>
      <w:sz w:val="20"/>
      <w:szCs w:val="20"/>
    </w:rPr>
  </w:style>
  <w:style w:type="character" w:styleId="Style8" w:customStyle="1">
    <w:name w:val="Нижний колонтитул Знак"/>
    <w:uiPriority w:val="99"/>
    <w:qFormat/>
    <w:rPr>
      <w:rFonts w:ascii="Times New Roman" w:hAnsi="Times New Roman" w:eastAsia="Times New Roman" w:cs="Times New Roman"/>
      <w:sz w:val="24"/>
      <w:szCs w:val="24"/>
    </w:rPr>
  </w:style>
  <w:style w:type="character" w:styleId="PageNumber">
    <w:name w:val="page number"/>
    <w:rPr/>
  </w:style>
  <w:style w:type="character" w:styleId="Style9" w:customStyle="1">
    <w:name w:val="Текст выноски Знак"/>
    <w:qFormat/>
    <w:rPr>
      <w:rFonts w:ascii="Tahoma" w:hAnsi="Tahoma" w:eastAsia="Times New Roman" w:cs="Times New Roman"/>
      <w:sz w:val="16"/>
      <w:szCs w:val="16"/>
    </w:rPr>
  </w:style>
  <w:style w:type="character" w:styleId="13" w:customStyle="1">
    <w:name w:val="Знак примечания1"/>
    <w:qFormat/>
    <w:rPr>
      <w:sz w:val="16"/>
      <w:szCs w:val="16"/>
    </w:rPr>
  </w:style>
  <w:style w:type="character" w:styleId="Style10" w:customStyle="1">
    <w:name w:val="Текст примечания Знак"/>
    <w:qFormat/>
    <w:rPr>
      <w:rFonts w:ascii="Times New Roman" w:hAnsi="Times New Roman" w:eastAsia="Times New Roman" w:cs="Times New Roman"/>
      <w:sz w:val="20"/>
      <w:szCs w:val="20"/>
    </w:rPr>
  </w:style>
  <w:style w:type="character" w:styleId="Style11" w:customStyle="1">
    <w:name w:val="Тема примечания Знак"/>
    <w:qFormat/>
    <w:rPr>
      <w:rFonts w:ascii="Times New Roman" w:hAnsi="Times New Roman" w:eastAsia="Times New Roman" w:cs="Times New Roman"/>
      <w:b/>
      <w:bCs/>
      <w:sz w:val="20"/>
      <w:szCs w:val="20"/>
    </w:rPr>
  </w:style>
  <w:style w:type="character" w:styleId="Normal1" w:customStyle="1">
    <w:name w:val="Normal Знак"/>
    <w:qFormat/>
    <w:rPr>
      <w:rFonts w:ascii="Times New Roman" w:hAnsi="Times New Roman" w:eastAsia="Times New Roman" w:cs="Times New Roman"/>
      <w:sz w:val="28"/>
      <w:lang w:eastAsia="ar-SA" w:bidi="ar-SA"/>
    </w:rPr>
  </w:style>
  <w:style w:type="character" w:styleId="Style12" w:customStyle="1">
    <w:name w:val="Основной текст с отступом Знак"/>
    <w:qFormat/>
    <w:rPr>
      <w:rFonts w:ascii="Times New Roman" w:hAnsi="Times New Roman" w:eastAsia="Times New Roman" w:cs="Times New Roman"/>
      <w:sz w:val="24"/>
      <w:szCs w:val="24"/>
    </w:rPr>
  </w:style>
  <w:style w:type="character" w:styleId="Style13" w:customStyle="1">
    <w:name w:val="Подзаголовок Знак"/>
    <w:uiPriority w:val="11"/>
    <w:qFormat/>
    <w:rPr>
      <w:rFonts w:ascii="Times New Roman" w:hAnsi="Times New Roman" w:eastAsia="Times New Roman" w:cs="Times New Roman"/>
      <w:b/>
      <w:bCs/>
      <w:sz w:val="24"/>
      <w:szCs w:val="24"/>
    </w:rPr>
  </w:style>
  <w:style w:type="character" w:styleId="23" w:customStyle="1">
    <w:name w:val="Основной текст с отступом 2 Знак"/>
    <w:qFormat/>
    <w:rPr>
      <w:rFonts w:ascii="Times New Roman" w:hAnsi="Times New Roman" w:eastAsia="Times New Roman" w:cs="Times New Roman"/>
      <w:sz w:val="24"/>
      <w:szCs w:val="24"/>
    </w:rPr>
  </w:style>
  <w:style w:type="character" w:styleId="Style14" w:customStyle="1">
    <w:name w:val="Название Знак"/>
    <w:qFormat/>
    <w:rPr>
      <w:rFonts w:ascii="Times New Roman" w:hAnsi="Times New Roman" w:eastAsia="Times New Roman" w:cs="Times New Roman"/>
      <w:b/>
      <w:szCs w:val="20"/>
    </w:rPr>
  </w:style>
  <w:style w:type="character" w:styleId="user" w:customStyle="1">
    <w:name w:val="Символ сноски (user)"/>
    <w:qFormat/>
    <w:rPr>
      <w:vertAlign w:val="superscript"/>
    </w:rPr>
  </w:style>
  <w:style w:type="character" w:styleId="24" w:customStyle="1">
    <w:name w:val="Основной текст 2 Знак"/>
    <w:qFormat/>
    <w:rPr>
      <w:rFonts w:ascii="Times New Roman" w:hAnsi="Times New Roman" w:eastAsia="Times New Roman" w:cs="Times New Roman"/>
      <w:sz w:val="24"/>
      <w:szCs w:val="24"/>
    </w:rPr>
  </w:style>
  <w:style w:type="character" w:styleId="wmi-callto" w:customStyle="1">
    <w:name w:val="wmi-callto"/>
    <w:qFormat/>
    <w:rPr/>
  </w:style>
  <w:style w:type="character" w:styleId="32" w:customStyle="1">
    <w:name w:val="Основной текст 3 Знак"/>
    <w:qFormat/>
    <w:rPr>
      <w:rFonts w:ascii="Times New Roman" w:hAnsi="Times New Roman" w:eastAsia="Times New Roman" w:cs="Times New Roman"/>
      <w:sz w:val="16"/>
      <w:szCs w:val="16"/>
    </w:rPr>
  </w:style>
  <w:style w:type="character" w:styleId="33" w:customStyle="1">
    <w:name w:val="Основной текст с отступом 3 Знак"/>
    <w:qFormat/>
    <w:rPr>
      <w:rFonts w:ascii="Times New Roman" w:hAnsi="Times New Roman" w:eastAsia="Times New Roman" w:cs="Times New Roman"/>
      <w:sz w:val="16"/>
      <w:szCs w:val="16"/>
    </w:rPr>
  </w:style>
  <w:style w:type="character" w:styleId="14" w:customStyle="1">
    <w:name w:val="Основной текст Знак1"/>
    <w:qFormat/>
    <w:rPr>
      <w:rFonts w:ascii="Times New Roman" w:hAnsi="Times New Roman" w:cs="Times New Roman"/>
      <w:sz w:val="22"/>
      <w:szCs w:val="22"/>
      <w:u w:val="none"/>
    </w:rPr>
  </w:style>
  <w:style w:type="character" w:styleId="42" w:customStyle="1">
    <w:name w:val="Заголовок №4_"/>
    <w:qFormat/>
    <w:rPr>
      <w:rFonts w:ascii="Times New Roman" w:hAnsi="Times New Roman" w:cs="Times New Roman"/>
      <w:b/>
      <w:bCs/>
      <w:spacing w:val="10"/>
      <w:shd w:fill="FFFFFF" w:val="clear"/>
    </w:rPr>
  </w:style>
  <w:style w:type="character" w:styleId="131" w:customStyle="1">
    <w:name w:val="Основной текст + 131"/>
    <w:qFormat/>
    <w:rPr>
      <w:rFonts w:ascii="Times New Roman" w:hAnsi="Times New Roman" w:cs="Times New Roman"/>
      <w:b/>
      <w:bCs/>
      <w:i/>
      <w:iCs/>
      <w:spacing w:val="-20"/>
      <w:sz w:val="27"/>
      <w:szCs w:val="27"/>
      <w:u w:val="none"/>
      <w:lang w:val="ru-RU"/>
    </w:rPr>
  </w:style>
  <w:style w:type="character" w:styleId="62" w:customStyle="1">
    <w:name w:val="Основной текст (6)_"/>
    <w:qFormat/>
    <w:rPr>
      <w:rFonts w:ascii="Times New Roman" w:hAnsi="Times New Roman" w:cs="Times New Roman"/>
      <w:b/>
      <w:bCs/>
      <w:shd w:fill="FFFFFF" w:val="clear"/>
    </w:rPr>
  </w:style>
  <w:style w:type="character" w:styleId="Style15" w:customStyle="1">
    <w:name w:val="Основной текст + Полужирный"/>
    <w:qFormat/>
    <w:rPr>
      <w:rFonts w:ascii="Times New Roman" w:hAnsi="Times New Roman" w:cs="Times New Roman"/>
      <w:b/>
      <w:bCs/>
      <w:sz w:val="22"/>
      <w:szCs w:val="22"/>
      <w:u w:val="none"/>
    </w:rPr>
  </w:style>
  <w:style w:type="character" w:styleId="Style16" w:customStyle="1">
    <w:name w:val="Верхний колонтитул Знак"/>
    <w:uiPriority w:val="99"/>
    <w:qFormat/>
    <w:rPr>
      <w:rFonts w:ascii="Times New Roman" w:hAnsi="Times New Roman" w:eastAsia="Times New Roman" w:cs="Times New Roman"/>
      <w:sz w:val="24"/>
      <w:szCs w:val="24"/>
    </w:rPr>
  </w:style>
  <w:style w:type="character" w:styleId="apple-style-span" w:customStyle="1">
    <w:name w:val="apple-style-span"/>
    <w:qFormat/>
    <w:rPr/>
  </w:style>
  <w:style w:type="character" w:styleId="Style17">
    <w:name w:val="Символ сноски"/>
    <w:uiPriority w:val="99"/>
    <w:qFormat/>
    <w:rPr>
      <w:vertAlign w:val="superscript"/>
    </w:rPr>
  </w:style>
  <w:style w:type="character" w:styleId="FootnoteReference">
    <w:name w:val="footnote reference"/>
    <w:rPr>
      <w:vertAlign w:val="superscript"/>
    </w:rPr>
  </w:style>
  <w:style w:type="character" w:styleId="Style18" w:customStyle="1">
    <w:name w:val="Символы концевой сноски"/>
    <w:qFormat/>
    <w:rPr>
      <w:vertAlign w:val="superscript"/>
    </w:rPr>
  </w:style>
  <w:style w:type="character" w:styleId="WW-" w:customStyle="1">
    <w:name w:val="WW-Символы концевой сноски"/>
    <w:qFormat/>
    <w:rPr/>
  </w:style>
  <w:style w:type="character" w:styleId="Style19">
    <w:name w:val="Символ концевой сноски"/>
    <w:uiPriority w:val="99"/>
    <w:qFormat/>
    <w:rPr>
      <w:vertAlign w:val="superscript"/>
    </w:rPr>
  </w:style>
  <w:style w:type="character" w:styleId="EndnoteReference">
    <w:name w:val="endnote reference"/>
    <w:rPr>
      <w:vertAlign w:val="superscript"/>
    </w:rPr>
  </w:style>
  <w:style w:type="character" w:styleId="user1" w:customStyle="1">
    <w:name w:val="Символ нумерации (user)"/>
    <w:qFormat/>
    <w:rPr/>
  </w:style>
  <w:style w:type="character" w:styleId="15" w:customStyle="1">
    <w:name w:val="Текст сноски Знак1"/>
    <w:basedOn w:val="DefaultParagraphFont"/>
    <w:qFormat/>
    <w:rPr>
      <w:rFonts w:ascii="Arial" w:hAnsi="Arial" w:eastAsia="Calibri" w:cs="Arial"/>
      <w:sz w:val="18"/>
      <w:lang w:eastAsia="ar-SA"/>
    </w:rPr>
  </w:style>
  <w:style w:type="character" w:styleId="16" w:customStyle="1">
    <w:name w:val="Нижний колонтитул Знак1"/>
    <w:basedOn w:val="DefaultParagraphFont"/>
    <w:uiPriority w:val="99"/>
    <w:qFormat/>
    <w:rPr>
      <w:sz w:val="24"/>
      <w:szCs w:val="24"/>
      <w:lang w:eastAsia="ar-SA"/>
    </w:rPr>
  </w:style>
  <w:style w:type="character" w:styleId="17" w:customStyle="1">
    <w:name w:val="Тема примечания Знак1"/>
    <w:basedOn w:val="18"/>
    <w:link w:val="annotationsubject"/>
    <w:qFormat/>
    <w:rPr>
      <w:b/>
      <w:bCs/>
      <w:lang w:eastAsia="ar-SA"/>
    </w:rPr>
  </w:style>
  <w:style w:type="character" w:styleId="18" w:customStyle="1">
    <w:name w:val="Текст примечания Знак1"/>
    <w:uiPriority w:val="99"/>
    <w:qFormat/>
    <w:rPr>
      <w:lang w:eastAsia="ar-SA"/>
    </w:rPr>
  </w:style>
  <w:style w:type="character" w:styleId="19" w:customStyle="1">
    <w:name w:val="Основной текст с отступом Знак1"/>
    <w:basedOn w:val="DefaultParagraphFont"/>
    <w:qFormat/>
    <w:rPr>
      <w:sz w:val="24"/>
      <w:szCs w:val="24"/>
      <w:lang w:eastAsia="ar-SA"/>
    </w:rPr>
  </w:style>
  <w:style w:type="character" w:styleId="110" w:customStyle="1">
    <w:name w:val="Подзаголовок Знак1"/>
    <w:basedOn w:val="DefaultParagraphFont"/>
    <w:qFormat/>
    <w:rPr>
      <w:b/>
      <w:bCs/>
      <w:sz w:val="24"/>
      <w:szCs w:val="24"/>
      <w:lang w:eastAsia="ar-SA"/>
    </w:rPr>
  </w:style>
  <w:style w:type="character" w:styleId="Style20" w:customStyle="1">
    <w:name w:val="Заголовок Знак"/>
    <w:basedOn w:val="DefaultParagraphFont"/>
    <w:uiPriority w:val="10"/>
    <w:qFormat/>
    <w:rPr>
      <w:b/>
      <w:lang w:eastAsia="ar-SA"/>
    </w:rPr>
  </w:style>
  <w:style w:type="character" w:styleId="111" w:customStyle="1">
    <w:name w:val="Верхний колонтитул Знак1"/>
    <w:basedOn w:val="DefaultParagraphFont"/>
    <w:uiPriority w:val="99"/>
    <w:qFormat/>
    <w:rPr>
      <w:sz w:val="24"/>
      <w:szCs w:val="24"/>
      <w:lang w:eastAsia="ar-SA"/>
    </w:rPr>
  </w:style>
  <w:style w:type="character" w:styleId="CommentReference">
    <w:name w:val="annotation reference"/>
    <w:uiPriority w:val="99"/>
    <w:semiHidden/>
    <w:unhideWhenUsed/>
    <w:qFormat/>
    <w:rPr>
      <w:sz w:val="16"/>
      <w:szCs w:val="16"/>
    </w:rPr>
  </w:style>
  <w:style w:type="character" w:styleId="112" w:customStyle="1">
    <w:name w:val="Текст Знак1"/>
    <w:basedOn w:val="DefaultParagraphFont"/>
    <w:uiPriority w:val="99"/>
    <w:semiHidden/>
    <w:qFormat/>
    <w:rPr>
      <w:rFonts w:ascii="Consolas" w:hAnsi="Consolas"/>
      <w:sz w:val="21"/>
      <w:szCs w:val="21"/>
      <w:lang w:eastAsia="ar-SA"/>
    </w:rPr>
  </w:style>
  <w:style w:type="character" w:styleId="apple-converted-space" w:customStyle="1">
    <w:name w:val="apple-converted-space"/>
    <w:basedOn w:val="DefaultParagraphFont"/>
    <w:qFormat/>
    <w:rPr/>
  </w:style>
  <w:style w:type="character" w:styleId="FontStyle30" w:customStyle="1">
    <w:name w:val="Font Style30"/>
    <w:uiPriority w:val="99"/>
    <w:qFormat/>
    <w:rPr>
      <w:rFonts w:ascii="Arial" w:hAnsi="Arial" w:cs="Arial"/>
      <w:b/>
      <w:bCs/>
      <w:sz w:val="16"/>
      <w:szCs w:val="16"/>
    </w:rPr>
  </w:style>
  <w:style w:type="character" w:styleId="HTML" w:customStyle="1">
    <w:name w:val="Стандартный HTML Знак"/>
    <w:basedOn w:val="DefaultParagraphFont"/>
    <w:link w:val="HTMLPreformatted"/>
    <w:uiPriority w:val="99"/>
    <w:qFormat/>
    <w:rPr>
      <w:rFonts w:ascii="Courier New" w:hAnsi="Courier New"/>
    </w:rPr>
  </w:style>
  <w:style w:type="character" w:styleId="25" w:customStyle="1">
    <w:name w:val="Цитата 2 Знак"/>
    <w:basedOn w:val="DefaultParagraphFont"/>
    <w:link w:val="Quote"/>
    <w:uiPriority w:val="29"/>
    <w:qFormat/>
    <w:rPr>
      <w:i/>
    </w:rPr>
  </w:style>
  <w:style w:type="character" w:styleId="Style21" w:customStyle="1">
    <w:name w:val="Выделенная цитата Знак"/>
    <w:basedOn w:val="DefaultParagraphFont"/>
    <w:link w:val="IntenseQuote"/>
    <w:uiPriority w:val="30"/>
    <w:qFormat/>
    <w:rPr>
      <w:i/>
      <w:shd w:fill="F2F2F2" w:val="clear"/>
    </w:rPr>
  </w:style>
  <w:style w:type="character" w:styleId="HeaderChar" w:customStyle="1">
    <w:name w:val="Header Char"/>
    <w:uiPriority w:val="99"/>
    <w:qFormat/>
    <w:rPr/>
  </w:style>
  <w:style w:type="character" w:styleId="Style22" w:customStyle="1">
    <w:name w:val="Название объекта Знак"/>
    <w:uiPriority w:val="35"/>
    <w:semiHidden/>
    <w:qFormat/>
    <w:rPr>
      <w:b/>
      <w:bCs/>
      <w:color w:themeColor="accent1" w:val="4F81BD"/>
      <w:sz w:val="18"/>
      <w:szCs w:val="18"/>
    </w:rPr>
  </w:style>
  <w:style w:type="character" w:styleId="Style23" w:customStyle="1">
    <w:name w:val="Текст концевой сноски Знак"/>
    <w:basedOn w:val="DefaultParagraphFont"/>
    <w:uiPriority w:val="99"/>
    <w:semiHidden/>
    <w:qFormat/>
    <w:rPr/>
  </w:style>
  <w:style w:type="character" w:styleId="26" w:customStyle="1">
    <w:name w:val="Основной текст (2)_"/>
    <w:link w:val="213"/>
    <w:qFormat/>
    <w:rPr>
      <w:rFonts w:ascii="Tahoma" w:hAnsi="Tahoma" w:eastAsia="Tahoma" w:cs="Tahoma"/>
      <w:shd w:fill="FFFFFF" w:val="clear"/>
    </w:rPr>
  </w:style>
  <w:style w:type="character" w:styleId="2BookmanOldStyle" w:customStyle="1">
    <w:name w:val="Основной текст (2) + Bookman Old Style;Курсив"/>
    <w:basedOn w:val="DefaultParagraphFont"/>
    <w:qFormat/>
    <w:rPr>
      <w:rFonts w:ascii="Bookman Old Style" w:hAnsi="Bookman Old Style" w:eastAsia="Bookman Old Style" w:cs="Bookman Old Style"/>
      <w:b w:val="false"/>
      <w:bCs w:val="false"/>
      <w:i/>
      <w:iCs/>
      <w:caps w:val="false"/>
      <w:smallCaps w:val="false"/>
      <w:strike w:val="false"/>
      <w:dstrike w:val="false"/>
      <w:color w:val="000000"/>
      <w:spacing w:val="0"/>
      <w:sz w:val="24"/>
      <w:szCs w:val="24"/>
      <w:u w:val="none"/>
      <w:lang w:val="en-US" w:eastAsia="en-US" w:bidi="en-US"/>
    </w:rPr>
  </w:style>
  <w:style w:type="character" w:styleId="2BookmanOldStyle1" w:customStyle="1">
    <w:name w:val="Основной текст (2) + Bookman Old Style;Курсив;Малые прописные"/>
    <w:basedOn w:val="DefaultParagraphFont"/>
    <w:qFormat/>
    <w:rPr>
      <w:rFonts w:ascii="Bookman Old Style" w:hAnsi="Bookman Old Style" w:eastAsia="Bookman Old Style" w:cs="Bookman Old Style"/>
      <w:b w:val="false"/>
      <w:bCs w:val="false"/>
      <w:i/>
      <w:iCs/>
      <w:smallCaps/>
      <w:strike w:val="false"/>
      <w:dstrike w:val="false"/>
      <w:color w:val="000000"/>
      <w:spacing w:val="0"/>
      <w:sz w:val="24"/>
      <w:szCs w:val="24"/>
      <w:u w:val="none"/>
      <w:lang w:val="en-US" w:eastAsia="en-US" w:bidi="en-US"/>
    </w:rPr>
  </w:style>
  <w:style w:type="character" w:styleId="82" w:customStyle="1">
    <w:name w:val="Основной текст (8)"/>
    <w:basedOn w:val="DefaultParagraphFont"/>
    <w:qFormat/>
    <w:rPr>
      <w:rFonts w:ascii="Trebuchet MS" w:hAnsi="Trebuchet MS" w:eastAsia="Trebuchet MS" w:cs="Trebuchet MS"/>
      <w:b w:val="false"/>
      <w:bCs w:val="false"/>
      <w:i w:val="false"/>
      <w:iCs w:val="false"/>
      <w:caps w:val="false"/>
      <w:smallCaps w:val="false"/>
      <w:strike w:val="false"/>
      <w:dstrike w:val="false"/>
      <w:color w:val="000000"/>
      <w:spacing w:val="0"/>
      <w:sz w:val="20"/>
      <w:szCs w:val="20"/>
      <w:u w:val="single"/>
      <w:lang w:val="ru-RU" w:eastAsia="ru-RU" w:bidi="ru-RU"/>
    </w:rPr>
  </w:style>
  <w:style w:type="paragraph" w:styleId="Style24">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before="0" w:after="240"/>
      <w:jc w:val="both"/>
    </w:pPr>
    <w:rPr>
      <w:lang w:val="en-GB"/>
    </w:rPr>
  </w:style>
  <w:style w:type="paragraph" w:styleId="List">
    <w:name w:val="List"/>
    <w:basedOn w:val="BodyText"/>
    <w:pPr/>
    <w:rPr>
      <w:rFonts w:cs="Mangal"/>
    </w:rPr>
  </w:style>
  <w:style w:type="paragraph" w:styleId="Caption">
    <w:name w:val="caption"/>
    <w:basedOn w:val="Normal"/>
    <w:next w:val="Normal"/>
    <w:link w:val="Style22"/>
    <w:uiPriority w:val="35"/>
    <w:semiHidden/>
    <w:unhideWhenUsed/>
    <w:qFormat/>
    <w:pPr>
      <w:spacing w:lineRule="auto" w:line="276"/>
    </w:pPr>
    <w:rPr>
      <w:b/>
      <w:bCs/>
      <w:color w:themeColor="accent1" w:val="4F81BD"/>
      <w:sz w:val="18"/>
      <w:szCs w:val="18"/>
      <w:lang w:eastAsia="ru-RU"/>
    </w:rPr>
  </w:style>
  <w:style w:type="paragraph" w:styleId="Style25">
    <w:name w:val="Указатель"/>
    <w:basedOn w:val="Normal"/>
    <w:qFormat/>
    <w:pPr>
      <w:suppressLineNumbers/>
    </w:pPr>
    <w:rPr>
      <w:rFonts w:cs="Noto Sans"/>
    </w:rPr>
  </w:style>
  <w:style w:type="paragraph" w:styleId="PlainText">
    <w:name w:val="Plain Text"/>
    <w:basedOn w:val="Normal"/>
    <w:link w:val="Style7"/>
    <w:uiPriority w:val="99"/>
    <w:unhideWhenUsed/>
    <w:qFormat/>
    <w:pPr/>
    <w:rPr>
      <w:szCs w:val="21"/>
      <w:lang w:eastAsia="ru-RU"/>
    </w:rPr>
  </w:style>
  <w:style w:type="paragraph" w:styleId="113" w:customStyle="1">
    <w:name w:val="Заголовок1"/>
    <w:basedOn w:val="Normal"/>
    <w:next w:val="BodyText"/>
    <w:qFormat/>
    <w:pPr>
      <w:keepNext w:val="true"/>
      <w:spacing w:before="240" w:after="120"/>
    </w:pPr>
    <w:rPr>
      <w:rFonts w:ascii="Arial" w:hAnsi="Arial" w:eastAsia="Microsoft YaHei" w:cs="Mangal"/>
      <w:sz w:val="28"/>
      <w:szCs w:val="28"/>
    </w:rPr>
  </w:style>
  <w:style w:type="paragraph" w:styleId="114" w:customStyle="1">
    <w:name w:val="Название1"/>
    <w:basedOn w:val="Normal"/>
    <w:qFormat/>
    <w:pPr>
      <w:suppressLineNumbers/>
      <w:spacing w:before="120" w:after="120"/>
    </w:pPr>
    <w:rPr>
      <w:rFonts w:cs="Mangal"/>
      <w:i/>
      <w:iCs/>
    </w:rPr>
  </w:style>
  <w:style w:type="paragraph" w:styleId="115" w:customStyle="1">
    <w:name w:val="Указатель1"/>
    <w:basedOn w:val="Normal"/>
    <w:qFormat/>
    <w:pPr>
      <w:suppressLineNumbers/>
    </w:pPr>
    <w:rPr>
      <w:rFonts w:cs="Mangal"/>
    </w:rPr>
  </w:style>
  <w:style w:type="paragraph" w:styleId="FootnoteText">
    <w:name w:val="footnote text"/>
    <w:basedOn w:val="Normal"/>
    <w:link w:val="15"/>
    <w:uiPriority w:val="99"/>
    <w:pPr>
      <w:spacing w:before="120" w:after="0"/>
      <w:jc w:val="both"/>
    </w:pPr>
    <w:rPr>
      <w:rFonts w:ascii="Arial" w:hAnsi="Arial" w:eastAsia="Calibri" w:cs="Arial"/>
      <w:sz w:val="18"/>
      <w:szCs w:val="20"/>
    </w:rPr>
  </w:style>
  <w:style w:type="paragraph" w:styleId="27" w:customStyle="1">
    <w:name w:val="Стиль2"/>
    <w:basedOn w:val="FootnoteText"/>
    <w:qFormat/>
    <w:pPr>
      <w:tabs>
        <w:tab w:val="clear" w:pos="369"/>
        <w:tab w:val="left" w:pos="0" w:leader="none"/>
      </w:tabs>
    </w:pPr>
    <w:rPr>
      <w:rFonts w:eastAsia="Times New Roman"/>
      <w:szCs w:val="18"/>
    </w:rPr>
  </w:style>
  <w:style w:type="paragraph" w:styleId="Body21" w:customStyle="1">
    <w:name w:val="Body2"/>
    <w:basedOn w:val="Normal"/>
    <w:qFormat/>
    <w:pPr>
      <w:spacing w:before="0" w:after="240"/>
      <w:ind w:start="709"/>
      <w:jc w:val="both"/>
    </w:pPr>
    <w:rPr>
      <w:lang w:val="en-GB"/>
    </w:rPr>
  </w:style>
  <w:style w:type="paragraph" w:styleId="ListNum1" w:customStyle="1">
    <w:name w:val="List Num 1"/>
    <w:basedOn w:val="Normal"/>
    <w:next w:val="BodyText"/>
    <w:qFormat/>
    <w:pPr>
      <w:spacing w:before="0" w:after="240"/>
      <w:ind w:hanging="720" w:start="720"/>
      <w:jc w:val="both"/>
    </w:pPr>
    <w:rPr>
      <w:lang w:val="en-GB"/>
    </w:rPr>
  </w:style>
  <w:style w:type="paragraph" w:styleId="ListNum2" w:customStyle="1">
    <w:name w:val="List Num 2"/>
    <w:basedOn w:val="Normal"/>
    <w:next w:val="BodyText"/>
    <w:qFormat/>
    <w:pPr>
      <w:spacing w:before="0" w:after="240"/>
      <w:ind w:hanging="720" w:start="720"/>
      <w:jc w:val="both"/>
    </w:pPr>
    <w:rPr>
      <w:lang w:val="en-GB"/>
    </w:rPr>
  </w:style>
  <w:style w:type="paragraph" w:styleId="116" w:customStyle="1">
    <w:name w:val="Текст1"/>
    <w:basedOn w:val="Normal"/>
    <w:qFormat/>
    <w:pPr/>
    <w:rPr>
      <w:szCs w:val="21"/>
    </w:rPr>
  </w:style>
  <w:style w:type="paragraph" w:styleId="1KGK9" w:customStyle="1">
    <w:name w:val="1KG=K9"/>
    <w:qFormat/>
    <w:pPr>
      <w:widowControl/>
      <w:bidi w:val="0"/>
      <w:spacing w:before="0" w:after="0"/>
      <w:jc w:val="start"/>
    </w:pPr>
    <w:rPr>
      <w:rFonts w:ascii="Arial" w:hAnsi="Arial" w:cs="Arial" w:eastAsia="Times New Roman"/>
      <w:color w:val="auto"/>
      <w:kern w:val="0"/>
      <w:sz w:val="24"/>
      <w:szCs w:val="24"/>
      <w:lang w:eastAsia="ar-SA" w:val="ru-RU" w:bidi="ar-SA"/>
    </w:rPr>
  </w:style>
  <w:style w:type="paragraph" w:styleId="NormalWeb">
    <w:name w:val="Normal (Web)"/>
    <w:basedOn w:val="Normal"/>
    <w:qFormat/>
    <w:pPr>
      <w:spacing w:before="280" w:after="280"/>
    </w:pPr>
    <w:rPr/>
  </w:style>
  <w:style w:type="paragraph" w:styleId="TOC1">
    <w:name w:val="toc 1"/>
    <w:basedOn w:val="Normal"/>
    <w:next w:val="Normal"/>
    <w:uiPriority w:val="39"/>
    <w:pPr>
      <w:tabs>
        <w:tab w:val="clear" w:pos="369"/>
        <w:tab w:val="right" w:pos="9345" w:leader="dot"/>
      </w:tabs>
      <w:spacing w:lineRule="auto" w:line="360"/>
    </w:pPr>
    <w:rPr/>
  </w:style>
  <w:style w:type="paragraph" w:styleId="Style26">
    <w:name w:val="Колонтитулы"/>
    <w:basedOn w:val="Normal"/>
    <w:qFormat/>
    <w:pPr/>
    <w:rPr/>
  </w:style>
  <w:style w:type="paragraph" w:styleId="Footer">
    <w:name w:val="footer"/>
    <w:basedOn w:val="Normal"/>
    <w:link w:val="16"/>
    <w:uiPriority w:val="99"/>
    <w:pPr>
      <w:tabs>
        <w:tab w:val="clear" w:pos="369"/>
        <w:tab w:val="center" w:pos="4677" w:leader="none"/>
        <w:tab w:val="right" w:pos="9355" w:leader="none"/>
      </w:tabs>
    </w:pPr>
    <w:rPr/>
  </w:style>
  <w:style w:type="paragraph" w:styleId="BalloonText">
    <w:name w:val="Balloon Text"/>
    <w:basedOn w:val="Normal"/>
    <w:qFormat/>
    <w:pPr/>
    <w:rPr>
      <w:rFonts w:ascii="Tahoma" w:hAnsi="Tahoma" w:cs="Tahoma"/>
      <w:sz w:val="16"/>
      <w:szCs w:val="16"/>
    </w:rPr>
  </w:style>
  <w:style w:type="paragraph" w:styleId="TOC2">
    <w:name w:val="toc 2"/>
    <w:basedOn w:val="Normal"/>
    <w:next w:val="Normal"/>
    <w:uiPriority w:val="39"/>
    <w:pPr>
      <w:ind w:start="240"/>
    </w:pPr>
    <w:rPr/>
  </w:style>
  <w:style w:type="paragraph" w:styleId="NoSpacing">
    <w:name w:val="No Spacing"/>
    <w:uiPriority w:val="1"/>
    <w:qFormat/>
    <w:pPr>
      <w:widowControl/>
      <w:bidi w:val="0"/>
      <w:spacing w:before="0" w:after="0"/>
      <w:jc w:val="start"/>
    </w:pPr>
    <w:rPr>
      <w:rFonts w:ascii="Calibri" w:hAnsi="Calibri" w:eastAsia="Calibri" w:cs="Times New Roman"/>
      <w:color w:val="auto"/>
      <w:kern w:val="0"/>
      <w:sz w:val="22"/>
      <w:szCs w:val="22"/>
      <w:lang w:eastAsia="ar-SA" w:val="ru-RU" w:bidi="ar-SA"/>
    </w:rPr>
  </w:style>
  <w:style w:type="paragraph" w:styleId="ListParagraph">
    <w:name w:val="List Paragraph"/>
    <w:basedOn w:val="Normal"/>
    <w:uiPriority w:val="34"/>
    <w:qFormat/>
    <w:pPr>
      <w:ind w:start="720"/>
    </w:pPr>
    <w:rPr/>
  </w:style>
  <w:style w:type="paragraph" w:styleId="117" w:customStyle="1">
    <w:name w:val="Текст примечания1"/>
    <w:basedOn w:val="Normal"/>
    <w:qFormat/>
    <w:pPr/>
    <w:rPr>
      <w:sz w:val="20"/>
      <w:szCs w:val="20"/>
    </w:rPr>
  </w:style>
  <w:style w:type="paragraph" w:styleId="annotationsubject">
    <w:name w:val="annotation subject"/>
    <w:basedOn w:val="117"/>
    <w:next w:val="117"/>
    <w:link w:val="17"/>
    <w:qFormat/>
    <w:pPr/>
    <w:rPr>
      <w:b/>
      <w:bCs/>
    </w:rPr>
  </w:style>
  <w:style w:type="paragraph" w:styleId="CommentText">
    <w:name w:val="annotation text"/>
    <w:basedOn w:val="Normal"/>
    <w:link w:val="18"/>
    <w:uiPriority w:val="99"/>
    <w:unhideWhenUsed/>
    <w:pPr/>
    <w:rPr>
      <w:sz w:val="20"/>
      <w:szCs w:val="20"/>
    </w:rPr>
  </w:style>
  <w:style w:type="paragraph" w:styleId="ConsNormal" w:customStyle="1">
    <w:name w:val="ConsNormal"/>
    <w:qFormat/>
    <w:pPr>
      <w:widowControl w:val="false"/>
      <w:bidi w:val="0"/>
      <w:spacing w:before="0" w:after="0"/>
      <w:ind w:firstLine="720"/>
      <w:jc w:val="start"/>
    </w:pPr>
    <w:rPr>
      <w:rFonts w:ascii="Arial" w:hAnsi="Arial" w:cs="Arial" w:eastAsia="Times New Roman"/>
      <w:color w:val="auto"/>
      <w:kern w:val="0"/>
      <w:sz w:val="20"/>
      <w:szCs w:val="20"/>
      <w:lang w:eastAsia="ar-SA" w:val="ru-RU" w:bidi="ar-SA"/>
    </w:rPr>
  </w:style>
  <w:style w:type="paragraph" w:styleId="ConsNonformat" w:customStyle="1">
    <w:name w:val="ConsNonformat"/>
    <w:qFormat/>
    <w:pPr>
      <w:widowControl w:val="false"/>
      <w:bidi w:val="0"/>
      <w:spacing w:before="0" w:after="0"/>
      <w:jc w:val="start"/>
    </w:pPr>
    <w:rPr>
      <w:rFonts w:ascii="Courier New" w:hAnsi="Courier New" w:cs="Courier New" w:eastAsia="Times New Roman"/>
      <w:color w:val="auto"/>
      <w:kern w:val="0"/>
      <w:sz w:val="20"/>
      <w:szCs w:val="20"/>
      <w:lang w:eastAsia="ar-SA" w:val="ru-RU" w:bidi="ar-SA"/>
    </w:rPr>
  </w:style>
  <w:style w:type="paragraph" w:styleId="ConsPlusNormal" w:customStyle="1">
    <w:name w:val="ConsPlusNormal"/>
    <w:qFormat/>
    <w:pPr>
      <w:widowControl w:val="false"/>
      <w:bidi w:val="0"/>
      <w:spacing w:before="0" w:after="0"/>
      <w:ind w:firstLine="720"/>
      <w:jc w:val="start"/>
    </w:pPr>
    <w:rPr>
      <w:rFonts w:ascii="Arial" w:hAnsi="Arial" w:cs="Arial" w:eastAsia="Times New Roman"/>
      <w:color w:val="auto"/>
      <w:kern w:val="0"/>
      <w:sz w:val="20"/>
      <w:szCs w:val="20"/>
      <w:lang w:eastAsia="ar-SA" w:val="ru-RU" w:bidi="ar-SA"/>
    </w:rPr>
  </w:style>
  <w:style w:type="paragraph" w:styleId="118" w:customStyle="1">
    <w:name w:val="Обычный1"/>
    <w:qFormat/>
    <w:pPr>
      <w:widowControl/>
      <w:bidi w:val="0"/>
      <w:spacing w:before="0" w:after="0"/>
      <w:ind w:firstLine="720"/>
      <w:jc w:val="both"/>
    </w:pPr>
    <w:rPr>
      <w:rFonts w:ascii="Times New Roman" w:hAnsi="Times New Roman" w:eastAsia="Times New Roman" w:cs="Times New Roman"/>
      <w:color w:val="auto"/>
      <w:kern w:val="0"/>
      <w:sz w:val="28"/>
      <w:szCs w:val="20"/>
      <w:lang w:eastAsia="ar-SA" w:val="ru-RU" w:bidi="ar-SA"/>
    </w:rPr>
  </w:style>
  <w:style w:type="paragraph" w:styleId="BodyTextIndent">
    <w:name w:val="Body Text Indent"/>
    <w:basedOn w:val="Normal"/>
    <w:link w:val="19"/>
    <w:pPr>
      <w:spacing w:before="0" w:after="120"/>
      <w:ind w:start="283"/>
    </w:pPr>
    <w:rPr/>
  </w:style>
  <w:style w:type="paragraph" w:styleId="Subtitle">
    <w:name w:val="Subtitle"/>
    <w:basedOn w:val="Normal"/>
    <w:next w:val="BodyText"/>
    <w:link w:val="110"/>
    <w:uiPriority w:val="11"/>
    <w:qFormat/>
    <w:pPr/>
    <w:rPr>
      <w:b/>
      <w:bCs/>
    </w:rPr>
  </w:style>
  <w:style w:type="paragraph" w:styleId="Style27" w:customStyle="1">
    <w:name w:val="Нормальный"/>
    <w:qFormat/>
    <w:pPr>
      <w:widowControl/>
      <w:bidi w:val="0"/>
      <w:spacing w:before="0" w:after="0"/>
      <w:jc w:val="start"/>
    </w:pPr>
    <w:rPr>
      <w:rFonts w:ascii="TimesET" w:hAnsi="TimesET" w:cs="TimesET" w:eastAsia="Times New Roman"/>
      <w:color w:val="auto"/>
      <w:kern w:val="0"/>
      <w:sz w:val="20"/>
      <w:szCs w:val="20"/>
      <w:lang w:eastAsia="ar-SA" w:val="ru-RU" w:bidi="ar-SA"/>
    </w:rPr>
  </w:style>
  <w:style w:type="paragraph" w:styleId="119" w:customStyle="1">
    <w:name w:val="Маркированный список1"/>
    <w:basedOn w:val="Normal"/>
    <w:qFormat/>
    <w:pPr>
      <w:numPr>
        <w:ilvl w:val="0"/>
        <w:numId w:val="2"/>
      </w:numPr>
    </w:pPr>
    <w:rPr/>
  </w:style>
  <w:style w:type="paragraph" w:styleId="211" w:customStyle="1">
    <w:name w:val="Основной текст с отступом 21"/>
    <w:basedOn w:val="Normal"/>
    <w:qFormat/>
    <w:pPr>
      <w:spacing w:lineRule="auto" w:line="480" w:before="0" w:after="120"/>
      <w:ind w:start="283"/>
    </w:pPr>
    <w:rPr/>
  </w:style>
  <w:style w:type="paragraph" w:styleId="Arial" w:customStyle="1">
    <w:name w:val="Обычный + Arial"/>
    <w:basedOn w:val="Normal"/>
    <w:qFormat/>
    <w:pPr>
      <w:spacing w:before="280" w:after="280"/>
      <w:ind w:firstLine="14"/>
      <w:jc w:val="both"/>
    </w:pPr>
    <w:rPr>
      <w:rFonts w:ascii="Arial" w:hAnsi="Arial" w:cs="Arial"/>
    </w:rPr>
  </w:style>
  <w:style w:type="paragraph" w:styleId="Title">
    <w:name w:val="Title"/>
    <w:basedOn w:val="Normal"/>
    <w:next w:val="Subtitle"/>
    <w:link w:val="Style20"/>
    <w:uiPriority w:val="10"/>
    <w:qFormat/>
    <w:pPr>
      <w:jc w:val="center"/>
    </w:pPr>
    <w:rPr>
      <w:b/>
      <w:sz w:val="20"/>
      <w:szCs w:val="20"/>
    </w:rPr>
  </w:style>
  <w:style w:type="paragraph" w:styleId="ConsPlusNonformat" w:customStyle="1">
    <w:name w:val="ConsPlusNonformat"/>
    <w:qFormat/>
    <w:pPr>
      <w:widowControl w:val="false"/>
      <w:bidi w:val="0"/>
      <w:spacing w:before="0" w:after="0"/>
      <w:jc w:val="start"/>
    </w:pPr>
    <w:rPr>
      <w:rFonts w:ascii="Courier New" w:hAnsi="Courier New" w:cs="Courier New" w:eastAsia="Times New Roman"/>
      <w:color w:val="auto"/>
      <w:kern w:val="0"/>
      <w:sz w:val="20"/>
      <w:szCs w:val="20"/>
      <w:lang w:eastAsia="ar-SA" w:val="ru-RU" w:bidi="ar-SA"/>
    </w:rPr>
  </w:style>
  <w:style w:type="paragraph" w:styleId="221" w:customStyle="1">
    <w:name w:val="Основной текст 22"/>
    <w:basedOn w:val="Normal"/>
    <w:qFormat/>
    <w:pPr>
      <w:spacing w:lineRule="auto" w:line="480" w:before="0" w:after="120"/>
    </w:pPr>
    <w:rPr/>
  </w:style>
  <w:style w:type="paragraph" w:styleId="311" w:customStyle="1">
    <w:name w:val="Основной текст 31"/>
    <w:basedOn w:val="Normal"/>
    <w:qFormat/>
    <w:pPr>
      <w:spacing w:before="0" w:after="120"/>
    </w:pPr>
    <w:rPr>
      <w:sz w:val="16"/>
      <w:szCs w:val="16"/>
    </w:rPr>
  </w:style>
  <w:style w:type="paragraph" w:styleId="120" w:customStyle="1">
    <w:name w:val="Стиль1"/>
    <w:basedOn w:val="Normal"/>
    <w:qFormat/>
    <w:pPr>
      <w:ind w:firstLine="720"/>
      <w:jc w:val="both"/>
    </w:pPr>
    <w:rPr>
      <w:rFonts w:ascii="Peterburg" w:hAnsi="Peterburg" w:cs="Arial"/>
      <w:szCs w:val="20"/>
    </w:rPr>
  </w:style>
  <w:style w:type="paragraph" w:styleId="312" w:customStyle="1">
    <w:name w:val="Основной текст с отступом 31"/>
    <w:basedOn w:val="Normal"/>
    <w:qFormat/>
    <w:pPr>
      <w:spacing w:before="0" w:after="120"/>
      <w:ind w:start="283"/>
    </w:pPr>
    <w:rPr>
      <w:sz w:val="16"/>
      <w:szCs w:val="16"/>
    </w:rPr>
  </w:style>
  <w:style w:type="paragraph" w:styleId="Style28" w:customStyle="1">
    <w:name w:val="основной текст"/>
    <w:basedOn w:val="Normal"/>
    <w:qFormat/>
    <w:pPr>
      <w:keepLines/>
      <w:spacing w:before="0" w:after="120"/>
      <w:jc w:val="both"/>
    </w:pPr>
    <w:rPr/>
  </w:style>
  <w:style w:type="paragraph" w:styleId="Style29" w:customStyle="1">
    <w:name w:val="основной текст нумерованный"/>
    <w:basedOn w:val="Style28"/>
    <w:qFormat/>
    <w:pPr>
      <w:spacing w:lineRule="atLeast" w:line="240"/>
      <w:ind w:firstLine="720"/>
    </w:pPr>
    <w:rPr/>
  </w:style>
  <w:style w:type="paragraph" w:styleId="212" w:customStyle="1">
    <w:name w:val="Основной текст 21"/>
    <w:basedOn w:val="Normal"/>
    <w:qFormat/>
    <w:pPr>
      <w:jc w:val="both"/>
    </w:pPr>
    <w:rPr>
      <w:b/>
      <w:sz w:val="22"/>
      <w:szCs w:val="20"/>
    </w:rPr>
  </w:style>
  <w:style w:type="paragraph" w:styleId="auiue" w:customStyle="1">
    <w:name w:val="au?iue"/>
    <w:qFormat/>
    <w:pPr>
      <w:widowControl w:val="false"/>
      <w:bidi w:val="0"/>
      <w:spacing w:before="0" w:after="0"/>
      <w:ind w:firstLine="709"/>
      <w:jc w:val="both"/>
    </w:pPr>
    <w:rPr>
      <w:rFonts w:ascii="Journal" w:hAnsi="Journal" w:cs="Journal" w:eastAsia="Times New Roman"/>
      <w:color w:val="auto"/>
      <w:kern w:val="0"/>
      <w:sz w:val="24"/>
      <w:szCs w:val="20"/>
      <w:lang w:eastAsia="ar-SA" w:val="ru-RU" w:bidi="ar-SA"/>
    </w:rPr>
  </w:style>
  <w:style w:type="paragraph" w:styleId="34" w:customStyle="1">
    <w:name w:val="заголовок 3"/>
    <w:basedOn w:val="Normal"/>
    <w:next w:val="Normal"/>
    <w:qFormat/>
    <w:pPr>
      <w:keepNext w:val="true"/>
      <w:widowControl w:val="false"/>
      <w:ind w:firstLine="720" w:start="2160" w:end="-52"/>
      <w:jc w:val="center"/>
    </w:pPr>
    <w:rPr>
      <w:b/>
      <w:szCs w:val="20"/>
    </w:rPr>
  </w:style>
  <w:style w:type="paragraph" w:styleId="43" w:customStyle="1">
    <w:name w:val="Заголовок №4"/>
    <w:basedOn w:val="Normal"/>
    <w:qFormat/>
    <w:pPr>
      <w:widowControl w:val="false"/>
      <w:shd w:val="clear" w:color="auto" w:fill="FFFFFF"/>
      <w:spacing w:lineRule="atLeast" w:line="240"/>
      <w:ind w:hanging="380"/>
    </w:pPr>
    <w:rPr>
      <w:rFonts w:eastAsia="Calibri"/>
      <w:b/>
      <w:bCs/>
      <w:spacing w:val="10"/>
      <w:sz w:val="20"/>
      <w:szCs w:val="20"/>
    </w:rPr>
  </w:style>
  <w:style w:type="paragraph" w:styleId="63" w:customStyle="1">
    <w:name w:val="Основной текст (6)"/>
    <w:basedOn w:val="Normal"/>
    <w:qFormat/>
    <w:pPr>
      <w:widowControl w:val="false"/>
      <w:shd w:val="clear" w:color="auto" w:fill="FFFFFF"/>
      <w:spacing w:lineRule="atLeast" w:line="240"/>
      <w:jc w:val="center"/>
    </w:pPr>
    <w:rPr>
      <w:rFonts w:eastAsia="Calibri"/>
      <w:b/>
      <w:bCs/>
      <w:sz w:val="20"/>
      <w:szCs w:val="20"/>
    </w:rPr>
  </w:style>
  <w:style w:type="paragraph" w:styleId="121" w:customStyle="1">
    <w:name w:val="Без интервала1"/>
    <w:qFormat/>
    <w:pPr>
      <w:widowControl/>
      <w:bidi w:val="0"/>
      <w:spacing w:lineRule="atLeast" w:line="100" w:before="0" w:after="0"/>
      <w:jc w:val="start"/>
    </w:pPr>
    <w:rPr>
      <w:rFonts w:ascii="Calibri" w:hAnsi="Calibri" w:eastAsia="SimSun" w:cs="Calibri"/>
      <w:color w:val="auto"/>
      <w:kern w:val="0"/>
      <w:sz w:val="22"/>
      <w:szCs w:val="22"/>
      <w:lang w:eastAsia="ar-SA" w:val="ru-RU" w:bidi="ar-SA"/>
    </w:rPr>
  </w:style>
  <w:style w:type="paragraph" w:styleId="28" w:customStyle="1">
    <w:name w:val="Обычный2"/>
    <w:qFormat/>
    <w:pPr>
      <w:widowControl w:val="false"/>
      <w:bidi w:val="0"/>
      <w:spacing w:before="0" w:after="0"/>
      <w:ind w:firstLine="720"/>
      <w:jc w:val="start"/>
    </w:pPr>
    <w:rPr>
      <w:rFonts w:ascii="Times New Roman" w:hAnsi="Times New Roman" w:eastAsia="Times New Roman" w:cs="Times New Roman"/>
      <w:color w:val="auto"/>
      <w:kern w:val="0"/>
      <w:sz w:val="20"/>
      <w:szCs w:val="20"/>
      <w:lang w:eastAsia="ar-SA" w:val="ru-RU" w:bidi="ar-SA"/>
    </w:rPr>
  </w:style>
  <w:style w:type="paragraph" w:styleId="Header">
    <w:name w:val="header"/>
    <w:basedOn w:val="Normal"/>
    <w:link w:val="111"/>
    <w:uiPriority w:val="99"/>
    <w:pPr>
      <w:tabs>
        <w:tab w:val="clear" w:pos="369"/>
        <w:tab w:val="center" w:pos="4677" w:leader="none"/>
        <w:tab w:val="right" w:pos="9355" w:leader="none"/>
      </w:tabs>
    </w:pPr>
    <w:rPr/>
  </w:style>
  <w:style w:type="paragraph" w:styleId="Revision">
    <w:name w:val="Revision"/>
    <w:qFormat/>
    <w:pPr>
      <w:widowControl/>
      <w:bidi w:val="0"/>
      <w:spacing w:before="0" w:after="0"/>
      <w:jc w:val="start"/>
    </w:pPr>
    <w:rPr>
      <w:rFonts w:ascii="Times New Roman" w:hAnsi="Times New Roman" w:eastAsia="Times New Roman" w:cs="Times New Roman"/>
      <w:color w:val="auto"/>
      <w:kern w:val="0"/>
      <w:sz w:val="24"/>
      <w:szCs w:val="24"/>
      <w:lang w:eastAsia="ar-SA" w:val="ru-RU" w:bidi="ar-SA"/>
    </w:rPr>
  </w:style>
  <w:style w:type="paragraph" w:styleId="35" w:customStyle="1">
    <w:name w:val="Обычный3"/>
    <w:qFormat/>
    <w:pPr>
      <w:widowControl w:val="false"/>
      <w:bidi w:val="0"/>
      <w:spacing w:before="0" w:after="0"/>
      <w:jc w:val="start"/>
    </w:pPr>
    <w:rPr>
      <w:rFonts w:ascii="Times New Roman" w:hAnsi="Times New Roman" w:eastAsia="Times New Roman" w:cs="Times New Roman"/>
      <w:color w:val="auto"/>
      <w:kern w:val="0"/>
      <w:sz w:val="20"/>
      <w:szCs w:val="20"/>
      <w:lang w:eastAsia="ar-SA" w:val="ru-RU" w:bidi="ar-SA"/>
    </w:rPr>
  </w:style>
  <w:style w:type="paragraph" w:styleId="Style30" w:customStyle="1">
    <w:name w:val="Обычный текст с отступом"/>
    <w:basedOn w:val="Normal"/>
    <w:qFormat/>
    <w:pPr>
      <w:ind w:start="708"/>
    </w:pPr>
    <w:rPr>
      <w:rFonts w:ascii="Arial" w:hAnsi="Arial" w:cs="Arial"/>
      <w:sz w:val="20"/>
      <w:szCs w:val="20"/>
    </w:rPr>
  </w:style>
  <w:style w:type="paragraph" w:styleId="user2" w:customStyle="1">
    <w:name w:val="Содержимое таблицы (user)"/>
    <w:basedOn w:val="Normal"/>
    <w:qFormat/>
    <w:pPr>
      <w:suppressLineNumbers/>
    </w:pPr>
    <w:rPr/>
  </w:style>
  <w:style w:type="paragraph" w:styleId="user3" w:customStyle="1">
    <w:name w:val="Заголовок таблицы (user)"/>
    <w:basedOn w:val="user2"/>
    <w:qFormat/>
    <w:pPr>
      <w:jc w:val="center"/>
    </w:pPr>
    <w:rPr>
      <w:b/>
      <w:bCs/>
    </w:rPr>
  </w:style>
  <w:style w:type="paragraph" w:styleId="user4" w:customStyle="1">
    <w:name w:val="Содержимое врезки (user)"/>
    <w:basedOn w:val="BodyText"/>
    <w:qFormat/>
    <w:pPr/>
    <w:rPr/>
  </w:style>
  <w:style w:type="paragraph" w:styleId="29" w:customStyle="1">
    <w:name w:val="Заголовок2"/>
    <w:basedOn w:val="Normal"/>
    <w:next w:val="BodyText"/>
    <w:qFormat/>
    <w:pPr>
      <w:keepNext w:val="true"/>
      <w:spacing w:before="240" w:after="120"/>
    </w:pPr>
    <w:rPr>
      <w:rFonts w:ascii="Arial" w:hAnsi="Arial" w:eastAsia="Microsoft YaHei" w:cs="Mangal"/>
      <w:sz w:val="28"/>
      <w:szCs w:val="28"/>
    </w:rPr>
  </w:style>
  <w:style w:type="paragraph" w:styleId="44" w:customStyle="1">
    <w:name w:val="Обычный4"/>
    <w:qFormat/>
    <w:pPr>
      <w:widowControl w:val="fals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formattext" w:customStyle="1">
    <w:name w:val="formattext"/>
    <w:basedOn w:val="Normal"/>
    <w:qFormat/>
    <w:pPr>
      <w:spacing w:beforeAutospacing="1" w:afterAutospacing="1"/>
    </w:pPr>
    <w:rPr>
      <w:lang w:eastAsia="ru-RU"/>
    </w:rPr>
  </w:style>
  <w:style w:type="paragraph" w:styleId="10" w:customStyle="1">
    <w:name w:val="!!!Содержание таблицы 10"/>
    <w:basedOn w:val="Normal"/>
    <w:qFormat/>
    <w:pPr>
      <w:ind w:start="-57" w:end="-57"/>
      <w:jc w:val="center"/>
    </w:pPr>
    <w:rPr>
      <w:color w:val="000000"/>
      <w:sz w:val="20"/>
      <w:lang w:eastAsia="ru-RU"/>
    </w:rPr>
  </w:style>
  <w:style w:type="paragraph" w:styleId="-11" w:customStyle="1">
    <w:name w:val="Цветной список - Акцент 11"/>
    <w:basedOn w:val="Normal"/>
    <w:uiPriority w:val="34"/>
    <w:qFormat/>
    <w:pPr>
      <w:spacing w:before="0" w:after="0"/>
      <w:ind w:start="720"/>
      <w:contextualSpacing/>
    </w:pPr>
    <w:rPr>
      <w:sz w:val="28"/>
      <w:szCs w:val="20"/>
      <w:lang w:eastAsia="ru-RU"/>
    </w:rPr>
  </w:style>
  <w:style w:type="paragraph" w:styleId="241" w:customStyle="1">
    <w:name w:val="Средний список 2 — акцент 41"/>
    <w:basedOn w:val="Normal"/>
    <w:uiPriority w:val="34"/>
    <w:qFormat/>
    <w:pPr>
      <w:spacing w:before="0" w:after="0"/>
      <w:ind w:start="720"/>
      <w:contextualSpacing/>
    </w:pPr>
    <w:rPr>
      <w:sz w:val="28"/>
      <w:szCs w:val="20"/>
      <w:lang w:eastAsia="ru-RU"/>
    </w:rPr>
  </w:style>
  <w:style w:type="paragraph" w:styleId="210" w:customStyle="1">
    <w:name w:val="Слабое выделение2"/>
    <w:basedOn w:val="Normal"/>
    <w:uiPriority w:val="34"/>
    <w:qFormat/>
    <w:pPr>
      <w:spacing w:before="0" w:after="0"/>
      <w:ind w:start="720"/>
      <w:contextualSpacing/>
    </w:pPr>
    <w:rPr>
      <w:sz w:val="28"/>
      <w:szCs w:val="20"/>
      <w:lang w:eastAsia="ru-RU"/>
    </w:rPr>
  </w:style>
  <w:style w:type="paragraph" w:styleId="HTMLPreformatted">
    <w:name w:val="HTML Preformatted"/>
    <w:basedOn w:val="Normal"/>
    <w:link w:val="HTML"/>
    <w:uiPriority w:val="99"/>
    <w:unhideWhenUsed/>
    <w:qFormat/>
    <w:pPr>
      <w:tabs>
        <w:tab w:val="clear" w:pos="36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eastAsia="ru-RU"/>
    </w:rPr>
  </w:style>
  <w:style w:type="paragraph" w:styleId="xl66" w:customStyle="1">
    <w:name w:val="xl66"/>
    <w:basedOn w:val="Normal"/>
    <w:qFormat/>
    <w:pPr>
      <w:spacing w:beforeAutospacing="1" w:afterAutospacing="1"/>
    </w:pPr>
    <w:rPr>
      <w:rFonts w:ascii="Verdana" w:hAnsi="Verdana"/>
      <w:lang w:eastAsia="ru-RU"/>
    </w:rPr>
  </w:style>
  <w:style w:type="paragraph" w:styleId="xl67" w:customStyle="1">
    <w:name w:val="xl67"/>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lang w:eastAsia="ru-RU"/>
    </w:rPr>
  </w:style>
  <w:style w:type="paragraph" w:styleId="xl68" w:customStyle="1">
    <w:name w:val="xl6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lang w:eastAsia="ru-RU"/>
    </w:rPr>
  </w:style>
  <w:style w:type="paragraph" w:styleId="xl69" w:customStyle="1">
    <w:name w:val="xl69"/>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lang w:eastAsia="ru-RU"/>
    </w:rPr>
  </w:style>
  <w:style w:type="paragraph" w:styleId="xl70" w:customStyle="1">
    <w:name w:val="xl70"/>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lang w:eastAsia="ru-RU"/>
    </w:rPr>
  </w:style>
  <w:style w:type="paragraph" w:styleId="xl71" w:customStyle="1">
    <w:name w:val="xl71"/>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72" w:customStyle="1">
    <w:name w:val="xl72"/>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73" w:customStyle="1">
    <w:name w:val="xl73"/>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74" w:customStyle="1">
    <w:name w:val="xl74"/>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75" w:customStyle="1">
    <w:name w:val="xl75"/>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76" w:customStyle="1">
    <w:name w:val="xl76"/>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77" w:customStyle="1">
    <w:name w:val="xl77"/>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78" w:customStyle="1">
    <w:name w:val="xl78"/>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79" w:customStyle="1">
    <w:name w:val="xl79"/>
    <w:basedOn w:val="Normal"/>
    <w:qFormat/>
    <w:pPr>
      <w:pBdr>
        <w:top w:val="single" w:sz="4" w:space="0" w:color="000000"/>
        <w:left w:val="single" w:sz="4" w:space="0" w:color="000000"/>
        <w:bottom w:val="single" w:sz="4" w:space="0" w:color="000000"/>
      </w:pBdr>
      <w:spacing w:beforeAutospacing="1" w:afterAutospacing="1"/>
      <w:jc w:val="center"/>
    </w:pPr>
    <w:rPr>
      <w:b/>
      <w:bCs/>
      <w:sz w:val="20"/>
      <w:szCs w:val="20"/>
      <w:lang w:eastAsia="ru-RU"/>
    </w:rPr>
  </w:style>
  <w:style w:type="paragraph" w:styleId="xl80" w:customStyle="1">
    <w:name w:val="xl80"/>
    <w:basedOn w:val="Normal"/>
    <w:qFormat/>
    <w:pPr>
      <w:pBdr>
        <w:top w:val="single" w:sz="4" w:space="0" w:color="000000"/>
        <w:bottom w:val="single" w:sz="4" w:space="0" w:color="000000"/>
      </w:pBdr>
      <w:spacing w:beforeAutospacing="1" w:afterAutospacing="1"/>
      <w:jc w:val="center"/>
    </w:pPr>
    <w:rPr>
      <w:b/>
      <w:bCs/>
      <w:sz w:val="20"/>
      <w:szCs w:val="20"/>
      <w:lang w:eastAsia="ru-RU"/>
    </w:rPr>
  </w:style>
  <w:style w:type="paragraph" w:styleId="xl81" w:customStyle="1">
    <w:name w:val="xl81"/>
    <w:basedOn w:val="Normal"/>
    <w:qFormat/>
    <w:pPr>
      <w:pBdr>
        <w:top w:val="single" w:sz="4" w:space="0" w:color="000000"/>
        <w:bottom w:val="single" w:sz="4" w:space="0" w:color="000000"/>
        <w:right w:val="single" w:sz="4" w:space="0" w:color="000000"/>
      </w:pBdr>
      <w:spacing w:beforeAutospacing="1" w:afterAutospacing="1"/>
      <w:jc w:val="center"/>
    </w:pPr>
    <w:rPr>
      <w:b/>
      <w:bCs/>
      <w:sz w:val="20"/>
      <w:szCs w:val="20"/>
      <w:lang w:eastAsia="ru-RU"/>
    </w:rPr>
  </w:style>
  <w:style w:type="paragraph" w:styleId="xl82" w:customStyle="1">
    <w:name w:val="xl82"/>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0"/>
      <w:szCs w:val="20"/>
      <w:lang w:eastAsia="ru-RU"/>
    </w:rPr>
  </w:style>
  <w:style w:type="paragraph" w:styleId="xl83" w:customStyle="1">
    <w:name w:val="xl83"/>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84" w:customStyle="1">
    <w:name w:val="xl84"/>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b/>
      <w:bCs/>
      <w:sz w:val="20"/>
      <w:szCs w:val="20"/>
      <w:lang w:eastAsia="ru-RU"/>
    </w:rPr>
  </w:style>
  <w:style w:type="paragraph" w:styleId="xl85" w:customStyle="1">
    <w:name w:val="xl85"/>
    <w:basedOn w:val="Normal"/>
    <w:qFormat/>
    <w:pPr>
      <w:pBdr>
        <w:top w:val="single" w:sz="4" w:space="0" w:color="000000"/>
        <w:left w:val="single" w:sz="4" w:space="0" w:color="000000"/>
        <w:right w:val="single" w:sz="4" w:space="0" w:color="000000"/>
      </w:pBdr>
      <w:spacing w:beforeAutospacing="1" w:afterAutospacing="1"/>
    </w:pPr>
    <w:rPr>
      <w:sz w:val="20"/>
      <w:szCs w:val="20"/>
      <w:lang w:eastAsia="ru-RU"/>
    </w:rPr>
  </w:style>
  <w:style w:type="paragraph" w:styleId="xl86" w:customStyle="1">
    <w:name w:val="xl86"/>
    <w:basedOn w:val="Normal"/>
    <w:qFormat/>
    <w:pPr>
      <w:pBdr>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87" w:customStyle="1">
    <w:name w:val="xl87"/>
    <w:basedOn w:val="Normal"/>
    <w:qFormat/>
    <w:pPr>
      <w:pBdr>
        <w:top w:val="single" w:sz="4" w:space="0" w:color="000000"/>
        <w:left w:val="single" w:sz="4" w:space="0" w:color="000000"/>
        <w:right w:val="single" w:sz="4" w:space="0" w:color="000000"/>
      </w:pBdr>
      <w:spacing w:beforeAutospacing="1" w:afterAutospacing="1"/>
    </w:pPr>
    <w:rPr>
      <w:sz w:val="20"/>
      <w:szCs w:val="20"/>
      <w:lang w:eastAsia="ru-RU"/>
    </w:rPr>
  </w:style>
  <w:style w:type="paragraph" w:styleId="xl88" w:customStyle="1">
    <w:name w:val="xl88"/>
    <w:basedOn w:val="Normal"/>
    <w:qFormat/>
    <w:pPr>
      <w:pBdr>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89" w:customStyle="1">
    <w:name w:val="xl89"/>
    <w:basedOn w:val="Normal"/>
    <w:qFormat/>
    <w:pPr>
      <w:pBdr>
        <w:left w:val="single" w:sz="4" w:space="0" w:color="000000"/>
        <w:right w:val="single" w:sz="4" w:space="0" w:color="000000"/>
      </w:pBdr>
      <w:spacing w:beforeAutospacing="1" w:afterAutospacing="1"/>
    </w:pPr>
    <w:rPr>
      <w:sz w:val="20"/>
      <w:szCs w:val="20"/>
      <w:lang w:eastAsia="ru-RU"/>
    </w:rPr>
  </w:style>
  <w:style w:type="paragraph" w:styleId="xl90" w:customStyle="1">
    <w:name w:val="xl90"/>
    <w:basedOn w:val="Normal"/>
    <w:qFormat/>
    <w:pPr>
      <w:pBdr>
        <w:left w:val="single" w:sz="4" w:space="0" w:color="000000"/>
        <w:right w:val="single" w:sz="4" w:space="0" w:color="000000"/>
      </w:pBdr>
      <w:spacing w:beforeAutospacing="1" w:afterAutospacing="1"/>
    </w:pPr>
    <w:rPr>
      <w:sz w:val="20"/>
      <w:szCs w:val="20"/>
      <w:lang w:eastAsia="ru-RU"/>
    </w:rPr>
  </w:style>
  <w:style w:type="paragraph" w:styleId="xl91" w:customStyle="1">
    <w:name w:val="xl91"/>
    <w:basedOn w:val="Normal"/>
    <w:qFormat/>
    <w:pPr>
      <w:pBdr>
        <w:top w:val="single" w:sz="4" w:space="0" w:color="000000"/>
        <w:left w:val="single" w:sz="4" w:space="0" w:color="000000"/>
        <w:right w:val="single" w:sz="4" w:space="0" w:color="000000"/>
      </w:pBdr>
      <w:spacing w:beforeAutospacing="1" w:afterAutospacing="1"/>
    </w:pPr>
    <w:rPr>
      <w:sz w:val="20"/>
      <w:szCs w:val="20"/>
      <w:lang w:eastAsia="ru-RU"/>
    </w:rPr>
  </w:style>
  <w:style w:type="paragraph" w:styleId="xl92" w:customStyle="1">
    <w:name w:val="xl92"/>
    <w:basedOn w:val="Normal"/>
    <w:qFormat/>
    <w:pPr>
      <w:pBdr>
        <w:top w:val="single" w:sz="4" w:space="0" w:color="000000"/>
        <w:left w:val="single" w:sz="4" w:space="0" w:color="000000"/>
        <w:right w:val="single" w:sz="4" w:space="0" w:color="000000"/>
      </w:pBdr>
      <w:spacing w:beforeAutospacing="1" w:afterAutospacing="1"/>
    </w:pPr>
    <w:rPr>
      <w:sz w:val="20"/>
      <w:szCs w:val="20"/>
      <w:lang w:eastAsia="ru-RU"/>
    </w:rPr>
  </w:style>
  <w:style w:type="paragraph" w:styleId="xl93" w:customStyle="1">
    <w:name w:val="xl93"/>
    <w:basedOn w:val="Normal"/>
    <w:qFormat/>
    <w:pPr>
      <w:pBdr>
        <w:left w:val="single" w:sz="4" w:space="0" w:color="000000"/>
        <w:right w:val="single" w:sz="4" w:space="0" w:color="000000"/>
      </w:pBdr>
      <w:spacing w:beforeAutospacing="1" w:afterAutospacing="1"/>
    </w:pPr>
    <w:rPr>
      <w:sz w:val="20"/>
      <w:szCs w:val="20"/>
      <w:lang w:eastAsia="ru-RU"/>
    </w:rPr>
  </w:style>
  <w:style w:type="paragraph" w:styleId="xl94" w:customStyle="1">
    <w:name w:val="xl94"/>
    <w:basedOn w:val="Normal"/>
    <w:qFormat/>
    <w:pPr>
      <w:pBdr>
        <w:left w:val="single" w:sz="4" w:space="0" w:color="000000"/>
        <w:right w:val="single" w:sz="4" w:space="0" w:color="000000"/>
      </w:pBdr>
      <w:spacing w:beforeAutospacing="1" w:afterAutospacing="1"/>
    </w:pPr>
    <w:rPr>
      <w:sz w:val="20"/>
      <w:szCs w:val="20"/>
      <w:lang w:eastAsia="ru-RU"/>
    </w:rPr>
  </w:style>
  <w:style w:type="paragraph" w:styleId="xl95" w:customStyle="1">
    <w:name w:val="xl95"/>
    <w:basedOn w:val="Normal"/>
    <w:qFormat/>
    <w:pPr>
      <w:pBdr>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96" w:customStyle="1">
    <w:name w:val="xl96"/>
    <w:basedOn w:val="Normal"/>
    <w:qFormat/>
    <w:pPr>
      <w:pBdr>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97" w:customStyle="1">
    <w:name w:val="xl97"/>
    <w:basedOn w:val="Normal"/>
    <w:qFormat/>
    <w:pPr>
      <w:pBdr>
        <w:top w:val="single" w:sz="4" w:space="0" w:color="000000"/>
        <w:left w:val="single" w:sz="4" w:space="0" w:color="000000"/>
        <w:right w:val="single" w:sz="4" w:space="0" w:color="000000"/>
      </w:pBdr>
      <w:spacing w:beforeAutospacing="1" w:afterAutospacing="1"/>
    </w:pPr>
    <w:rPr>
      <w:sz w:val="20"/>
      <w:szCs w:val="20"/>
      <w:lang w:eastAsia="ru-RU"/>
    </w:rPr>
  </w:style>
  <w:style w:type="paragraph" w:styleId="xl98" w:customStyle="1">
    <w:name w:val="xl98"/>
    <w:basedOn w:val="Normal"/>
    <w:qFormat/>
    <w:pPr>
      <w:pBdr>
        <w:left w:val="single" w:sz="4" w:space="0" w:color="000000"/>
        <w:right w:val="single" w:sz="4" w:space="0" w:color="000000"/>
      </w:pBdr>
      <w:spacing w:beforeAutospacing="1" w:afterAutospacing="1"/>
    </w:pPr>
    <w:rPr>
      <w:sz w:val="20"/>
      <w:szCs w:val="20"/>
      <w:lang w:eastAsia="ru-RU"/>
    </w:rPr>
  </w:style>
  <w:style w:type="paragraph" w:styleId="xl99" w:customStyle="1">
    <w:name w:val="xl99"/>
    <w:basedOn w:val="Normal"/>
    <w:qFormat/>
    <w:pPr>
      <w:pBdr>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font5" w:customStyle="1">
    <w:name w:val="font5"/>
    <w:basedOn w:val="Normal"/>
    <w:qFormat/>
    <w:pPr>
      <w:spacing w:beforeAutospacing="1" w:afterAutospacing="1"/>
    </w:pPr>
    <w:rPr>
      <w:rFonts w:ascii="Tahoma" w:hAnsi="Tahoma" w:cs="Tahoma"/>
      <w:b/>
      <w:bCs/>
      <w:color w:val="000000"/>
      <w:sz w:val="18"/>
      <w:szCs w:val="18"/>
      <w:lang w:eastAsia="ru-RU"/>
    </w:rPr>
  </w:style>
  <w:style w:type="paragraph" w:styleId="xl100" w:customStyle="1">
    <w:name w:val="xl100"/>
    <w:basedOn w:val="Normal"/>
    <w:qFormat/>
    <w:pPr>
      <w:pBdr>
        <w:left w:val="single" w:sz="4" w:space="0" w:color="000000"/>
        <w:right w:val="single" w:sz="4" w:space="0" w:color="000000"/>
      </w:pBdr>
      <w:spacing w:beforeAutospacing="1" w:afterAutospacing="1"/>
    </w:pPr>
    <w:rPr>
      <w:sz w:val="20"/>
      <w:szCs w:val="20"/>
      <w:lang w:eastAsia="ru-RU"/>
    </w:rPr>
  </w:style>
  <w:style w:type="paragraph" w:styleId="xl101" w:customStyle="1">
    <w:name w:val="xl101"/>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0"/>
      <w:szCs w:val="20"/>
      <w:lang w:eastAsia="ru-RU"/>
    </w:rPr>
  </w:style>
  <w:style w:type="paragraph" w:styleId="xl102" w:customStyle="1">
    <w:name w:val="xl102"/>
    <w:basedOn w:val="Normal"/>
    <w:qFormat/>
    <w:pPr>
      <w:pBdr>
        <w:top w:val="single" w:sz="4" w:space="0" w:color="000000"/>
        <w:left w:val="single" w:sz="4" w:space="0" w:color="000000"/>
        <w:right w:val="single" w:sz="4" w:space="0" w:color="000000"/>
      </w:pBdr>
      <w:spacing w:beforeAutospacing="1" w:afterAutospacing="1"/>
    </w:pPr>
    <w:rPr>
      <w:sz w:val="20"/>
      <w:szCs w:val="20"/>
      <w:lang w:eastAsia="ru-RU"/>
    </w:rPr>
  </w:style>
  <w:style w:type="paragraph" w:styleId="xl103" w:customStyle="1">
    <w:name w:val="xl103"/>
    <w:basedOn w:val="Normal"/>
    <w:qFormat/>
    <w:pPr>
      <w:pBdr>
        <w:left w:val="single" w:sz="4" w:space="0" w:color="000000"/>
        <w:right w:val="single" w:sz="4" w:space="0" w:color="000000"/>
      </w:pBdr>
      <w:spacing w:beforeAutospacing="1" w:afterAutospacing="1"/>
    </w:pPr>
    <w:rPr>
      <w:sz w:val="20"/>
      <w:szCs w:val="20"/>
      <w:lang w:eastAsia="ru-RU"/>
    </w:rPr>
  </w:style>
  <w:style w:type="paragraph" w:styleId="xl104" w:customStyle="1">
    <w:name w:val="xl104"/>
    <w:basedOn w:val="Normal"/>
    <w:qFormat/>
    <w:pPr>
      <w:pBdr>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105" w:customStyle="1">
    <w:name w:val="xl105"/>
    <w:basedOn w:val="Normal"/>
    <w:qFormat/>
    <w:pPr>
      <w:pBdr>
        <w:top w:val="single" w:sz="4" w:space="0" w:color="000000"/>
        <w:left w:val="single" w:sz="4" w:space="0" w:color="000000"/>
        <w:right w:val="single" w:sz="4" w:space="0" w:color="000000"/>
      </w:pBdr>
      <w:spacing w:beforeAutospacing="1" w:afterAutospacing="1"/>
    </w:pPr>
    <w:rPr>
      <w:sz w:val="20"/>
      <w:szCs w:val="20"/>
      <w:lang w:eastAsia="ru-RU"/>
    </w:rPr>
  </w:style>
  <w:style w:type="paragraph" w:styleId="xl106" w:customStyle="1">
    <w:name w:val="xl106"/>
    <w:basedOn w:val="Normal"/>
    <w:qFormat/>
    <w:pPr>
      <w:pBdr>
        <w:left w:val="single" w:sz="4" w:space="0" w:color="000000"/>
        <w:right w:val="single" w:sz="4" w:space="0" w:color="000000"/>
      </w:pBdr>
      <w:spacing w:beforeAutospacing="1" w:afterAutospacing="1"/>
    </w:pPr>
    <w:rPr>
      <w:sz w:val="20"/>
      <w:szCs w:val="20"/>
      <w:lang w:eastAsia="ru-RU"/>
    </w:rPr>
  </w:style>
  <w:style w:type="paragraph" w:styleId="xl107" w:customStyle="1">
    <w:name w:val="xl107"/>
    <w:basedOn w:val="Normal"/>
    <w:qFormat/>
    <w:pPr>
      <w:pBdr>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108" w:customStyle="1">
    <w:name w:val="xl108"/>
    <w:basedOn w:val="Normal"/>
    <w:qFormat/>
    <w:pPr>
      <w:pBdr>
        <w:top w:val="single" w:sz="4" w:space="0" w:color="000000"/>
        <w:left w:val="single" w:sz="4" w:space="0" w:color="000000"/>
        <w:right w:val="single" w:sz="4" w:space="0" w:color="000000"/>
      </w:pBdr>
      <w:spacing w:beforeAutospacing="1" w:afterAutospacing="1"/>
    </w:pPr>
    <w:rPr>
      <w:sz w:val="20"/>
      <w:szCs w:val="20"/>
      <w:lang w:eastAsia="ru-RU"/>
    </w:rPr>
  </w:style>
  <w:style w:type="paragraph" w:styleId="xl109" w:customStyle="1">
    <w:name w:val="xl109"/>
    <w:basedOn w:val="Normal"/>
    <w:qFormat/>
    <w:pPr>
      <w:pBdr>
        <w:left w:val="single" w:sz="4" w:space="0" w:color="000000"/>
        <w:right w:val="single" w:sz="4" w:space="0" w:color="000000"/>
      </w:pBdr>
      <w:spacing w:beforeAutospacing="1" w:afterAutospacing="1"/>
    </w:pPr>
    <w:rPr>
      <w:sz w:val="20"/>
      <w:szCs w:val="20"/>
      <w:lang w:eastAsia="ru-RU"/>
    </w:rPr>
  </w:style>
  <w:style w:type="paragraph" w:styleId="xl110" w:customStyle="1">
    <w:name w:val="xl110"/>
    <w:basedOn w:val="Normal"/>
    <w:qFormat/>
    <w:pPr>
      <w:pBdr>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111" w:customStyle="1">
    <w:name w:val="xl111"/>
    <w:basedOn w:val="Normal"/>
    <w:qFormat/>
    <w:pPr>
      <w:pBdr>
        <w:top w:val="single" w:sz="4" w:space="0" w:color="000000"/>
        <w:left w:val="single" w:sz="4" w:space="0" w:color="000000"/>
        <w:right w:val="single" w:sz="4" w:space="0" w:color="000000"/>
      </w:pBdr>
      <w:spacing w:beforeAutospacing="1" w:afterAutospacing="1"/>
      <w:jc w:val="center"/>
    </w:pPr>
    <w:rPr>
      <w:sz w:val="20"/>
      <w:szCs w:val="20"/>
      <w:lang w:eastAsia="ru-RU"/>
    </w:rPr>
  </w:style>
  <w:style w:type="paragraph" w:styleId="xl112" w:customStyle="1">
    <w:name w:val="xl112"/>
    <w:basedOn w:val="Normal"/>
    <w:qFormat/>
    <w:pPr>
      <w:pBdr>
        <w:left w:val="single" w:sz="4" w:space="0" w:color="000000"/>
        <w:right w:val="single" w:sz="4" w:space="0" w:color="000000"/>
      </w:pBdr>
      <w:spacing w:beforeAutospacing="1" w:afterAutospacing="1"/>
      <w:jc w:val="center"/>
    </w:pPr>
    <w:rPr>
      <w:sz w:val="20"/>
      <w:szCs w:val="20"/>
      <w:lang w:eastAsia="ru-RU"/>
    </w:rPr>
  </w:style>
  <w:style w:type="paragraph" w:styleId="xl113" w:customStyle="1">
    <w:name w:val="xl113"/>
    <w:basedOn w:val="Normal"/>
    <w:qFormat/>
    <w:pPr>
      <w:pBdr>
        <w:left w:val="single" w:sz="4" w:space="0" w:color="000000"/>
        <w:bottom w:val="single" w:sz="4" w:space="0" w:color="000000"/>
        <w:right w:val="single" w:sz="4" w:space="0" w:color="000000"/>
      </w:pBdr>
      <w:spacing w:beforeAutospacing="1" w:afterAutospacing="1"/>
      <w:jc w:val="center"/>
    </w:pPr>
    <w:rPr>
      <w:sz w:val="20"/>
      <w:szCs w:val="20"/>
      <w:lang w:eastAsia="ru-RU"/>
    </w:rPr>
  </w:style>
  <w:style w:type="paragraph" w:styleId="xl114" w:customStyle="1">
    <w:name w:val="xl114"/>
    <w:basedOn w:val="Normal"/>
    <w:qFormat/>
    <w:pPr>
      <w:pBdr>
        <w:left w:val="single" w:sz="4" w:space="0" w:color="000000"/>
        <w:bottom w:val="single" w:sz="4" w:space="0" w:color="000000"/>
        <w:right w:val="single" w:sz="4" w:space="0" w:color="000000"/>
      </w:pBdr>
      <w:spacing w:beforeAutospacing="1" w:afterAutospacing="1"/>
      <w:jc w:val="center"/>
    </w:pPr>
    <w:rPr>
      <w:b/>
      <w:bCs/>
      <w:sz w:val="20"/>
      <w:szCs w:val="20"/>
      <w:lang w:eastAsia="ru-RU"/>
    </w:rPr>
  </w:style>
  <w:style w:type="paragraph" w:styleId="xl115" w:customStyle="1">
    <w:name w:val="xl115"/>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116" w:customStyle="1">
    <w:name w:val="xl116"/>
    <w:basedOn w:val="Normal"/>
    <w:qFormat/>
    <w:pPr>
      <w:pBdr>
        <w:top w:val="single" w:sz="4" w:space="0" w:color="000000"/>
      </w:pBdr>
      <w:spacing w:beforeAutospacing="1" w:afterAutospacing="1"/>
      <w:jc w:val="center"/>
    </w:pPr>
    <w:rPr>
      <w:b/>
      <w:bCs/>
      <w:sz w:val="20"/>
      <w:szCs w:val="20"/>
      <w:lang w:eastAsia="ru-RU"/>
    </w:rPr>
  </w:style>
  <w:style w:type="paragraph" w:styleId="xl117" w:customStyle="1">
    <w:name w:val="xl117"/>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eastAsia="ru-RU"/>
    </w:rPr>
  </w:style>
  <w:style w:type="paragraph" w:styleId="xl118" w:customStyle="1">
    <w:name w:val="xl118"/>
    <w:basedOn w:val="Normal"/>
    <w:qFormat/>
    <w:pPr>
      <w:pBdr>
        <w:top w:val="single" w:sz="4" w:space="0" w:color="000000"/>
        <w:left w:val="single" w:sz="4" w:space="0" w:color="000000"/>
        <w:right w:val="single" w:sz="4" w:space="0" w:color="000000"/>
      </w:pBdr>
      <w:spacing w:beforeAutospacing="1" w:afterAutospacing="1"/>
      <w:jc w:val="center"/>
    </w:pPr>
    <w:rPr>
      <w:sz w:val="20"/>
      <w:szCs w:val="20"/>
      <w:lang w:eastAsia="ru-RU"/>
    </w:rPr>
  </w:style>
  <w:style w:type="paragraph" w:styleId="xl119" w:customStyle="1">
    <w:name w:val="xl119"/>
    <w:basedOn w:val="Normal"/>
    <w:qFormat/>
    <w:pPr>
      <w:pBdr>
        <w:left w:val="single" w:sz="4" w:space="0" w:color="000000"/>
        <w:right w:val="single" w:sz="4" w:space="0" w:color="000000"/>
      </w:pBdr>
      <w:spacing w:beforeAutospacing="1" w:afterAutospacing="1"/>
      <w:jc w:val="center"/>
    </w:pPr>
    <w:rPr>
      <w:sz w:val="20"/>
      <w:szCs w:val="20"/>
      <w:lang w:eastAsia="ru-RU"/>
    </w:rPr>
  </w:style>
  <w:style w:type="paragraph" w:styleId="xl120" w:customStyle="1">
    <w:name w:val="xl120"/>
    <w:basedOn w:val="Normal"/>
    <w:qFormat/>
    <w:pPr>
      <w:pBdr>
        <w:left w:val="single" w:sz="4" w:space="0" w:color="000000"/>
        <w:bottom w:val="single" w:sz="4" w:space="0" w:color="000000"/>
        <w:right w:val="single" w:sz="4" w:space="0" w:color="000000"/>
      </w:pBdr>
      <w:spacing w:beforeAutospacing="1" w:afterAutospacing="1"/>
      <w:jc w:val="center"/>
    </w:pPr>
    <w:rPr>
      <w:sz w:val="20"/>
      <w:szCs w:val="20"/>
      <w:lang w:eastAsia="ru-RU"/>
    </w:rPr>
  </w:style>
  <w:style w:type="paragraph" w:styleId="xl121" w:customStyle="1">
    <w:name w:val="xl121"/>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end"/>
    </w:pPr>
    <w:rPr>
      <w:sz w:val="20"/>
      <w:szCs w:val="20"/>
      <w:lang w:eastAsia="ru-RU"/>
    </w:rPr>
  </w:style>
  <w:style w:type="paragraph" w:styleId="xl122" w:customStyle="1">
    <w:name w:val="xl122"/>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sz w:val="20"/>
      <w:szCs w:val="20"/>
      <w:lang w:eastAsia="ru-RU"/>
    </w:rPr>
  </w:style>
  <w:style w:type="paragraph" w:styleId="xl123" w:customStyle="1">
    <w:name w:val="xl123"/>
    <w:basedOn w:val="Normal"/>
    <w:qFormat/>
    <w:pPr>
      <w:pBdr>
        <w:top w:val="single" w:sz="4" w:space="0" w:color="000000"/>
        <w:left w:val="single" w:sz="4" w:space="0" w:color="000000"/>
        <w:right w:val="single" w:sz="4" w:space="0" w:color="000000"/>
      </w:pBdr>
      <w:spacing w:beforeAutospacing="1" w:afterAutospacing="1"/>
      <w:jc w:val="center"/>
    </w:pPr>
    <w:rPr>
      <w:sz w:val="20"/>
      <w:szCs w:val="20"/>
      <w:lang w:eastAsia="ru-RU"/>
    </w:rPr>
  </w:style>
  <w:style w:type="paragraph" w:styleId="xl124" w:customStyle="1">
    <w:name w:val="xl124"/>
    <w:basedOn w:val="Normal"/>
    <w:qFormat/>
    <w:pPr>
      <w:pBdr>
        <w:left w:val="single" w:sz="4" w:space="0" w:color="000000"/>
        <w:right w:val="single" w:sz="4" w:space="0" w:color="000000"/>
      </w:pBdr>
      <w:spacing w:beforeAutospacing="1" w:afterAutospacing="1"/>
      <w:jc w:val="center"/>
    </w:pPr>
    <w:rPr>
      <w:sz w:val="20"/>
      <w:szCs w:val="20"/>
      <w:lang w:eastAsia="ru-RU"/>
    </w:rPr>
  </w:style>
  <w:style w:type="paragraph" w:styleId="xl125" w:customStyle="1">
    <w:name w:val="xl125"/>
    <w:basedOn w:val="Normal"/>
    <w:qFormat/>
    <w:pPr>
      <w:pBdr>
        <w:left w:val="single" w:sz="4" w:space="0" w:color="000000"/>
        <w:bottom w:val="single" w:sz="4" w:space="0" w:color="000000"/>
        <w:right w:val="single" w:sz="4" w:space="0" w:color="000000"/>
      </w:pBdr>
      <w:spacing w:beforeAutospacing="1" w:afterAutospacing="1"/>
      <w:jc w:val="center"/>
    </w:pPr>
    <w:rPr>
      <w:sz w:val="20"/>
      <w:szCs w:val="20"/>
      <w:lang w:eastAsia="ru-RU"/>
    </w:rPr>
  </w:style>
  <w:style w:type="paragraph" w:styleId="xl126" w:customStyle="1">
    <w:name w:val="xl126"/>
    <w:basedOn w:val="Normal"/>
    <w:qFormat/>
    <w:pPr>
      <w:pBdr>
        <w:top w:val="single" w:sz="4" w:space="0" w:color="000000"/>
        <w:left w:val="single" w:sz="4" w:space="0" w:color="000000"/>
        <w:right w:val="single" w:sz="4" w:space="0" w:color="000000"/>
      </w:pBdr>
      <w:spacing w:beforeAutospacing="1" w:afterAutospacing="1"/>
      <w:jc w:val="center"/>
    </w:pPr>
    <w:rPr>
      <w:sz w:val="20"/>
      <w:szCs w:val="20"/>
      <w:lang w:eastAsia="ru-RU"/>
    </w:rPr>
  </w:style>
  <w:style w:type="paragraph" w:styleId="xl127" w:customStyle="1">
    <w:name w:val="xl127"/>
    <w:basedOn w:val="Normal"/>
    <w:qFormat/>
    <w:pPr>
      <w:pBdr>
        <w:left w:val="single" w:sz="4" w:space="0" w:color="000000"/>
        <w:right w:val="single" w:sz="4" w:space="0" w:color="000000"/>
      </w:pBdr>
      <w:spacing w:beforeAutospacing="1" w:afterAutospacing="1"/>
      <w:jc w:val="center"/>
    </w:pPr>
    <w:rPr>
      <w:sz w:val="20"/>
      <w:szCs w:val="20"/>
      <w:lang w:eastAsia="ru-RU"/>
    </w:rPr>
  </w:style>
  <w:style w:type="paragraph" w:styleId="xl128" w:customStyle="1">
    <w:name w:val="xl128"/>
    <w:basedOn w:val="Normal"/>
    <w:qFormat/>
    <w:pPr>
      <w:pBdr>
        <w:left w:val="single" w:sz="4" w:space="0" w:color="000000"/>
        <w:bottom w:val="single" w:sz="4" w:space="0" w:color="000000"/>
        <w:right w:val="single" w:sz="4" w:space="0" w:color="000000"/>
      </w:pBdr>
      <w:spacing w:beforeAutospacing="1" w:afterAutospacing="1"/>
      <w:jc w:val="center"/>
    </w:pPr>
    <w:rPr>
      <w:sz w:val="20"/>
      <w:szCs w:val="20"/>
      <w:lang w:eastAsia="ru-RU"/>
    </w:rPr>
  </w:style>
  <w:style w:type="paragraph" w:styleId="msonormal" w:customStyle="1">
    <w:name w:val="msonormal"/>
    <w:basedOn w:val="Normal"/>
    <w:qFormat/>
    <w:pPr>
      <w:spacing w:beforeAutospacing="1" w:afterAutospacing="1"/>
    </w:pPr>
    <w:rPr>
      <w:lang w:eastAsia="ru-RU"/>
    </w:rPr>
  </w:style>
  <w:style w:type="paragraph" w:styleId="font6" w:customStyle="1">
    <w:name w:val="font6"/>
    <w:basedOn w:val="Normal"/>
    <w:qFormat/>
    <w:pPr>
      <w:spacing w:beforeAutospacing="1" w:afterAutospacing="1"/>
    </w:pPr>
    <w:rPr>
      <w:color w:val="000000"/>
      <w:sz w:val="16"/>
      <w:szCs w:val="16"/>
      <w:lang w:eastAsia="ru-RU"/>
    </w:rPr>
  </w:style>
  <w:style w:type="paragraph" w:styleId="xl63" w:customStyle="1">
    <w:name w:val="xl63"/>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color w:val="000000"/>
      <w:sz w:val="16"/>
      <w:szCs w:val="16"/>
      <w:lang w:eastAsia="ru-RU"/>
    </w:rPr>
  </w:style>
  <w:style w:type="paragraph" w:styleId="xl64" w:customStyle="1">
    <w:name w:val="xl64"/>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color w:val="000000"/>
      <w:sz w:val="16"/>
      <w:szCs w:val="16"/>
      <w:lang w:eastAsia="ru-RU"/>
    </w:rPr>
  </w:style>
  <w:style w:type="paragraph" w:styleId="xl65" w:customStyle="1">
    <w:name w:val="xl65"/>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color w:val="000000"/>
      <w:sz w:val="16"/>
      <w:szCs w:val="16"/>
      <w:lang w:eastAsia="ru-RU"/>
    </w:rPr>
  </w:style>
  <w:style w:type="paragraph" w:styleId="Quote">
    <w:name w:val="Quote"/>
    <w:basedOn w:val="Normal"/>
    <w:next w:val="Normal"/>
    <w:link w:val="25"/>
    <w:uiPriority w:val="29"/>
    <w:qFormat/>
    <w:pPr>
      <w:ind w:start="720" w:end="720"/>
    </w:pPr>
    <w:rPr>
      <w:i/>
      <w:sz w:val="20"/>
      <w:szCs w:val="20"/>
      <w:lang w:eastAsia="ru-RU"/>
    </w:rPr>
  </w:style>
  <w:style w:type="paragraph" w:styleId="IntenseQuote">
    <w:name w:val="Intense Quote"/>
    <w:basedOn w:val="Normal"/>
    <w:next w:val="Normal"/>
    <w:link w:val="Style21"/>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sz w:val="20"/>
      <w:szCs w:val="20"/>
      <w:lang w:eastAsia="ru-RU"/>
    </w:rPr>
  </w:style>
  <w:style w:type="paragraph" w:styleId="EndnoteText">
    <w:name w:val="endnote text"/>
    <w:basedOn w:val="Normal"/>
    <w:link w:val="Style23"/>
    <w:uiPriority w:val="99"/>
    <w:semiHidden/>
    <w:unhideWhenUsed/>
    <w:pPr/>
    <w:rPr>
      <w:sz w:val="20"/>
      <w:szCs w:val="20"/>
      <w:lang w:eastAsia="ru-RU"/>
    </w:rPr>
  </w:style>
  <w:style w:type="paragraph" w:styleId="TOC3">
    <w:name w:val="toc 3"/>
    <w:basedOn w:val="Normal"/>
    <w:next w:val="Normal"/>
    <w:uiPriority w:val="39"/>
    <w:unhideWhenUsed/>
    <w:pPr>
      <w:spacing w:before="0" w:after="57"/>
      <w:ind w:start="567"/>
    </w:pPr>
    <w:rPr>
      <w:sz w:val="20"/>
      <w:szCs w:val="20"/>
      <w:lang w:eastAsia="ru-RU"/>
    </w:rPr>
  </w:style>
  <w:style w:type="paragraph" w:styleId="TOC4">
    <w:name w:val="toc 4"/>
    <w:basedOn w:val="Normal"/>
    <w:next w:val="Normal"/>
    <w:uiPriority w:val="39"/>
    <w:unhideWhenUsed/>
    <w:pPr>
      <w:spacing w:before="0" w:after="57"/>
      <w:ind w:start="850"/>
    </w:pPr>
    <w:rPr>
      <w:sz w:val="20"/>
      <w:szCs w:val="20"/>
      <w:lang w:eastAsia="ru-RU"/>
    </w:rPr>
  </w:style>
  <w:style w:type="paragraph" w:styleId="TOC5">
    <w:name w:val="toc 5"/>
    <w:basedOn w:val="Normal"/>
    <w:next w:val="Normal"/>
    <w:uiPriority w:val="39"/>
    <w:unhideWhenUsed/>
    <w:pPr>
      <w:spacing w:before="0" w:after="57"/>
      <w:ind w:start="1134"/>
    </w:pPr>
    <w:rPr>
      <w:sz w:val="20"/>
      <w:szCs w:val="20"/>
      <w:lang w:eastAsia="ru-RU"/>
    </w:rPr>
  </w:style>
  <w:style w:type="paragraph" w:styleId="TOC6">
    <w:name w:val="toc 6"/>
    <w:basedOn w:val="Normal"/>
    <w:next w:val="Normal"/>
    <w:uiPriority w:val="39"/>
    <w:unhideWhenUsed/>
    <w:pPr>
      <w:spacing w:before="0" w:after="57"/>
      <w:ind w:start="1417"/>
    </w:pPr>
    <w:rPr>
      <w:sz w:val="20"/>
      <w:szCs w:val="20"/>
      <w:lang w:eastAsia="ru-RU"/>
    </w:rPr>
  </w:style>
  <w:style w:type="paragraph" w:styleId="TOC7">
    <w:name w:val="toc 7"/>
    <w:basedOn w:val="Normal"/>
    <w:next w:val="Normal"/>
    <w:uiPriority w:val="39"/>
    <w:unhideWhenUsed/>
    <w:pPr>
      <w:spacing w:before="0" w:after="57"/>
      <w:ind w:start="1701"/>
    </w:pPr>
    <w:rPr>
      <w:sz w:val="20"/>
      <w:szCs w:val="20"/>
      <w:lang w:eastAsia="ru-RU"/>
    </w:rPr>
  </w:style>
  <w:style w:type="paragraph" w:styleId="TOC8">
    <w:name w:val="toc 8"/>
    <w:basedOn w:val="Normal"/>
    <w:next w:val="Normal"/>
    <w:uiPriority w:val="39"/>
    <w:unhideWhenUsed/>
    <w:pPr>
      <w:spacing w:before="0" w:after="57"/>
      <w:ind w:start="1984"/>
    </w:pPr>
    <w:rPr>
      <w:sz w:val="20"/>
      <w:szCs w:val="20"/>
      <w:lang w:eastAsia="ru-RU"/>
    </w:rPr>
  </w:style>
  <w:style w:type="paragraph" w:styleId="TOC9">
    <w:name w:val="toc 9"/>
    <w:basedOn w:val="Normal"/>
    <w:next w:val="Normal"/>
    <w:uiPriority w:val="39"/>
    <w:unhideWhenUsed/>
    <w:pPr>
      <w:spacing w:before="0" w:after="57"/>
      <w:ind w:start="2268"/>
    </w:pPr>
    <w:rPr>
      <w:sz w:val="20"/>
      <w:szCs w:val="20"/>
      <w:lang w:eastAsia="ru-RU"/>
    </w:rPr>
  </w:style>
  <w:style w:type="paragraph" w:styleId="IndexHeading">
    <w:name w:val="index heading"/>
    <w:basedOn w:val="Style24"/>
    <w:pPr/>
    <w:rPr/>
  </w:style>
  <w:style w:type="paragraph" w:styleId="TOCHeading">
    <w:name w:val="TOC Heading"/>
    <w:uiPriority w:val="39"/>
    <w:unhideWhenUsed/>
    <w:qFormat/>
    <w:pPr>
      <w:widowControl/>
      <w:bidi w:val="0"/>
      <w:spacing w:before="0" w:after="0"/>
      <w:jc w:val="start"/>
    </w:pPr>
    <w:rPr>
      <w:rFonts w:ascii="Calibri" w:hAnsi="Calibri" w:eastAsia="Calibri" w:cs="Times New Roman"/>
      <w:color w:val="auto"/>
      <w:kern w:val="0"/>
      <w:sz w:val="20"/>
      <w:szCs w:val="20"/>
      <w:lang w:eastAsia="zh-CN" w:val="ru-RU" w:bidi="ar-SA"/>
    </w:rPr>
  </w:style>
  <w:style w:type="paragraph" w:styleId="TableofFigures">
    <w:name w:val="table of figures"/>
    <w:basedOn w:val="Normal"/>
    <w:next w:val="Normal"/>
    <w:uiPriority w:val="99"/>
    <w:unhideWhenUsed/>
    <w:pPr/>
    <w:rPr>
      <w:sz w:val="20"/>
      <w:szCs w:val="20"/>
      <w:lang w:eastAsia="ru-RU"/>
    </w:rPr>
  </w:style>
  <w:style w:type="paragraph" w:styleId="Normal11" w:customStyle="1">
    <w:name w:val="Normal1"/>
    <w:qFormat/>
    <w:pPr>
      <w:widowControl w:val="fals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Shapka" w:customStyle="1">
    <w:name w:val="Shapka"/>
    <w:basedOn w:val="Normal"/>
    <w:qFormat/>
    <w:pPr/>
    <w:rPr>
      <w:rFonts w:ascii="Verdana" w:hAnsi="Verdana" w:eastAsia="MS Mincho"/>
      <w:color w:val="000000"/>
      <w:sz w:val="14"/>
      <w:szCs w:val="14"/>
      <w:lang w:val="en-US" w:eastAsia="en-US"/>
    </w:rPr>
  </w:style>
  <w:style w:type="paragraph" w:styleId="213" w:customStyle="1">
    <w:name w:val="Основной текст (2)"/>
    <w:basedOn w:val="Normal"/>
    <w:link w:val="26"/>
    <w:qFormat/>
    <w:pPr>
      <w:widowControl w:val="false"/>
      <w:shd w:val="clear" w:color="auto" w:fill="FFFFFF"/>
      <w:spacing w:lineRule="exact" w:line="266"/>
      <w:ind w:hanging="300"/>
      <w:jc w:val="both"/>
    </w:pPr>
    <w:rPr>
      <w:rFonts w:ascii="Tahoma" w:hAnsi="Tahoma" w:eastAsia="Tahoma" w:cs="Tahoma"/>
      <w:sz w:val="20"/>
      <w:szCs w:val="20"/>
      <w:lang w:eastAsia="ru-RU"/>
    </w:rPr>
  </w:style>
  <w:style w:type="paragraph" w:styleId="Style31">
    <w:name w:val="Содержимое врезки"/>
    <w:basedOn w:val="Normal"/>
    <w:qFormat/>
    <w:pPr/>
    <w:rPr/>
  </w:style>
  <w:style w:type="paragraph" w:styleId="Style32">
    <w:name w:val="Содержимое таблицы"/>
    <w:basedOn w:val="Normal"/>
    <w:qFormat/>
    <w:pPr>
      <w:widowControl w:val="false"/>
      <w:suppressLineNumbers/>
    </w:pPr>
    <w:rPr/>
  </w:style>
  <w:style w:type="paragraph" w:styleId="Style33">
    <w:name w:val="Заголовок таблицы"/>
    <w:basedOn w:val="Style32"/>
    <w:qFormat/>
    <w:pPr>
      <w:suppressLineNumbers/>
      <w:jc w:val="center"/>
    </w:pPr>
    <w:rPr>
      <w:b/>
      <w:bCs/>
    </w:rPr>
  </w:style>
  <w:style w:type="numbering" w:styleId="Style34" w:default="1">
    <w:name w:val="Без списка"/>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2"/>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2">
    <w:name w:val="Plain Table 1"/>
    <w:basedOn w:val="a2"/>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0">
    <w:name w:val="Plain Table 2"/>
    <w:basedOn w:val="a2"/>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0">
    <w:name w:val="Plain Table 3"/>
    <w:basedOn w:val="a2"/>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0">
    <w:name w:val="Plain Table 4"/>
    <w:basedOn w:val="a2"/>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0">
    <w:name w:val="Plain Table 5"/>
    <w:basedOn w:val="a2"/>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2"/>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2"/>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2"/>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2"/>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2"/>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2"/>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2"/>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2"/>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2"/>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2"/>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a2"/>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themeShade="95"/>
      </w:rPr>
      <w:tblPr/>
      <w:tcPr>
        <w:tcBorders>
          <w:bottom w:val="single" w:color="A6BFDD" w:themeColor="accent1" w:sz="12" w:space="0"/>
        </w:tcBorders>
      </w:tcPr>
    </w:tblStylePr>
    <w:tblStylePr w:type="lastRow">
      <w:rPr>
        <w:b/>
        <w:color w:val="a6bfdd" w:themeColor="accent1" w:themeTint="80" w:themeShade="95"/>
      </w:rPr>
      <w:tblPr/>
    </w:tblStylePr>
    <w:tblStylePr w:type="firstCol">
      <w:rPr>
        <w:b/>
        <w:color w:val="a6bfdd" w:themeColor="accent1" w:themeTint="80" w:themeShade="95"/>
      </w:rPr>
      <w:tblPr/>
    </w:tblStylePr>
    <w:tblStylePr w:type="lastCol">
      <w:rPr>
        <w:b/>
        <w:color w:val="a6bfdd" w:themeColor="accent1" w:themeTint="80" w:themeShade="95"/>
      </w:rPr>
      <w:tbl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6Colorful-Accent2">
    <w:name w:val="Grid Table 6 Colorful - Accent 2"/>
    <w:basedOn w:val="a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d99695" w:themeColor="accent2" w:themeTint="97" w:themeShade="95"/>
      </w:rPr>
      <w:tblPr/>
      <w:tcPr>
        <w:tcBorders>
          <w:bottom w:val="single" w:color="D99695" w:themeColor="accent2" w:sz="12" w:space="0"/>
        </w:tcBorders>
      </w:tcPr>
    </w:tblStylePr>
    <w:tblStylePr w:type="lastRow">
      <w:rPr>
        <w:b/>
        <w:color w:val="d99695" w:themeColor="accent2" w:themeTint="97" w:themeShade="95"/>
      </w:rPr>
      <w:tbl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6Colorful-Accent3">
    <w:name w:val="Grid Table 6 Colorful - Accent 3"/>
    <w:basedOn w:val="a2"/>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9abb59" w:themeColor="accent3" w:themeTint="fe" w:themeShade="95"/>
      </w:rPr>
      <w:tblPr/>
      <w:tcPr>
        <w:tcBorders>
          <w:bottom w:val="single" w:color="9ABB59" w:themeColor="accent3" w:sz="12" w:space="0"/>
        </w:tcBorders>
      </w:tcPr>
    </w:tblStylePr>
    <w:tblStylePr w:type="lastRow">
      <w:rPr>
        <w:b/>
        <w:color w:val="9abb59" w:themeColor="accent3" w:themeTint="fe" w:themeShade="95"/>
      </w:rPr>
      <w:tblPr/>
    </w:tblStylePr>
    <w:tblStylePr w:type="firstCol">
      <w:rPr>
        <w:b/>
        <w:color w:val="9abb59" w:themeColor="accent3" w:themeTint="fe" w:themeShade="95"/>
      </w:rPr>
      <w:tblPr/>
    </w:tblStylePr>
    <w:tblStylePr w:type="lastCol">
      <w:rPr>
        <w:b/>
        <w:color w:val="9abb59" w:themeColor="accent3" w:themeTint="fe" w:themeShade="95"/>
      </w:rPr>
      <w:tbl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6Colorful-Accent4">
    <w:name w:val="Grid Table 6 Colorful - Accent 4"/>
    <w:basedOn w:val="a2"/>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Tint="9a" w:themeShade="95"/>
      </w:rPr>
      <w:tblPr/>
      <w:tcPr>
        <w:tcBorders>
          <w:bottom w:val="single" w:color="B2A1C6" w:themeColor="accent4" w:sz="12" w:space="0"/>
        </w:tcBorders>
      </w:tcPr>
    </w:tblStylePr>
    <w:tblStylePr w:type="lastRow">
      <w:rPr>
        <w:b/>
        <w:color w:val="b2a1c6" w:themeColor="accent4" w:themeTint="9a" w:themeShade="95"/>
      </w:rPr>
      <w:tbl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6Colorful-Accent5">
    <w:name w:val="Grid Table 6 Colorful - Accent 5"/>
    <w:basedOn w:val="a2"/>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6Colorful-Accent6">
    <w:name w:val="Grid Table 6 Colorful - Accent 6"/>
    <w:basedOn w:val="a2"/>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Pr/>
    </w:tblStylePr>
  </w:style>
  <w:style w:type="table" w:styleId="-7">
    <w:name w:val="Grid Table 7 Colorful"/>
    <w:basedOn w:val="a2"/>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a2"/>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val="a6bfdd"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6bfdd"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val="a6bfdd"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7Colorful-Accent2">
    <w:name w:val="Grid Table 7 Colorful - Accent 2"/>
    <w:basedOn w:val="a2"/>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d99695"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val="d99695"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d99695"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7Colorful-Accent3">
    <w:name w:val="Grid Table 7 Colorful - Accent 3"/>
    <w:basedOn w:val="a2"/>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9abb59"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val="9abb59"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9abb59"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val="9abb59"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7Colorful-Accent4">
    <w:name w:val="Grid Table 7 Colorful - Accent 4"/>
    <w:basedOn w:val="a2"/>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val="b2a1c6"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b2a1c6"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7Colorful-Accent5">
    <w:name w:val="Grid Table 7 Colorful - Accent 5"/>
    <w:basedOn w:val="a2"/>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val="266779"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val="266779"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66779"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val="266779"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7Colorful-Accent6">
    <w:name w:val="Grid Table 7 Colorful - Accent 6"/>
    <w:basedOn w:val="a2"/>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val="b15407"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val="b15407"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b15407"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val="b15407"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Pr/>
    </w:tblStylePr>
  </w:style>
  <w:style w:type="table" w:styleId="-10">
    <w:name w:val="List Table 1 Light"/>
    <w:basedOn w:val="a2"/>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2"/>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2"/>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2"/>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2"/>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2"/>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2"/>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2"/>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2"/>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2"/>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val="ffffff"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val="ffffff" w:themeColor="light1"/>
        <w:sz w:val="22"/>
      </w:rPr>
      <w:tblPr/>
    </w:tblStylePr>
    <w:tblStylePr w:type="firstCol">
      <w:rPr>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val="ffffff"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val="ffffff"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val="ffffff"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val="ffffff"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val="ffffff"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2"/>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2"/>
    <w:uiPriority w:val="99"/>
    <w:tblPr>
      <w:tblStyleRowBandSize w:val="1"/>
      <w:tblStyleColBandSize w:val="1"/>
      <w:tblBorders>
        <w:top w:val="single" w:color="4F81BD" w:themeColor="accent1" w:sz="4" w:space="0"/>
        <w:bottom w:val="single" w:color="4F81BD" w:themeColor="accent1" w:sz="4" w:space="0"/>
      </w:tblBorders>
    </w:tblPr>
    <w:tblStylePr w:type="firstRow">
      <w:rPr>
        <w:b/>
        <w:color w:val="2a4a71" w:themeColor="accent1" w:themeShade="95"/>
      </w:rPr>
      <w:tblPr/>
      <w:tcPr>
        <w:tcBorders>
          <w:bottom w:val="single" w:color="4F81BD" w:themeColor="accent1" w:sz="4" w:space="0"/>
        </w:tcBorders>
      </w:tcPr>
    </w:tblStylePr>
    <w:tblStylePr w:type="lastRow">
      <w:rPr>
        <w:b/>
        <w:color w:val="2a4a71" w:themeColor="accent1" w:themeShade="95"/>
      </w:rPr>
      <w:tblPr/>
      <w:tcPr>
        <w:tcBorders>
          <w:top w:val="single" w:color="4F81BD" w:themeColor="accent1" w:sz="4" w:space="0"/>
        </w:tcBorders>
      </w:tcPr>
    </w:tblStylePr>
    <w:tblStylePr w:type="firstCol">
      <w:rPr>
        <w:b/>
        <w:color w:val="2a4a71" w:themeColor="accent1" w:themeShade="95"/>
      </w:rPr>
      <w:tblPr/>
    </w:tblStylePr>
    <w:tblStylePr w:type="lastCol">
      <w:rPr>
        <w:b/>
        <w:color w:val="2a4a71" w:themeColor="accent1" w:themeShade="95"/>
      </w:rPr>
      <w:tbl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6Colorful-Accent2">
    <w:name w:val="List Table 6 Colorful - Accent 2"/>
    <w:basedOn w:val="a2"/>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val="d99695" w:themeColor="accent2" w:themeTint="97" w:themeShade="95"/>
      </w:rPr>
      <w:tblPr/>
      <w:tcPr>
        <w:tcBorders>
          <w:bottom w:val="single" w:color="D99695" w:themeColor="accent2" w:sz="4" w:space="0"/>
        </w:tcBorders>
      </w:tcPr>
    </w:tblStylePr>
    <w:tblStylePr w:type="lastRow">
      <w:rPr>
        <w:b/>
        <w:color w:val="d99695" w:themeColor="accent2" w:themeTint="97" w:themeShade="95"/>
      </w:rPr>
      <w:tblPr/>
      <w:tcPr>
        <w:tcBorders>
          <w:top w:val="single" w:color="D99695" w:themeColor="accent2" w:sz="4" w:space="0"/>
        </w:tcBorders>
      </w:tc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6Colorful-Accent3">
    <w:name w:val="List Table 6 Colorful - Accent 3"/>
    <w:basedOn w:val="a2"/>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val="c3d69b" w:themeColor="accent3" w:themeTint="98" w:themeShade="95"/>
      </w:rPr>
      <w:tblPr/>
      <w:tcPr>
        <w:tcBorders>
          <w:bottom w:val="single" w:color="C3D69B" w:themeColor="accent3" w:sz="4" w:space="0"/>
        </w:tcBorders>
      </w:tcPr>
    </w:tblStylePr>
    <w:tblStylePr w:type="lastRow">
      <w:rPr>
        <w:b/>
        <w:color w:val="c3d69b" w:themeColor="accent3" w:themeTint="98" w:themeShade="95"/>
      </w:rPr>
      <w:tblPr/>
      <w:tcPr>
        <w:tcBorders>
          <w:top w:val="single" w:color="C3D69B" w:themeColor="accent3" w:sz="4" w:space="0"/>
        </w:tcBorders>
      </w:tcPr>
    </w:tblStylePr>
    <w:tblStylePr w:type="firstCol">
      <w:rPr>
        <w:b/>
        <w:color w:val="c3d69b" w:themeColor="accent3" w:themeTint="98" w:themeShade="95"/>
      </w:rPr>
      <w:tblPr/>
    </w:tblStylePr>
    <w:tblStylePr w:type="lastCol">
      <w:rPr>
        <w:b/>
        <w:color w:val="c3d69b" w:themeColor="accent3" w:themeTint="98" w:themeShade="95"/>
      </w:rPr>
      <w:tbl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6Colorful-Accent4">
    <w:name w:val="List Table 6 Colorful - Accent 4"/>
    <w:basedOn w:val="a2"/>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val="b2a1c6" w:themeColor="accent4" w:themeTint="9a" w:themeShade="95"/>
      </w:rPr>
      <w:tblPr/>
      <w:tcPr>
        <w:tcBorders>
          <w:bottom w:val="single" w:color="B2A1C6" w:themeColor="accent4" w:sz="4" w:space="0"/>
        </w:tcBorders>
      </w:tcPr>
    </w:tblStylePr>
    <w:tblStylePr w:type="lastRow">
      <w:rPr>
        <w:b/>
        <w:color w:val="b2a1c6" w:themeColor="accent4" w:themeTint="9a" w:themeShade="95"/>
      </w:rPr>
      <w:tblPr/>
      <w:tcPr>
        <w:tcBorders>
          <w:top w:val="single" w:color="B2A1C6" w:themeColor="accent4" w:sz="4" w:space="0"/>
        </w:tcBorders>
      </w:tc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6Colorful-Accent5">
    <w:name w:val="List Table 6 Colorful - Accent 5"/>
    <w:basedOn w:val="a2"/>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val="92ccdc" w:themeColor="accent5" w:themeTint="9a" w:themeShade="95"/>
      </w:rPr>
      <w:tblPr/>
      <w:tcPr>
        <w:tcBorders>
          <w:bottom w:val="single" w:color="92CCDC" w:themeColor="accent5" w:sz="4" w:space="0"/>
        </w:tcBorders>
      </w:tcPr>
    </w:tblStylePr>
    <w:tblStylePr w:type="lastRow">
      <w:rPr>
        <w:b/>
        <w:color w:val="92ccdc" w:themeColor="accent5" w:themeTint="9a" w:themeShade="95"/>
      </w:rPr>
      <w:tblPr/>
      <w:tcPr>
        <w:tcBorders>
          <w:top w:val="single" w:color="92CCDC" w:themeColor="accent5" w:sz="4" w:space="0"/>
        </w:tcBorders>
      </w:tcPr>
    </w:tblStylePr>
    <w:tblStylePr w:type="firstCol">
      <w:rPr>
        <w:b/>
        <w:color w:val="92ccdc" w:themeColor="accent5" w:themeTint="9a" w:themeShade="95"/>
      </w:rPr>
      <w:tblPr/>
    </w:tblStylePr>
    <w:tblStylePr w:type="lastCol">
      <w:rPr>
        <w:b/>
        <w:color w:val="92ccdc" w:themeColor="accent5" w:themeTint="9a" w:themeShade="95"/>
      </w:rPr>
      <w:tbl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6Colorful-Accent6">
    <w:name w:val="List Table 6 Colorful - Accent 6"/>
    <w:basedOn w:val="a2"/>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val="fac090" w:themeColor="accent6" w:themeTint="98" w:themeShade="95"/>
      </w:rPr>
      <w:tblPr/>
      <w:tcPr>
        <w:tcBorders>
          <w:bottom w:val="single" w:color="FAC090" w:themeColor="accent6" w:sz="4" w:space="0"/>
        </w:tcBorders>
      </w:tcPr>
    </w:tblStylePr>
    <w:tblStylePr w:type="lastRow">
      <w:rPr>
        <w:b/>
        <w:color w:val="fac090" w:themeColor="accent6" w:themeTint="98" w:themeShade="95"/>
      </w:rPr>
      <w:tblPr/>
      <w:tcPr>
        <w:tcBorders>
          <w:top w:val="single" w:color="FAC090" w:themeColor="accent6" w:sz="4" w:space="0"/>
        </w:tcBorders>
      </w:tcPr>
    </w:tblStylePr>
    <w:tblStylePr w:type="firstCol">
      <w:rPr>
        <w:b/>
        <w:color w:val="fac090" w:themeColor="accent6" w:themeTint="98" w:themeShade="95"/>
      </w:rPr>
      <w:tblPr/>
    </w:tblStylePr>
    <w:tblStylePr w:type="lastCol">
      <w:rPr>
        <w:b/>
        <w:color w:val="fac090" w:themeColor="accent6" w:themeTint="98" w:themeShade="95"/>
      </w:rPr>
      <w:tbl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styleId="-70">
    <w:name w:val="List Table 7 Colorful"/>
    <w:basedOn w:val="a2"/>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a2"/>
    <w:uiPriority w:val="99"/>
    <w:tblPr>
      <w:tblStyleRowBandSize w:val="1"/>
      <w:tblStyleColBandSize w:val="1"/>
      <w:tblBorders>
        <w:right w:val="single" w:color="4F81BD" w:themeColor="accent1" w:sz="4" w:space="0"/>
      </w:tblBorders>
    </w:tblPr>
    <w:tblStylePr w:type="firstRow">
      <w:rPr>
        <w:i/>
        <w:color w:val="2a4a71"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val="2a4a71"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a4a71"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val="2a4a71"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7Colorful-Accent2">
    <w:name w:val="List Table 7 Colorful - Accent 2"/>
    <w:basedOn w:val="a2"/>
    <w:uiPriority w:val="99"/>
    <w:tblPr>
      <w:tblStyleRowBandSize w:val="1"/>
      <w:tblStyleColBandSize w:val="1"/>
      <w:tblBorders>
        <w:right w:val="single" w:color="D99695" w:themeColor="accent2" w:themeTint="97" w:sz="4" w:space="0"/>
      </w:tblBorders>
    </w:tblPr>
    <w:tblStylePr w:type="firstRow">
      <w:rPr>
        <w:i/>
        <w:color w:val="d99695"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val="d99695"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d99695"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7Colorful-Accent3">
    <w:name w:val="List Table 7 Colorful - Accent 3"/>
    <w:basedOn w:val="a2"/>
    <w:uiPriority w:val="99"/>
    <w:tblPr>
      <w:tblStyleRowBandSize w:val="1"/>
      <w:tblStyleColBandSize w:val="1"/>
      <w:tblBorders>
        <w:right w:val="single" w:color="C3D69B" w:themeColor="accent3" w:themeTint="98" w:sz="4" w:space="0"/>
      </w:tblBorders>
    </w:tblPr>
    <w:tblStylePr w:type="firstRow">
      <w:rPr>
        <w:i/>
        <w:color w:val="c3d69b"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val="c3d69b"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c3d69b"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val="c3d69b"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7Colorful-Accent4">
    <w:name w:val="List Table 7 Colorful - Accent 4"/>
    <w:basedOn w:val="a2"/>
    <w:uiPriority w:val="99"/>
    <w:tblPr>
      <w:tblStyleRowBandSize w:val="1"/>
      <w:tblStyleColBandSize w:val="1"/>
      <w:tblBorders>
        <w:right w:val="single" w:color="B2A1C6" w:themeColor="accent4" w:themeTint="9a" w:sz="4" w:space="0"/>
      </w:tblBorders>
    </w:tblPr>
    <w:tblStylePr w:type="firstRow">
      <w:rPr>
        <w:i/>
        <w:color w:val="b2a1c6"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val="b2a1c6"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b2a1c6"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7Colorful-Accent5">
    <w:name w:val="List Table 7 Colorful - Accent 5"/>
    <w:basedOn w:val="a2"/>
    <w:uiPriority w:val="99"/>
    <w:tblPr>
      <w:tblStyleRowBandSize w:val="1"/>
      <w:tblStyleColBandSize w:val="1"/>
      <w:tblBorders>
        <w:right w:val="single" w:color="92CCDC" w:themeColor="accent5" w:themeTint="9a" w:sz="4" w:space="0"/>
      </w:tblBorders>
    </w:tblPr>
    <w:tblStylePr w:type="firstRow">
      <w:rPr>
        <w:i/>
        <w:color w:val="92ccdc"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val="92ccdc"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92ccdc"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val="92ccdc"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7Colorful-Accent6">
    <w:name w:val="List Table 7 Colorful - Accent 6"/>
    <w:basedOn w:val="a2"/>
    <w:uiPriority w:val="99"/>
    <w:tblPr>
      <w:tblStyleRowBandSize w:val="1"/>
      <w:tblStyleColBandSize w:val="1"/>
      <w:tblBorders>
        <w:right w:val="single" w:color="FAC090" w:themeColor="accent6" w:themeTint="98" w:sz="4" w:space="0"/>
      </w:tblBorders>
    </w:tblPr>
    <w:tblStylePr w:type="firstRow">
      <w:rPr>
        <w:i/>
        <w:color w:val="fac090"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val="fac090"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ac090"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val="fac090"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customStyle="1" w:styleId="Lined-Accent">
    <w:name w:val="Lined - Accent"/>
    <w:basedOn w:val="a2"/>
    <w:uiPriority w:val="99"/>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2"/>
    <w:uiPriority w:val="99"/>
    <w:rPr/>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2"/>
    <w:uiPriority w:val="99"/>
    <w:rPr/>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2"/>
    <w:uiPriority w:val="99"/>
    <w:rPr/>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2"/>
    <w:uiPriority w:val="99"/>
    <w:rPr/>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2"/>
    <w:uiPriority w:val="99"/>
    <w:rPr/>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2"/>
    <w:uiPriority w:val="99"/>
    <w:rPr/>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2"/>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2"/>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2"/>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2"/>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2"/>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2"/>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2"/>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2"/>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2"/>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2"/>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2"/>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2"/>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2"/>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f1">
    <w:name w:val="Table Grid"/>
    <w:basedOn w:val="a2"/>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hyperlink" Target="http://www.m-e-c.ru)" TargetMode="External"/><Relationship Id="rId13" Type="http://schemas.openxmlformats.org/officeDocument/2006/relationships/footer" Target="footer11.xml"/><Relationship Id="rId14" Type="http://schemas.openxmlformats.org/officeDocument/2006/relationships/footer" Target="footer12.xml"/><Relationship Id="rId15" Type="http://schemas.openxmlformats.org/officeDocument/2006/relationships/footer" Target="footer13.xml"/><Relationship Id="rId16" Type="http://schemas.openxmlformats.org/officeDocument/2006/relationships/footer" Target="footer14.xml"/><Relationship Id="rId17" Type="http://schemas.openxmlformats.org/officeDocument/2006/relationships/footer" Target="footer15.xml"/><Relationship Id="rId18" Type="http://schemas.openxmlformats.org/officeDocument/2006/relationships/footer" Target="footer16.xml"/><Relationship Id="rId19" Type="http://schemas.openxmlformats.org/officeDocument/2006/relationships/footer" Target="footer17.xml"/><Relationship Id="rId20" Type="http://schemas.openxmlformats.org/officeDocument/2006/relationships/footer" Target="footer18.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17FFC-4B23-4B47-AEDF-90A96382E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Application>LibreOffice/25.8.7.3$Linux_X86_64 LibreOffice_project/30742500f2d3eb4366ac312fa33d3dcabdb3eba5</Application>
  <AppVersion>15.0000</AppVersion>
  <Pages>59</Pages>
  <Words>14335</Words>
  <Characters>83609</Characters>
  <CharactersWithSpaces>92660</CharactersWithSpaces>
  <Paragraphs>6750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2026-08-25T04:50:00Z</dcterms:created>
  <dc:creator>Садовников Константин Николаевич</dc:creator>
  <dc:description/>
  <dc:language>ru-RU</dc:language>
  <cp:lastModifiedBy/>
  <dcterms:modified xsi:type="dcterms:W3CDTF">2026-08-25T15:28:02Z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