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539" w:left="0"/>
        <w:contextualSpacing w:val="1"/>
        <w:jc w:val="center"/>
        <w:rPr>
          <w:b w:val="1"/>
        </w:rPr>
      </w:pPr>
      <w:r>
        <w:rPr>
          <w:b w:val="1"/>
        </w:rPr>
        <w:t>ТЕХНИЧЕСКОЕ ЗАДАНИЕ</w:t>
      </w:r>
    </w:p>
    <w:p w14:paraId="02000000">
      <w:pPr>
        <w:widowControl w:val="0"/>
        <w:ind w:firstLine="539" w:left="0"/>
        <w:contextualSpacing w:val="1"/>
        <w:jc w:val="center"/>
        <w:rPr>
          <w:color w:val="002060"/>
        </w:rPr>
      </w:pPr>
      <w:r>
        <w:rPr>
          <w:b w:val="1"/>
        </w:rPr>
        <w:t xml:space="preserve">на монтаж системы видеонаблюдения на территории </w:t>
      </w:r>
      <w:r>
        <w:rPr>
          <w:b w:val="1"/>
        </w:rPr>
        <w:t>пешеходной дорожки к общему пляжу в Реадовском парке в г. Смоленске</w:t>
      </w:r>
    </w:p>
    <w:p w14:paraId="03000000">
      <w:pPr>
        <w:widowControl w:val="0"/>
        <w:ind w:firstLine="539" w:left="0"/>
        <w:contextualSpacing w:val="1"/>
        <w:jc w:val="center"/>
        <w:rPr>
          <w:i w:val="1"/>
          <w:color w:val="FF0000"/>
        </w:rPr>
      </w:pPr>
    </w:p>
    <w:p w14:paraId="04000000">
      <w:pPr>
        <w:widowControl w:val="1"/>
        <w:ind w:firstLine="567" w:left="0"/>
        <w:jc w:val="both"/>
      </w:pPr>
    </w:p>
    <w:p w14:paraId="05000000">
      <w:pPr>
        <w:widowControl w:val="1"/>
        <w:ind w:firstLine="567" w:left="0"/>
        <w:jc w:val="both"/>
        <w:rPr>
          <w:b w:val="1"/>
        </w:rPr>
      </w:pPr>
      <w:r>
        <w:rPr>
          <w:b w:val="1"/>
        </w:rPr>
        <w:t>1. Общие положения</w:t>
      </w:r>
    </w:p>
    <w:p w14:paraId="06000000">
      <w:pPr>
        <w:widowControl w:val="1"/>
        <w:ind w:firstLine="567" w:left="0"/>
        <w:jc w:val="both"/>
      </w:pPr>
    </w:p>
    <w:p w14:paraId="07000000">
      <w:pPr>
        <w:widowControl w:val="1"/>
        <w:spacing w:afterAutospacing="on" w:beforeAutospacing="on"/>
        <w:ind w:firstLine="0" w:left="0"/>
      </w:pPr>
      <w:r>
        <w:rPr>
          <w:b w:val="1"/>
        </w:rPr>
        <w:t xml:space="preserve">         1.1.Место выполнения Работ:</w:t>
      </w:r>
      <w:r>
        <w:t xml:space="preserve"> </w:t>
      </w:r>
      <w:r>
        <w:rPr>
          <w:color w:val="000000"/>
        </w:rPr>
        <w:t xml:space="preserve">Смоленская область, город Смоленск, </w:t>
      </w:r>
      <w:r>
        <w:t xml:space="preserve"> </w:t>
      </w:r>
      <w:r>
        <w:rPr>
          <w:color w:val="000000"/>
        </w:rPr>
        <w:t>ул. Черняховского, Реадовский парк.</w:t>
      </w:r>
    </w:p>
    <w:p w14:paraId="08000000">
      <w:pPr>
        <w:widowControl w:val="1"/>
        <w:ind w:firstLine="0" w:left="0"/>
        <w:jc w:val="both"/>
        <w:rPr>
          <w:b w:val="1"/>
        </w:rPr>
      </w:pPr>
    </w:p>
    <w:p w14:paraId="09000000">
      <w:pPr>
        <w:widowControl w:val="1"/>
        <w:ind w:firstLine="567" w:left="0"/>
        <w:jc w:val="both"/>
        <w:rPr>
          <w:b w:val="1"/>
        </w:rPr>
      </w:pPr>
      <w:r>
        <w:rPr>
          <w:b w:val="1"/>
        </w:rPr>
        <w:t>1.2. Сроки выполнения Работ:</w:t>
      </w:r>
    </w:p>
    <w:p w14:paraId="0A000000">
      <w:pPr>
        <w:widowControl w:val="1"/>
        <w:tabs>
          <w:tab w:leader="none" w:pos="142" w:val="left"/>
          <w:tab w:leader="none" w:pos="993" w:val="left"/>
        </w:tabs>
        <w:ind w:firstLine="567" w:left="0"/>
        <w:jc w:val="both"/>
      </w:pPr>
      <w:r>
        <w:t>Начало выполнения Работ: с</w:t>
      </w:r>
      <w:r>
        <w:t xml:space="preserve"> даты заключения Договора.</w:t>
      </w:r>
    </w:p>
    <w:p w14:paraId="0B000000">
      <w:pPr>
        <w:widowControl w:val="1"/>
        <w:tabs>
          <w:tab w:leader="none" w:pos="142" w:val="left"/>
          <w:tab w:leader="none" w:pos="993" w:val="left"/>
        </w:tabs>
        <w:ind w:firstLine="567" w:left="0"/>
        <w:jc w:val="both"/>
      </w:pPr>
      <w:r>
        <w:t>Окончание: до «15» октября 2026г. (до указанной даты результат Работы должен быть передан Заказчику).</w:t>
      </w:r>
    </w:p>
    <w:p w14:paraId="0C000000">
      <w:pPr>
        <w:widowControl w:val="1"/>
        <w:ind w:firstLine="567" w:left="0"/>
        <w:jc w:val="both"/>
      </w:pPr>
      <w:r>
        <w:t>Исполнитель вправе выполнить работы досрочно по согласованию с Заказчиком.</w:t>
      </w:r>
    </w:p>
    <w:p w14:paraId="0D000000">
      <w:pPr>
        <w:widowControl w:val="1"/>
        <w:ind w:firstLine="567" w:left="0"/>
        <w:jc w:val="both"/>
      </w:pPr>
    </w:p>
    <w:p w14:paraId="0E000000">
      <w:pPr>
        <w:widowControl w:val="1"/>
        <w:ind w:firstLine="567" w:left="0"/>
        <w:jc w:val="both"/>
        <w:rPr>
          <w:b w:val="1"/>
        </w:rPr>
      </w:pPr>
      <w:r>
        <w:rPr>
          <w:b w:val="1"/>
        </w:rPr>
        <w:t>1.3. Документы, подлежащие передачи Заказчику до мо</w:t>
      </w:r>
      <w:r>
        <w:rPr>
          <w:b w:val="1"/>
        </w:rPr>
        <w:t>мента приемки Работ:</w:t>
      </w:r>
    </w:p>
    <w:p w14:paraId="0F000000">
      <w:pPr>
        <w:widowControl w:val="1"/>
        <w:tabs>
          <w:tab w:leader="none" w:pos="142" w:val="left"/>
        </w:tabs>
        <w:ind w:firstLine="709" w:left="-142"/>
        <w:jc w:val="both"/>
        <w:rPr>
          <w:i w:val="1"/>
          <w:color w:val="FF0000"/>
        </w:rPr>
      </w:pPr>
      <w:r>
        <w:t xml:space="preserve">- </w:t>
      </w:r>
      <w:r>
        <w:t xml:space="preserve">акт о приемке выполненных работ – в 2-х экз. </w:t>
      </w:r>
    </w:p>
    <w:p w14:paraId="10000000">
      <w:pPr>
        <w:widowControl w:val="1"/>
        <w:tabs>
          <w:tab w:leader="none" w:pos="142" w:val="left"/>
        </w:tabs>
        <w:ind w:firstLine="709" w:left="-142"/>
        <w:jc w:val="both"/>
      </w:pPr>
      <w:r>
        <w:t xml:space="preserve">- счет на оплату, </w:t>
      </w:r>
    </w:p>
    <w:p w14:paraId="11000000">
      <w:pPr>
        <w:widowControl w:val="1"/>
        <w:tabs>
          <w:tab w:leader="none" w:pos="142" w:val="left"/>
        </w:tabs>
        <w:ind w:firstLine="709" w:left="-142"/>
        <w:jc w:val="both"/>
      </w:pPr>
      <w:r>
        <w:t>- счет-фактуру (при наличии),</w:t>
      </w:r>
    </w:p>
    <w:p w14:paraId="12000000">
      <w:pPr>
        <w:widowControl w:val="1"/>
        <w:tabs>
          <w:tab w:leader="none" w:pos="142" w:val="left"/>
        </w:tabs>
        <w:ind w:firstLine="709" w:left="-142"/>
        <w:jc w:val="both"/>
      </w:pPr>
      <w:r>
        <w:t xml:space="preserve">иные документы, подтверждающие исполнение Контракта (при необходимости) (указанные документы прикрепляется к документу о приемке </w:t>
      </w:r>
      <w:r>
        <w:t>Подрядчиком);</w:t>
      </w:r>
    </w:p>
    <w:p w14:paraId="13000000">
      <w:pPr>
        <w:widowControl w:val="1"/>
        <w:tabs>
          <w:tab w:leader="none" w:pos="142" w:val="left"/>
        </w:tabs>
        <w:ind w:firstLine="709" w:left="-142"/>
        <w:jc w:val="both"/>
      </w:pPr>
      <w:r>
        <w:t xml:space="preserve">- исполнительную документацию на выполненные работы – в 2 экз. на бумажном носителе, и на электронном носителе – в 1 экз. исполнительная документация предоставляется в составе и объеме, предусмотренном законодательством Российской Федерации, </w:t>
      </w:r>
      <w:r>
        <w:t>подтверждающую соответствие Объекта требованиям проектной документации на электронном носителе, с приложением перечня входящих в ее состав документов, в том числе документацию предприятия-изготовителя на оборудование, необходимую для его эксплуатации и/или</w:t>
      </w:r>
      <w:r>
        <w:t xml:space="preserve"> использования.</w:t>
      </w:r>
    </w:p>
    <w:p w14:paraId="14000000">
      <w:pPr>
        <w:widowControl w:val="1"/>
        <w:ind w:firstLine="0" w:left="0"/>
        <w:jc w:val="both"/>
      </w:pPr>
    </w:p>
    <w:p w14:paraId="15000000">
      <w:pPr>
        <w:widowControl w:val="1"/>
        <w:ind w:firstLine="567" w:left="0"/>
        <w:jc w:val="both"/>
        <w:rPr>
          <w:b w:val="1"/>
        </w:rPr>
      </w:pPr>
      <w:r>
        <w:rPr>
          <w:b w:val="1"/>
        </w:rPr>
        <w:t>1.4. Гарантийный срок на результат выполненных работ:</w:t>
      </w:r>
    </w:p>
    <w:p w14:paraId="16000000">
      <w:pPr>
        <w:widowControl w:val="1"/>
        <w:ind w:firstLine="567" w:left="0"/>
        <w:jc w:val="both"/>
        <w:rPr>
          <w:b w:val="1"/>
        </w:rPr>
      </w:pPr>
      <w:r>
        <w:t>5 (пять) лет с даты подписания Заказчиком акта о приемке выполненных работ.</w:t>
      </w:r>
    </w:p>
    <w:p w14:paraId="17000000">
      <w:pPr>
        <w:widowControl w:val="1"/>
        <w:ind w:firstLine="567" w:left="0"/>
        <w:jc w:val="both"/>
      </w:pPr>
    </w:p>
    <w:p w14:paraId="18000000">
      <w:pPr>
        <w:widowControl w:val="1"/>
        <w:ind w:firstLine="567" w:left="0"/>
        <w:jc w:val="both"/>
      </w:pPr>
      <w:r>
        <w:rPr>
          <w:b w:val="1"/>
        </w:rPr>
        <w:t>2.</w:t>
      </w:r>
      <w:r>
        <w:t xml:space="preserve"> </w:t>
      </w:r>
      <w:r>
        <w:rPr>
          <w:b w:val="1"/>
        </w:rPr>
        <w:t xml:space="preserve">Требования к выполнению работ </w:t>
      </w:r>
    </w:p>
    <w:p w14:paraId="19000000">
      <w:pPr>
        <w:widowControl w:val="1"/>
        <w:ind w:firstLine="567" w:left="0"/>
        <w:contextualSpacing w:val="1"/>
        <w:jc w:val="both"/>
      </w:pPr>
      <w:r>
        <w:t>2.1. Производство работ по устройству системы наружного видеонаблюдения на</w:t>
      </w:r>
      <w:r>
        <w:t xml:space="preserve"> пешеходной дорожки к общему пляжу в Реадовском парке в г. Смоленске выполняется в рамках благоустройства Реадовского парка и должно осуществляться без закрытия пешеходного движения по пешеходным дорожкам и тротуарам. </w:t>
      </w:r>
      <w:r>
        <w:t>Обеспечить ежедневную уборку мест прои</w:t>
      </w:r>
      <w:r>
        <w:t>зводства работ.</w:t>
      </w:r>
    </w:p>
    <w:p w14:paraId="1A000000">
      <w:pPr>
        <w:widowControl w:val="1"/>
        <w:ind w:firstLine="567" w:left="0"/>
        <w:contextualSpacing w:val="1"/>
        <w:jc w:val="both"/>
      </w:pPr>
      <w:r>
        <w:t>2.2. Обеспечить в ходе выполнения работ  мероприятия по технике безопасности, обеспечению безопасности дорожного движения, экологической безопасности, пожарной безопасности, рациональному использованию территории, охране окружающей среды, зеленых насаждени</w:t>
      </w:r>
      <w:r>
        <w:t xml:space="preserve">й и земли в соответствии с Федеральным законом от 08.11.2007 № 257-ФЗ (ред. от 05.12.2017)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      </w:t>
      </w:r>
    </w:p>
    <w:p w14:paraId="1B000000">
      <w:pPr>
        <w:widowControl w:val="1"/>
        <w:ind w:firstLine="567" w:left="0"/>
        <w:contextualSpacing w:val="1"/>
        <w:jc w:val="both"/>
      </w:pPr>
      <w:r>
        <w:t xml:space="preserve">2.3. </w:t>
      </w:r>
      <w:r>
        <w:t>В процессе работы обеспечить бесперебойное функционирование существующих электрических сетей, инженерных систем и оборудования.</w:t>
      </w:r>
    </w:p>
    <w:p w14:paraId="1C000000">
      <w:pPr>
        <w:widowControl w:val="1"/>
        <w:ind w:firstLine="567" w:left="0"/>
        <w:contextualSpacing w:val="1"/>
        <w:jc w:val="both"/>
      </w:pPr>
      <w:r>
        <w:t>2.4. Немедленно известить Заказчика, и до получения от него указаний, приостановить работы при обнаружении обстоятельств, угрожа</w:t>
      </w:r>
      <w:r>
        <w:t>ющих сохранности или прочности строящегося линейного объекта, либо создающих невозможность завершения работ в установленный срок и возможных неблагоприятных последствий для Заказчика.</w:t>
      </w:r>
    </w:p>
    <w:p w14:paraId="1D000000">
      <w:pPr>
        <w:widowControl w:val="1"/>
        <w:ind w:firstLine="567" w:left="0"/>
        <w:contextualSpacing w:val="1"/>
        <w:jc w:val="both"/>
      </w:pPr>
      <w:r>
        <w:t>2.5 Работы должны быть исполнены согласно приложенной ведомости объемов работ</w:t>
      </w:r>
    </w:p>
    <w:p w14:paraId="1E000000">
      <w:pPr>
        <w:widowControl w:val="1"/>
        <w:ind w:firstLine="567" w:left="0"/>
        <w:contextualSpacing w:val="1"/>
        <w:jc w:val="both"/>
      </w:pPr>
    </w:p>
    <w:p w14:paraId="1F000000">
      <w:pPr>
        <w:pStyle w:val="Style_1"/>
      </w:pPr>
    </w:p>
    <w:sectPr>
      <w:pgSz w:h="16838" w:orient="portrait" w:w="11906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2025-07-25T09:04:47Z</dcterms:created>
  <dcterms:modified xsi:type="dcterms:W3CDTF">2026-08-26T12:44:29Z</dcterms:modified>
</cp:coreProperties>
</file>