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outlineLvl w:val="0"/>
        <w:rPr>
          <w:sz w:val="24"/>
        </w:rPr>
      </w:pPr>
      <w:r>
        <w:rPr>
          <w:sz w:val="24"/>
        </w:rPr>
        <w:t>Договор поставки № _______</w:t>
      </w:r>
    </w:p>
    <w:p>
      <w:pPr>
        <w:pStyle w:val="Normal"/>
        <w:rPr>
          <w:sz w:val="24"/>
          <w:szCs w:val="24"/>
        </w:rPr>
      </w:pPr>
      <w:r>
        <w:rPr>
          <w:sz w:val="24"/>
          <w:szCs w:val="24"/>
        </w:rPr>
        <w:t>с. Заюково</w:t>
        <w:tab/>
        <w:tab/>
        <w:tab/>
        <w:tab/>
        <w:tab/>
        <w:tab/>
        <w:t xml:space="preserve"> </w:t>
        <w:tab/>
        <w:t xml:space="preserve">               «___» __________ 20__ г.</w:t>
      </w:r>
    </w:p>
    <w:p>
      <w:pPr>
        <w:pStyle w:val="Normal"/>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лице _____________________, действующего на основании доверенности </w:t>
      </w:r>
      <w:r>
        <w:rPr>
          <w:sz w:val="24"/>
          <w:szCs w:val="24"/>
          <w:shd w:fill="FFFFFF" w:val="clear"/>
        </w:rPr>
        <w:t xml:space="preserve">_________________ </w:t>
      </w:r>
      <w:r>
        <w:rPr>
          <w:sz w:val="24"/>
          <w:szCs w:val="24"/>
        </w:rPr>
        <w:t>года, с одной стороны, и ________________________</w:t>
      </w:r>
      <w:r>
        <w:rPr>
          <w:b/>
          <w:sz w:val="24"/>
          <w:szCs w:val="24"/>
        </w:rPr>
        <w:t>,</w:t>
      </w:r>
      <w:r>
        <w:rPr>
          <w:sz w:val="24"/>
          <w:szCs w:val="24"/>
        </w:rPr>
        <w:t xml:space="preserve"> именуемое в дальнейшем «</w:t>
      </w:r>
      <w:r>
        <w:rPr>
          <w:b/>
          <w:sz w:val="24"/>
          <w:szCs w:val="24"/>
        </w:rPr>
        <w:t>Поставщик</w:t>
      </w:r>
      <w:r>
        <w:rPr>
          <w:sz w:val="24"/>
          <w:szCs w:val="24"/>
        </w:rPr>
        <w:t xml:space="preserve">», в лице____________, действующего на основании __________, с другой стороны, совместно в дальнейшем именуемые «Стороны», а по отдельности – «Сторона», </w:t>
      </w:r>
    </w:p>
    <w:p>
      <w:pPr>
        <w:pStyle w:val="Normal"/>
        <w:ind w:firstLine="567"/>
        <w:jc w:val="both"/>
        <w:rPr>
          <w:sz w:val="24"/>
          <w:szCs w:val="24"/>
        </w:rPr>
      </w:pPr>
      <w:r>
        <w:rPr>
          <w:sz w:val="24"/>
          <w:szCs w:val="24"/>
        </w:rPr>
        <w:t>по результатам запроса котировок в электронной форме, по лоту №</w:t>
      </w:r>
      <w:r>
        <w:rPr>
          <w:bCs/>
          <w:sz w:val="24"/>
          <w:szCs w:val="24"/>
          <w:shd w:fill="FFFFFF" w:val="clear"/>
          <w:lang w:eastAsia="ar-SA"/>
        </w:rPr>
        <w:t>______________,</w:t>
      </w:r>
      <w:r>
        <w:rPr>
          <w:sz w:val="24"/>
          <w:szCs w:val="24"/>
        </w:rPr>
        <w:t xml:space="preserve"> что подтверждается протоколом №____ от ___________</w:t>
      </w:r>
      <w:r>
        <w:rPr>
          <w:bCs/>
          <w:sz w:val="24"/>
          <w:szCs w:val="24"/>
        </w:rPr>
        <w:t>,</w:t>
      </w:r>
      <w:r>
        <w:rPr>
          <w:sz w:val="24"/>
          <w:szCs w:val="24"/>
        </w:rPr>
        <w:t xml:space="preserve"> заключили настоящий Договор (далее – «Договор») о нижеследующем:</w:t>
      </w:r>
    </w:p>
    <w:p>
      <w:pPr>
        <w:pStyle w:val="Normal"/>
        <w:ind w:firstLine="567"/>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ind w:left="0" w:firstLine="567"/>
        <w:jc w:val="both"/>
        <w:rPr>
          <w:b w:val="false"/>
          <w:sz w:val="24"/>
        </w:rPr>
      </w:pPr>
      <w:r>
        <w:rPr>
          <w:b w:val="false"/>
          <w:sz w:val="24"/>
        </w:rPr>
        <w:t xml:space="preserve">Поставщик обязуется передать Покупателю </w:t>
      </w:r>
      <w:r>
        <w:rPr>
          <w:b w:val="false"/>
          <w:sz w:val="24"/>
        </w:rPr>
        <w:t>_______________</w:t>
      </w:r>
      <w:r>
        <w:rPr>
          <w:sz w:val="24"/>
        </w:rPr>
        <w:t xml:space="preserve">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и техническими требованиями (</w:t>
      </w:r>
      <w:r>
        <w:rPr>
          <w:sz w:val="24"/>
        </w:rPr>
        <w:t>Приложение № 3</w:t>
      </w:r>
      <w:r>
        <w:rPr>
          <w:b w:val="false"/>
          <w:sz w:val="24"/>
        </w:rPr>
        <w:t xml:space="preserve">), а Покупатель обязуется принять и оплатить Продукцию в установленном Договором порядке. </w:t>
      </w:r>
    </w:p>
    <w:p>
      <w:pPr>
        <w:pStyle w:val="ListParagraph"/>
        <w:numPr>
          <w:ilvl w:val="1"/>
          <w:numId w:val="6"/>
        </w:numPr>
        <w:tabs>
          <w:tab w:val="clear" w:pos="720"/>
          <w:tab w:val="left" w:pos="993" w:leader="none"/>
        </w:tabs>
        <w:ind w:left="1000" w:hanging="433"/>
        <w:rPr>
          <w:sz w:val="24"/>
          <w:szCs w:val="24"/>
        </w:rPr>
      </w:pPr>
      <w:r>
        <w:rPr>
          <w:sz w:val="24"/>
          <w:szCs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0"/>
        <w:ind w:left="0" w:firstLine="567"/>
        <w:contextualSpacing w:val="false"/>
        <w:jc w:val="both"/>
        <w:rPr>
          <w:sz w:val="24"/>
          <w:szCs w:val="24"/>
        </w:rPr>
      </w:pPr>
      <w:r>
        <w:rPr>
          <w:sz w:val="24"/>
          <w:szCs w:val="24"/>
        </w:rPr>
        <w:t>Поставка по Договору выполняется для нужд Северо-Кавказского филиала АО «Гидроремонт-ВКК».</w:t>
      </w:r>
    </w:p>
    <w:p>
      <w:pPr>
        <w:pStyle w:val="ListParagraph"/>
        <w:numPr>
          <w:ilvl w:val="1"/>
          <w:numId w:val="6"/>
        </w:numPr>
        <w:shd w:val="clear" w:color="auto" w:fill="FFFFFF"/>
        <w:tabs>
          <w:tab w:val="clear" w:pos="720"/>
          <w:tab w:val="left" w:pos="993" w:leader="none"/>
        </w:tabs>
        <w:spacing w:before="0" w:after="0"/>
        <w:contextualSpacing w:val="false"/>
        <w:jc w:val="both"/>
        <w:rPr>
          <w:sz w:val="24"/>
          <w:szCs w:val="24"/>
        </w:rPr>
      </w:pPr>
      <w:r>
        <w:rPr>
          <w:sz w:val="24"/>
          <w:szCs w:val="24"/>
        </w:rPr>
        <w:t>Место поставки:</w:t>
      </w:r>
      <w:r>
        <w:rPr>
          <w:rFonts w:ascii="Times New Roman;serif" w:hAnsi="Times New Roman;serif"/>
          <w:iCs/>
          <w:sz w:val="24"/>
          <w:szCs w:val="24"/>
        </w:rPr>
        <w:t xml:space="preserve"> Кабардино-Балкарская Респ., Баксанский м.р-н, Заюково с.п., Заюково с., Кирова ул., д. 546, литера А</w:t>
      </w:r>
    </w:p>
    <w:p>
      <w:pPr>
        <w:pStyle w:val="ListParagraph"/>
        <w:numPr>
          <w:ilvl w:val="1"/>
          <w:numId w:val="6"/>
        </w:numPr>
        <w:shd w:val="clear" w:color="auto" w:fill="FFFFFF"/>
        <w:tabs>
          <w:tab w:val="clear" w:pos="720"/>
          <w:tab w:val="left" w:pos="540" w:leader="none"/>
          <w:tab w:val="left" w:pos="993" w:leader="none"/>
        </w:tabs>
        <w:spacing w:before="0" w:after="0"/>
        <w:ind w:left="0" w:firstLine="567"/>
        <w:contextualSpacing w:val="false"/>
        <w:jc w:val="both"/>
        <w:rPr>
          <w:sz w:val="24"/>
          <w:szCs w:val="24"/>
        </w:rPr>
      </w:pPr>
      <w:r>
        <w:rPr>
          <w:sz w:val="24"/>
          <w:szCs w:val="24"/>
        </w:rPr>
        <w:t>Конечный срок поставки Продукции по договору: не позднее ________________.</w:t>
      </w:r>
    </w:p>
    <w:p>
      <w:pPr>
        <w:pStyle w:val="ListParagraph"/>
        <w:shd w:val="clear" w:color="auto" w:fill="FFFFFF"/>
        <w:tabs>
          <w:tab w:val="clear" w:pos="720"/>
          <w:tab w:val="left" w:pos="540" w:leader="none"/>
          <w:tab w:val="left" w:pos="993" w:leader="none"/>
        </w:tabs>
        <w:spacing w:before="0" w:after="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Цена Договора и порядок оплаты</w:t>
      </w:r>
    </w:p>
    <w:p>
      <w:pPr>
        <w:pStyle w:val="ListParagraph"/>
        <w:numPr>
          <w:ilvl w:val="1"/>
          <w:numId w:val="6"/>
        </w:numPr>
        <w:tabs>
          <w:tab w:val="clear" w:pos="720"/>
          <w:tab w:val="left" w:pos="851" w:leader="none"/>
          <w:tab w:val="left" w:pos="993" w:leader="none"/>
        </w:tabs>
        <w:spacing w:before="0" w:after="0"/>
        <w:ind w:left="0" w:firstLine="709"/>
        <w:contextualSpacing w:val="false"/>
        <w:jc w:val="both"/>
        <w:rPr>
          <w:sz w:val="24"/>
          <w:szCs w:val="24"/>
        </w:rPr>
      </w:pPr>
      <w:r>
        <w:rPr>
          <w:sz w:val="24"/>
          <w:szCs w:val="24"/>
        </w:rPr>
        <w:t xml:space="preserve">Общая стоимость Продукции (далее – «Цена Договора») по Договору является составляет _____________________, </w:t>
      </w:r>
      <w:r>
        <w:rPr>
          <w:bCs/>
          <w:sz w:val="24"/>
          <w:szCs w:val="24"/>
        </w:rPr>
        <w:t>без учёта НДС, при этом НДС исчисляется дополнительно по ставке, установленной ст.164 Налогового кодекса РФ.</w:t>
      </w:r>
      <w:r>
        <w:rPr>
          <w:bCs/>
          <w:szCs w:val="28"/>
        </w:rPr>
        <w:t xml:space="preserve"> </w:t>
      </w:r>
    </w:p>
    <w:p>
      <w:pPr>
        <w:pStyle w:val="ListParagraph"/>
        <w:numPr>
          <w:ilvl w:val="1"/>
          <w:numId w:val="6"/>
        </w:numPr>
        <w:tabs>
          <w:tab w:val="clear" w:pos="720"/>
          <w:tab w:val="left" w:pos="0" w:leader="none"/>
          <w:tab w:val="left" w:pos="851" w:leader="none"/>
        </w:tabs>
        <w:spacing w:before="0" w:after="0"/>
        <w:ind w:left="0" w:firstLine="567"/>
        <w:contextualSpacing w:val="false"/>
        <w:jc w:val="both"/>
        <w:rPr>
          <w:sz w:val="24"/>
          <w:szCs w:val="24"/>
        </w:rPr>
      </w:pPr>
      <w:r>
        <w:rPr>
          <w:sz w:val="24"/>
          <w:szCs w:val="24"/>
        </w:rPr>
        <w:t xml:space="preserve">Цена Договора включает в себя </w:t>
      </w:r>
      <w:r>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pPr>
        <w:pStyle w:val="ListParagraph"/>
        <w:numPr>
          <w:ilvl w:val="1"/>
          <w:numId w:val="6"/>
        </w:numPr>
        <w:shd w:val="clear" w:color="auto" w:fill="FFFFFF"/>
        <w:tabs>
          <w:tab w:val="clear" w:pos="720"/>
          <w:tab w:val="left" w:pos="567" w:leader="none"/>
          <w:tab w:val="left" w:pos="1134" w:leader="none"/>
        </w:tabs>
        <w:spacing w:before="0" w:after="0"/>
        <w:ind w:left="0" w:firstLine="709"/>
        <w:contextualSpacing w:val="false"/>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567" w:leader="none"/>
          <w:tab w:val="left" w:pos="1134" w:leader="none"/>
        </w:tabs>
        <w:spacing w:before="0" w:after="0"/>
        <w:ind w:left="0" w:firstLine="709"/>
        <w:contextualSpacing w:val="false"/>
        <w:jc w:val="both"/>
        <w:rPr>
          <w:sz w:val="24"/>
          <w:szCs w:val="24"/>
        </w:rPr>
      </w:pPr>
      <w:r>
        <w:rPr>
          <w:sz w:val="24"/>
          <w:szCs w:val="24"/>
        </w:rPr>
        <w:t>Стоимость Продукции определяется Спецификацией (Приложение № 1).</w:t>
      </w:r>
    </w:p>
    <w:p>
      <w:pPr>
        <w:pStyle w:val="ListParagraph"/>
        <w:widowControl/>
        <w:numPr>
          <w:ilvl w:val="1"/>
          <w:numId w:val="6"/>
        </w:numPr>
        <w:shd w:val="clear" w:color="auto" w:fill="FFFFFF"/>
        <w:tabs>
          <w:tab w:val="clear" w:pos="720"/>
          <w:tab w:val="left" w:pos="851" w:leader="none"/>
          <w:tab w:val="left" w:pos="1134" w:leader="none"/>
        </w:tabs>
        <w:spacing w:before="0" w:after="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134" w:leader="none"/>
        </w:tabs>
        <w:ind w:firstLine="567"/>
        <w:jc w:val="both"/>
        <w:rPr>
          <w:sz w:val="24"/>
          <w:szCs w:val="24"/>
        </w:rPr>
      </w:pPr>
      <w:r>
        <w:rPr>
          <w:sz w:val="24"/>
          <w:szCs w:val="24"/>
        </w:rPr>
        <w:t>2.5.1. Авансовый платеж в размере 30 (тридцать) % от стоимости Продукции выплачивается в течение 30 (тридцати) календарных дней с даты получения Покупателем счета, выставленного Поставщиком с учетом п. 2.6. Договора, но не ранее 30 (тридцати) календарных дней даты поставки. Авансовый платеж засчитывается в счет оплаты Продукции.</w:t>
      </w:r>
    </w:p>
    <w:p>
      <w:pPr>
        <w:pStyle w:val="Normal"/>
        <w:shd w:val="clear" w:color="auto" w:fill="FFFFFF"/>
        <w:tabs>
          <w:tab w:val="clear" w:pos="720"/>
          <w:tab w:val="left" w:pos="567" w:leader="none"/>
          <w:tab w:val="left" w:pos="1134" w:leader="none"/>
        </w:tabs>
        <w:ind w:firstLine="567"/>
        <w:jc w:val="both"/>
        <w:rPr>
          <w:sz w:val="24"/>
          <w:szCs w:val="24"/>
        </w:rPr>
      </w:pPr>
      <w:r>
        <w:rPr>
          <w:sz w:val="24"/>
          <w:szCs w:val="24"/>
        </w:rPr>
        <w:t>2.5.2. Платеж в размере 70 (семьдесят) % от стоимости поставленной Продукции, согласно Спецификации, производится Покупателем в срок не более 30 (тридцать) календарных дней/7 (семи) рабочих дней</w:t>
      </w:r>
      <w:r>
        <w:rPr>
          <w:rStyle w:val="FootnoteReference"/>
          <w:sz w:val="24"/>
          <w:szCs w:val="24"/>
          <w:vertAlign w:val="superscript"/>
        </w:rPr>
        <w:footnoteReference w:id="2"/>
      </w:r>
      <w:r>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w:t>
      </w:r>
      <w:r>
        <w:rPr/>
        <w:t xml:space="preserve"> </w:t>
      </w: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ListParagraph"/>
        <w:numPr>
          <w:ilvl w:val="1"/>
          <w:numId w:val="6"/>
        </w:numPr>
        <w:shd w:val="clear" w:color="auto" w:fill="FFFFFF"/>
        <w:tabs>
          <w:tab w:val="clear" w:pos="720"/>
          <w:tab w:val="left" w:pos="0" w:leader="none"/>
          <w:tab w:val="left" w:pos="480" w:leader="none"/>
          <w:tab w:val="left" w:pos="851" w:leader="none"/>
        </w:tabs>
        <w:spacing w:before="0" w:after="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0"/>
        <w:ind w:left="0" w:firstLine="567"/>
        <w:contextualSpacing w:val="false"/>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tabs>
          <w:tab w:val="clear" w:pos="720"/>
          <w:tab w:val="left" w:pos="1134" w:leader="none"/>
          <w:tab w:val="left" w:pos="1276" w:leader="none"/>
        </w:tabs>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Паспорт качества</w:t>
      </w:r>
      <w:r>
        <w:rPr>
          <w:sz w:val="24"/>
          <w:szCs w:val="24"/>
          <w:lang w:val="en-US"/>
        </w:rPr>
        <w:t xml:space="preserve"> </w:t>
      </w:r>
      <w:r>
        <w:rPr>
          <w:sz w:val="24"/>
          <w:szCs w:val="24"/>
        </w:rPr>
        <w:t>в 2 экз.;</w:t>
      </w:r>
    </w:p>
    <w:p>
      <w:pPr>
        <w:pStyle w:val="Normal"/>
        <w:widowControl w:val="false"/>
        <w:numPr>
          <w:ilvl w:val="0"/>
          <w:numId w:val="3"/>
        </w:numPr>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Сертификат соответствия в 1 экз.;</w:t>
      </w:r>
    </w:p>
    <w:p>
      <w:pPr>
        <w:pStyle w:val="Normal"/>
        <w:widowControl w:val="false"/>
        <w:numPr>
          <w:ilvl w:val="0"/>
          <w:numId w:val="3"/>
        </w:numPr>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Инструкция по эксплуатации в 1 экз.;</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shd w:val="clear" w:color="auto" w:fill="FFFFFF"/>
        <w:tabs>
          <w:tab w:val="left" w:pos="720" w:leader="none"/>
          <w:tab w:val="left" w:pos="1134" w:leader="none"/>
          <w:tab w:val="left" w:pos="1276" w:leader="none"/>
        </w:tabs>
        <w:ind w:firstLine="709"/>
        <w:jc w:val="both"/>
        <w:rPr>
          <w:sz w:val="24"/>
          <w:szCs w:val="24"/>
        </w:rPr>
      </w:pPr>
      <w:r>
        <w:rPr>
          <w:sz w:val="24"/>
          <w:szCs w:val="24"/>
        </w:rPr>
        <w:t xml:space="preserve">Поставщик обязан предоставить скан-копии оригиналов документов на электронную почту - </w:t>
      </w:r>
      <w:r>
        <w:rPr>
          <w:sz w:val="24"/>
          <w:szCs w:val="24"/>
          <w:lang w:val="en-US"/>
        </w:rPr>
        <w:t>ZahohovNR</w:t>
      </w:r>
      <w:r>
        <w:rPr>
          <w:sz w:val="24"/>
          <w:szCs w:val="24"/>
        </w:rPr>
        <w:t>@rushydro.ru.</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7 (семи)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Универсального передаточного документа (УПД).</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рабочих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Гарантийный срок исчисляется с даты подписания Сторонами соответствующей товарной накладной по форме ТОРГ-12 или Универсального передаточного документа (УПД) и составляет не менее 12 месяцев. </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Тара, упаковка, маркировка</w:t>
      </w:r>
    </w:p>
    <w:p>
      <w:pPr>
        <w:pStyle w:val="Normal"/>
        <w:widowControl w:val="false"/>
        <w:numPr>
          <w:ilvl w:val="1"/>
          <w:numId w:val="6"/>
        </w:numPr>
        <w:tabs>
          <w:tab w:val="clear" w:pos="720"/>
          <w:tab w:val="left" w:pos="-2977" w:leader="none"/>
          <w:tab w:val="left" w:pos="1134" w:leader="none"/>
        </w:tabs>
        <w:ind w:left="0" w:firstLine="567"/>
        <w:jc w:val="both"/>
        <w:rPr>
          <w:sz w:val="24"/>
          <w:szCs w:val="24"/>
          <w:u w:val="single"/>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 </w:t>
      </w:r>
    </w:p>
    <w:p>
      <w:pPr>
        <w:pStyle w:val="Normal"/>
        <w:widowControl w:val="false"/>
        <w:numPr>
          <w:ilvl w:val="1"/>
          <w:numId w:val="6"/>
        </w:numPr>
        <w:shd w:val="clear" w:color="auto" w:fill="FFFFFF"/>
        <w:tabs>
          <w:tab w:val="clear" w:pos="720"/>
          <w:tab w:val="left" w:pos="1276" w:leader="none"/>
          <w:tab w:val="left" w:pos="1418" w:leader="none"/>
        </w:tabs>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ind w:left="0" w:firstLine="567"/>
        <w:jc w:val="both"/>
        <w:rPr>
          <w:sz w:val="24"/>
          <w:szCs w:val="24"/>
        </w:rPr>
      </w:pPr>
      <w:r>
        <w:rPr>
          <w:sz w:val="24"/>
          <w:szCs w:val="24"/>
        </w:rPr>
        <w:t>вес каждого места указывается;</w:t>
      </w:r>
    </w:p>
    <w:p>
      <w:pPr>
        <w:pStyle w:val="Normal"/>
        <w:widowControl w:val="false"/>
        <w:numPr>
          <w:ilvl w:val="0"/>
          <w:numId w:val="5"/>
        </w:numPr>
        <w:shd w:val="clear" w:color="auto" w:fill="FFFFFF"/>
        <w:tabs>
          <w:tab w:val="clear" w:pos="720"/>
          <w:tab w:val="left" w:pos="1276" w:leader="none"/>
          <w:tab w:val="left" w:pos="1418" w:leader="none"/>
        </w:tabs>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ind w:left="0" w:firstLine="567"/>
        <w:jc w:val="both"/>
        <w:rPr>
          <w:sz w:val="24"/>
          <w:szCs w:val="24"/>
        </w:rPr>
      </w:pPr>
      <w:r>
        <w:rPr>
          <w:sz w:val="24"/>
          <w:szCs w:val="24"/>
        </w:rPr>
        <w:t>номера мест и их общее количество;</w:t>
      </w:r>
    </w:p>
    <w:p>
      <w:pPr>
        <w:pStyle w:val="Normal"/>
        <w:widowControl w:val="false"/>
        <w:numPr>
          <w:ilvl w:val="1"/>
          <w:numId w:val="6"/>
        </w:numPr>
        <w:shd w:val="clear" w:color="auto" w:fill="FFFFFF"/>
        <w:tabs>
          <w:tab w:val="clear" w:pos="720"/>
          <w:tab w:val="left" w:pos="1276" w:leader="none"/>
          <w:tab w:val="left" w:pos="1418" w:leader="none"/>
        </w:tabs>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Сроки, порядок и условия поставки, переход права собственности</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Поставщик обязан уведомить Покупателя о дате поставки Продукции не позднее, чем за 10 (десять) календарных дней до даты поставки.</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ListParagraph"/>
        <w:numPr>
          <w:ilvl w:val="1"/>
          <w:numId w:val="6"/>
        </w:numPr>
        <w:tabs>
          <w:tab w:val="clear" w:pos="720"/>
          <w:tab w:val="left" w:pos="993" w:leader="none"/>
          <w:tab w:val="left" w:pos="1134" w:leader="none"/>
        </w:tabs>
        <w:ind w:left="0" w:firstLine="567"/>
        <w:jc w:val="both"/>
        <w:rPr/>
      </w:pPr>
      <w:r>
        <w:rPr>
          <w:sz w:val="24"/>
          <w:szCs w:val="24"/>
        </w:rPr>
        <w:t xml:space="preserve">   </w:t>
      </w:r>
      <w:r>
        <w:rPr>
          <w:sz w:val="24"/>
          <w:szCs w:val="24"/>
        </w:rPr>
        <w:t>В случае нарушения Покупателем сроков оплаты поставленного товара, результатов выполненных работ/оказанных услуг,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Normal"/>
        <w:widowControl w:val="false"/>
        <w:numPr>
          <w:ilvl w:val="1"/>
          <w:numId w:val="6"/>
        </w:numPr>
        <w:shd w:val="clear" w:color="auto" w:fill="FFFFFF"/>
        <w:tabs>
          <w:tab w:val="clear" w:pos="720"/>
          <w:tab w:val="left" w:pos="993" w:leader="none"/>
          <w:tab w:val="left" w:pos="1276" w:leader="none"/>
        </w:tabs>
        <w:ind w:left="0" w:firstLine="993"/>
        <w:jc w:val="both"/>
        <w:rPr>
          <w:sz w:val="24"/>
          <w:szCs w:val="24"/>
        </w:rPr>
      </w:pPr>
      <w:r>
        <w:rPr>
          <w:sz w:val="24"/>
          <w:szCs w:val="24"/>
        </w:rPr>
        <w:t xml:space="preserve">В случае нарушения Поставщиком обязательств по оказанию услуг и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 </w:t>
      </w:r>
    </w:p>
    <w:p>
      <w:pPr>
        <w:pStyle w:val="Normal"/>
        <w:widowControl w:val="false"/>
        <w:shd w:val="clear" w:color="auto" w:fill="FFFFFF"/>
        <w:tabs>
          <w:tab w:val="clear" w:pos="720"/>
          <w:tab w:val="left" w:pos="1276" w:leader="none"/>
        </w:tabs>
        <w:ind w:firstLine="1418"/>
        <w:jc w:val="both"/>
        <w:rPr>
          <w:sz w:val="24"/>
          <w:szCs w:val="24"/>
        </w:rPr>
      </w:pP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jc w:val="both"/>
        <w:rPr>
          <w:sz w:val="24"/>
          <w:szCs w:val="24"/>
        </w:rPr>
      </w:pPr>
      <w:r>
        <w:rPr>
          <w:sz w:val="24"/>
          <w:szCs w:val="24"/>
        </w:rPr>
        <w:tab/>
        <w:t>–</w:t>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jc w:val="both"/>
        <w:rPr>
          <w:sz w:val="24"/>
          <w:szCs w:val="24"/>
        </w:rPr>
      </w:pPr>
      <w:r>
        <w:rPr>
          <w:sz w:val="24"/>
          <w:szCs w:val="24"/>
        </w:rPr>
        <w:tab/>
        <w:t>–</w:t>
        <w:tab/>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jc w:val="both"/>
        <w:rPr>
          <w:sz w:val="24"/>
          <w:szCs w:val="24"/>
        </w:rPr>
      </w:pPr>
      <w:r>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Предусмотренная Договором неустойка является штрафной. Убытки подлежат возмещению в полной сумме сверх неустойки.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ind w:left="0" w:firstLine="568"/>
        <w:jc w:val="both"/>
        <w:rPr>
          <w:sz w:val="24"/>
          <w:szCs w:val="24"/>
        </w:rPr>
      </w:pPr>
      <w:r>
        <w:rPr>
          <w:sz w:val="24"/>
          <w:szCs w:val="24"/>
        </w:rPr>
        <w:t>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НДС,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в даты получения соответствующего письменного требования Покупателя. В случае нарушения Поставщиком сроков, предусмотренных пунктом 2.8, Покупатель также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ListParagraph"/>
        <w:numPr>
          <w:ilvl w:val="1"/>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numPr>
          <w:ilvl w:val="0"/>
          <w:numId w:val="0"/>
        </w:numPr>
        <w:tabs>
          <w:tab w:val="clear" w:pos="720"/>
          <w:tab w:val="left" w:pos="567" w:leader="none"/>
        </w:tabs>
        <w:jc w:val="both"/>
        <w:outlineLvl w:val="0"/>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numPr>
          <w:ilvl w:val="0"/>
          <w:numId w:val="0"/>
        </w:numPr>
        <w:tabs>
          <w:tab w:val="clear" w:pos="720"/>
          <w:tab w:val="left" w:pos="567" w:leader="none"/>
        </w:tabs>
        <w:jc w:val="both"/>
        <w:outlineLvl w:val="0"/>
        <w:rPr>
          <w:sz w:val="24"/>
          <w:szCs w:val="24"/>
        </w:rPr>
      </w:pPr>
      <w:r>
        <w:rPr>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numPr>
          <w:ilvl w:val="0"/>
          <w:numId w:val="0"/>
        </w:numPr>
        <w:tabs>
          <w:tab w:val="clear" w:pos="720"/>
          <w:tab w:val="left" w:pos="567" w:leader="none"/>
        </w:tabs>
        <w:ind w:firstLine="567"/>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numPr>
          <w:ilvl w:val="0"/>
          <w:numId w:val="0"/>
        </w:numPr>
        <w:tabs>
          <w:tab w:val="clear" w:pos="720"/>
          <w:tab w:val="left" w:pos="567" w:leader="none"/>
        </w:tabs>
        <w:jc w:val="both"/>
        <w:outlineLvl w:val="0"/>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numPr>
          <w:ilvl w:val="0"/>
          <w:numId w:val="0"/>
        </w:numPr>
        <w:tabs>
          <w:tab w:val="clear" w:pos="720"/>
          <w:tab w:val="left" w:pos="567" w:leader="none"/>
        </w:tabs>
        <w:jc w:val="both"/>
        <w:outlineLvl w:val="0"/>
        <w:rPr>
          <w:sz w:val="24"/>
          <w:szCs w:val="24"/>
        </w:rPr>
      </w:pPr>
      <w:r>
        <w:rPr>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numPr>
          <w:ilvl w:val="0"/>
          <w:numId w:val="0"/>
        </w:numPr>
        <w:tabs>
          <w:tab w:val="clear" w:pos="720"/>
          <w:tab w:val="left" w:pos="567" w:leader="none"/>
        </w:tabs>
        <w:jc w:val="both"/>
        <w:outlineLvl w:val="0"/>
        <w:rPr>
          <w:sz w:val="24"/>
          <w:szCs w:val="24"/>
        </w:rPr>
      </w:pPr>
      <w:r>
        <w:rPr>
          <w:sz w:val="24"/>
          <w:szCs w:val="24"/>
        </w:rPr>
        <w:t xml:space="preserve">Каналы связи Линия доверия Группы РусГидро: </w:t>
      </w:r>
    </w:p>
    <w:p>
      <w:pPr>
        <w:pStyle w:val="Normal"/>
        <w:numPr>
          <w:ilvl w:val="0"/>
          <w:numId w:val="0"/>
        </w:numPr>
        <w:tabs>
          <w:tab w:val="clear" w:pos="720"/>
          <w:tab w:val="left" w:pos="567" w:leader="none"/>
        </w:tabs>
        <w:jc w:val="both"/>
        <w:outlineLvl w:val="0"/>
        <w:rPr>
          <w:sz w:val="24"/>
          <w:szCs w:val="24"/>
        </w:rPr>
      </w:pPr>
      <w:r>
        <w:rPr>
          <w:sz w:val="24"/>
          <w:szCs w:val="24"/>
        </w:rPr>
        <w:t>-Электронная почта: ld@rushydro.ru.</w:t>
      </w:r>
    </w:p>
    <w:p>
      <w:pPr>
        <w:pStyle w:val="Normal"/>
        <w:numPr>
          <w:ilvl w:val="0"/>
          <w:numId w:val="0"/>
        </w:numPr>
        <w:tabs>
          <w:tab w:val="clear" w:pos="720"/>
          <w:tab w:val="left" w:pos="567" w:leader="none"/>
        </w:tabs>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numPr>
          <w:ilvl w:val="0"/>
          <w:numId w:val="0"/>
        </w:numPr>
        <w:tabs>
          <w:tab w:val="clear" w:pos="720"/>
          <w:tab w:val="left" w:pos="567" w:leader="none"/>
        </w:tabs>
        <w:jc w:val="both"/>
        <w:outlineLvl w:val="0"/>
        <w:rPr>
          <w:sz w:val="24"/>
          <w:szCs w:val="24"/>
        </w:rPr>
      </w:pPr>
      <w:r>
        <w:rPr>
          <w:sz w:val="24"/>
          <w:szCs w:val="24"/>
        </w:rPr>
      </w:r>
    </w:p>
    <w:p>
      <w:pPr>
        <w:pStyle w:val="Normal"/>
        <w:numPr>
          <w:ilvl w:val="0"/>
          <w:numId w:val="0"/>
        </w:numPr>
        <w:tabs>
          <w:tab w:val="clear" w:pos="720"/>
          <w:tab w:val="left" w:pos="567" w:leader="none"/>
        </w:tabs>
        <w:jc w:val="both"/>
        <w:outlineLvl w:val="0"/>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1276" w:leader="none"/>
        </w:tabs>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283" w:leader="none"/>
          <w:tab w:val="left" w:pos="1425" w:leader="none"/>
        </w:tabs>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ListParagraph"/>
        <w:shd w:val="clear" w:color="auto" w:fill="FFFFFF"/>
        <w:tabs>
          <w:tab w:val="clear" w:pos="720"/>
          <w:tab w:val="left" w:pos="1283" w:leader="none"/>
        </w:tabs>
        <w:spacing w:before="0" w:after="0"/>
        <w:ind w:left="0"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ListParagraph"/>
        <w:shd w:val="clear" w:color="auto" w:fill="FFFFFF"/>
        <w:spacing w:before="0" w:after="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shd w:val="clear" w:color="auto" w:fill="FFFFFF"/>
        <w:tabs>
          <w:tab w:val="clear" w:pos="720"/>
          <w:tab w:val="left" w:pos="1418" w:leader="none"/>
        </w:tabs>
        <w:spacing w:before="0" w:after="0"/>
        <w:ind w:left="0"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ind w:firstLine="567"/>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1"/>
          <w:numId w:val="6"/>
        </w:numPr>
        <w:shd w:val="clear" w:color="auto" w:fill="FFFFFF"/>
        <w:tabs>
          <w:tab w:val="left" w:pos="568" w:leader="none"/>
          <w:tab w:val="left" w:pos="720" w:leader="none"/>
        </w:tabs>
        <w:ind w:left="0" w:firstLine="567"/>
        <w:jc w:val="both"/>
        <w:rPr>
          <w:bCs/>
          <w:sz w:val="24"/>
          <w:szCs w:val="24"/>
        </w:rPr>
      </w:pPr>
      <w:r>
        <w:rPr>
          <w:bCs/>
          <w:sz w:val="24"/>
          <w:szCs w:val="24"/>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Normal"/>
        <w:widowControl w:val="false"/>
        <w:shd w:val="clear" w:color="auto" w:fill="FFFFFF"/>
        <w:tabs>
          <w:tab w:val="left" w:pos="568" w:leader="none"/>
          <w:tab w:val="left" w:pos="720" w:leader="none"/>
        </w:tabs>
        <w:ind w:firstLine="567"/>
        <w:jc w:val="both"/>
        <w:rPr>
          <w:bCs/>
          <w:sz w:val="24"/>
          <w:szCs w:val="24"/>
        </w:rPr>
      </w:pPr>
      <w:r>
        <w:rPr>
          <w:bCs/>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widowControl w:val="false"/>
        <w:shd w:val="clear" w:color="auto" w:fill="FFFFFF"/>
        <w:tabs>
          <w:tab w:val="left" w:pos="720" w:leader="none"/>
        </w:tabs>
        <w:jc w:val="both"/>
        <w:rPr>
          <w:bCs/>
          <w:sz w:val="24"/>
          <w:szCs w:val="24"/>
        </w:rPr>
      </w:pPr>
      <w:r>
        <w:rPr>
          <w:bCs/>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Приложения к Договору</w:t>
      </w:r>
    </w:p>
    <w:p>
      <w:pPr>
        <w:pStyle w:val="Heading3"/>
        <w:keepNext w:val="false"/>
        <w:tabs>
          <w:tab w:val="clear" w:pos="0"/>
        </w:tabs>
        <w:overflowPunct w:val="true"/>
        <w:ind w:left="567" w:hanging="141"/>
        <w:jc w:val="both"/>
        <w:textAlignment w:val="baseline"/>
        <w:rPr>
          <w:b w:val="false"/>
          <w:sz w:val="24"/>
          <w:szCs w:val="24"/>
        </w:rPr>
      </w:pPr>
      <w:r>
        <w:rPr>
          <w:b w:val="false"/>
          <w:sz w:val="24"/>
          <w:szCs w:val="24"/>
        </w:rPr>
        <w:t>- Приложение № 1 – Спецификация.</w:t>
      </w:r>
    </w:p>
    <w:p>
      <w:pPr>
        <w:pStyle w:val="Normal"/>
        <w:ind w:firstLine="426"/>
        <w:rPr>
          <w:sz w:val="24"/>
          <w:szCs w:val="24"/>
        </w:rPr>
      </w:pPr>
      <w:bookmarkStart w:id="3" w:name="sub_1"/>
      <w:r>
        <w:rPr>
          <w:sz w:val="24"/>
          <w:szCs w:val="24"/>
        </w:rPr>
        <w:t>- Приложение № 2 – Технические требования на поставку продукции.</w:t>
      </w:r>
      <w:bookmarkEnd w:id="3"/>
    </w:p>
    <w:p>
      <w:pPr>
        <w:pStyle w:val="Normal"/>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rHeight w:val="5922" w:hRule="atLeast"/>
        </w:trPr>
        <w:tc>
          <w:tcPr>
            <w:tcW w:w="4927" w:type="dxa"/>
            <w:tcBorders/>
          </w:tcPr>
          <w:p>
            <w:pPr>
              <w:pStyle w:val="Normal"/>
              <w:widowControl w:val="false"/>
              <w:rPr>
                <w:b/>
                <w:sz w:val="24"/>
                <w:szCs w:val="24"/>
              </w:rPr>
            </w:pPr>
            <w:r>
              <w:rPr>
                <w:b/>
                <w:sz w:val="24"/>
                <w:szCs w:val="24"/>
              </w:rPr>
              <w:t>АО «Гидроремонт-ВКК»</w:t>
            </w:r>
          </w:p>
          <w:p>
            <w:pPr>
              <w:pStyle w:val="Normal"/>
              <w:widowControl w:val="false"/>
              <w:tabs>
                <w:tab w:val="clear" w:pos="720"/>
                <w:tab w:val="left" w:pos="2160" w:leader="none"/>
              </w:tabs>
              <w:rPr>
                <w:sz w:val="24"/>
                <w:szCs w:val="24"/>
              </w:rPr>
            </w:pPr>
            <w:r>
              <w:rPr>
                <w:sz w:val="24"/>
                <w:szCs w:val="24"/>
              </w:rPr>
            </w:r>
            <w:bookmarkStart w:id="4" w:name="_GoBack"/>
            <w:bookmarkStart w:id="5" w:name="_GoBack"/>
            <w:bookmarkEnd w:id="5"/>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tc>
      </w:tr>
      <w:tr>
        <w:trPr/>
        <w:tc>
          <w:tcPr>
            <w:tcW w:w="4927" w:type="dxa"/>
            <w:tcBorders/>
            <w:shd w:color="auto" w:fill="auto" w:val="clear"/>
          </w:tcPr>
          <w:p>
            <w:pPr>
              <w:pStyle w:val="Normal"/>
              <w:widowControl w:val="false"/>
              <w:rPr>
                <w:sz w:val="22"/>
                <w:szCs w:val="22"/>
              </w:rPr>
            </w:pPr>
            <w:r>
              <w:rPr>
                <w:sz w:val="22"/>
                <w:szCs w:val="22"/>
              </w:rPr>
            </w:r>
          </w:p>
          <w:p>
            <w:pPr>
              <w:pStyle w:val="Normal"/>
              <w:widowControl w:val="false"/>
              <w:rPr>
                <w:bCs/>
                <w:sz w:val="24"/>
                <w:szCs w:val="24"/>
              </w:rPr>
            </w:pPr>
            <w:r>
              <w:rPr>
                <w:bCs/>
                <w:sz w:val="24"/>
                <w:szCs w:val="24"/>
              </w:rPr>
              <w:t>_______________ / /</w:t>
            </w:r>
          </w:p>
          <w:p>
            <w:pPr>
              <w:pStyle w:val="Normal"/>
              <w:widowControl w:val="false"/>
              <w:rPr>
                <w:sz w:val="22"/>
                <w:szCs w:val="22"/>
              </w:rPr>
            </w:pPr>
            <w:r>
              <w:rPr>
                <w:bCs/>
                <w:sz w:val="24"/>
                <w:szCs w:val="24"/>
              </w:rPr>
              <w:t>м.п.</w:t>
            </w:r>
          </w:p>
        </w:tc>
        <w:tc>
          <w:tcPr>
            <w:tcW w:w="4786" w:type="dxa"/>
            <w:tcBorders/>
            <w:shd w:color="auto" w:fill="auto" w:val="clear"/>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w:t>
            </w:r>
          </w:p>
          <w:p>
            <w:pPr>
              <w:pStyle w:val="Normal"/>
              <w:widowControl w:val="false"/>
              <w:rPr>
                <w:sz w:val="22"/>
                <w:szCs w:val="22"/>
              </w:rPr>
            </w:pPr>
            <w:r>
              <w:rPr>
                <w:sz w:val="22"/>
                <w:szCs w:val="22"/>
              </w:rPr>
              <w:t>м.п.</w:t>
            </w:r>
          </w:p>
        </w:tc>
      </w:tr>
    </w:tbl>
    <w:p>
      <w:pPr>
        <w:sectPr>
          <w:headerReference w:type="default" r:id="rId5"/>
          <w:footerReference w:type="even" r:id="rId6"/>
          <w:footerReference w:type="default" r:id="rId7"/>
          <w:footerReference w:type="first" r:id="rId8"/>
          <w:footnotePr>
            <w:numFmt w:val="decimal"/>
          </w:footnotePr>
          <w:type w:val="nextPage"/>
          <w:pgSz w:w="11906" w:h="16838"/>
          <w:pgMar w:left="1701" w:right="849" w:gutter="0" w:header="720" w:top="1134" w:footer="720" w:bottom="1134"/>
          <w:pgNumType w:fmt="decimal"/>
          <w:formProt w:val="false"/>
          <w:textDirection w:val="lrTb"/>
          <w:docGrid w:type="default" w:linePitch="100" w:charSpace="16384"/>
        </w:sectPr>
      </w:pPr>
    </w:p>
    <w:p>
      <w:pPr>
        <w:pStyle w:val="BodyText"/>
        <w:numPr>
          <w:ilvl w:val="0"/>
          <w:numId w:val="0"/>
        </w:numPr>
        <w:ind w:firstLine="567"/>
        <w:jc w:val="right"/>
        <w:outlineLvl w:val="0"/>
        <w:rPr>
          <w:b/>
          <w:bCs/>
          <w:sz w:val="24"/>
          <w:szCs w:val="24"/>
        </w:rPr>
      </w:pPr>
      <w:r>
        <w:rPr>
          <w:b/>
          <w:bCs/>
          <w:sz w:val="24"/>
          <w:szCs w:val="24"/>
        </w:rPr>
        <w:t>Приложение № 1</w:t>
      </w:r>
    </w:p>
    <w:p>
      <w:pPr>
        <w:pStyle w:val="BodyText"/>
        <w:ind w:firstLine="567"/>
        <w:jc w:val="right"/>
        <w:rPr>
          <w:bCs/>
          <w:sz w:val="24"/>
          <w:szCs w:val="24"/>
        </w:rPr>
      </w:pPr>
      <w:r>
        <w:rPr>
          <w:bCs/>
          <w:sz w:val="24"/>
          <w:szCs w:val="24"/>
        </w:rPr>
        <w:t xml:space="preserve">к договору поставки </w:t>
      </w:r>
    </w:p>
    <w:p>
      <w:pPr>
        <w:pStyle w:val="BodyText"/>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ind w:firstLine="567"/>
        <w:jc w:val="center"/>
        <w:outlineLvl w:val="0"/>
        <w:rPr>
          <w:b/>
          <w:sz w:val="24"/>
          <w:szCs w:val="24"/>
        </w:rPr>
      </w:pPr>
      <w:r>
        <w:rPr>
          <w:b/>
          <w:sz w:val="24"/>
          <w:szCs w:val="24"/>
        </w:rPr>
      </w:r>
    </w:p>
    <w:p>
      <w:pPr>
        <w:pStyle w:val="Normal"/>
        <w:numPr>
          <w:ilvl w:val="0"/>
          <w:numId w:val="0"/>
        </w:numPr>
        <w:ind w:firstLine="567"/>
        <w:jc w:val="center"/>
        <w:outlineLvl w:val="0"/>
        <w:rPr>
          <w:b/>
          <w:sz w:val="24"/>
          <w:szCs w:val="24"/>
        </w:rPr>
      </w:pPr>
      <w:r>
        <w:rPr>
          <w:b/>
          <w:sz w:val="24"/>
          <w:szCs w:val="24"/>
        </w:rPr>
        <w:t>Спецификация №1</w:t>
      </w:r>
    </w:p>
    <w:p>
      <w:pPr>
        <w:pStyle w:val="Normal"/>
        <w:numPr>
          <w:ilvl w:val="0"/>
          <w:numId w:val="0"/>
        </w:numPr>
        <w:ind w:firstLine="567"/>
        <w:jc w:val="center"/>
        <w:outlineLvl w:val="0"/>
        <w:rPr>
          <w:b/>
          <w:sz w:val="24"/>
          <w:szCs w:val="24"/>
        </w:rPr>
      </w:pPr>
      <w:r>
        <w:rPr>
          <w:b/>
          <w:sz w:val="24"/>
          <w:szCs w:val="24"/>
        </w:rPr>
      </w:r>
    </w:p>
    <w:tbl>
      <w:tblPr>
        <w:tblW w:w="10773" w:type="dxa"/>
        <w:jc w:val="left"/>
        <w:tblInd w:w="-572" w:type="dxa"/>
        <w:tblLayout w:type="fixed"/>
        <w:tblCellMar>
          <w:top w:w="0" w:type="dxa"/>
          <w:left w:w="108" w:type="dxa"/>
          <w:bottom w:w="0" w:type="dxa"/>
          <w:right w:w="108" w:type="dxa"/>
        </w:tblCellMar>
        <w:tblLook w:val="04a0" w:noHBand="0" w:noVBand="1" w:firstColumn="1" w:lastRow="0" w:lastColumn="0" w:firstRow="1"/>
      </w:tblPr>
      <w:tblGrid>
        <w:gridCol w:w="987"/>
        <w:gridCol w:w="2416"/>
        <w:gridCol w:w="2409"/>
        <w:gridCol w:w="708"/>
        <w:gridCol w:w="850"/>
        <w:gridCol w:w="1846"/>
        <w:gridCol w:w="1556"/>
      </w:tblGrid>
      <w:tr>
        <w:trPr>
          <w:trHeight w:val="510" w:hRule="atLeast"/>
        </w:trPr>
        <w:tc>
          <w:tcPr>
            <w:tcW w:w="9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Поз. №</w:t>
            </w:r>
          </w:p>
        </w:tc>
        <w:tc>
          <w:tcPr>
            <w:tcW w:w="2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Наименование</w:t>
            </w:r>
          </w:p>
        </w:tc>
        <w:tc>
          <w:tcPr>
            <w:tcW w:w="24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Страна происхождения товара (цифровой код)</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Количество</w:t>
            </w:r>
          </w:p>
        </w:tc>
        <w:tc>
          <w:tcPr>
            <w:tcW w:w="18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Цена  за единицу (руб., с НДС)</w:t>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Сумма (руб., с НДС )</w:t>
            </w:r>
          </w:p>
        </w:tc>
      </w:tr>
      <w:tr>
        <w:trPr>
          <w:trHeight w:val="523" w:hRule="atLeast"/>
        </w:trPr>
        <w:tc>
          <w:tcPr>
            <w:tcW w:w="98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t>1.</w:t>
            </w:r>
          </w:p>
        </w:tc>
        <w:tc>
          <w:tcPr>
            <w:tcW w:w="24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r>
          </w:p>
        </w:tc>
        <w:tc>
          <w:tcPr>
            <w:tcW w:w="24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85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184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155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r>
      <w:tr>
        <w:trPr>
          <w:trHeight w:val="523" w:hRule="atLeast"/>
        </w:trPr>
        <w:tc>
          <w:tcPr>
            <w:tcW w:w="98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t>2.</w:t>
            </w:r>
          </w:p>
        </w:tc>
        <w:tc>
          <w:tcPr>
            <w:tcW w:w="24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r>
          </w:p>
        </w:tc>
        <w:tc>
          <w:tcPr>
            <w:tcW w:w="24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r>
          </w:p>
        </w:tc>
        <w:tc>
          <w:tcPr>
            <w:tcW w:w="85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184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155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r>
      <w:tr>
        <w:trPr>
          <w:trHeight w:val="255" w:hRule="atLeast"/>
        </w:trPr>
        <w:tc>
          <w:tcPr>
            <w:tcW w:w="9216"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ind w:firstLine="567"/>
              <w:jc w:val="right"/>
              <w:rPr>
                <w:b/>
                <w:sz w:val="22"/>
                <w:szCs w:val="24"/>
              </w:rPr>
            </w:pPr>
            <w:r>
              <w:rPr>
                <w:b/>
                <w:sz w:val="22"/>
                <w:szCs w:val="24"/>
              </w:rPr>
              <w:t xml:space="preserve">Итого в руб., с учетом НДС </w:t>
            </w:r>
          </w:p>
        </w:tc>
        <w:tc>
          <w:tcPr>
            <w:tcW w:w="155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b/>
                <w:sz w:val="22"/>
                <w:szCs w:val="24"/>
              </w:rPr>
            </w:pPr>
            <w:r>
              <w:rPr>
                <w:b/>
                <w:sz w:val="22"/>
                <w:szCs w:val="24"/>
              </w:rPr>
            </w:r>
          </w:p>
        </w:tc>
      </w:tr>
    </w:tbl>
    <w:p>
      <w:pPr>
        <w:pStyle w:val="BodyText"/>
        <w:ind w:firstLine="567"/>
        <w:rPr>
          <w:b/>
          <w:bCs/>
          <w:i/>
          <w:i/>
          <w:sz w:val="24"/>
          <w:szCs w:val="24"/>
        </w:rPr>
      </w:pPr>
      <w:r>
        <w:rPr>
          <w:b/>
          <w:bCs/>
          <w:i/>
          <w:sz w:val="24"/>
          <w:szCs w:val="24"/>
        </w:rPr>
      </w:r>
    </w:p>
    <w:p>
      <w:pPr>
        <w:pStyle w:val="BodyText"/>
        <w:ind w:firstLine="567"/>
        <w:rPr>
          <w:b/>
          <w:bCs/>
          <w:i/>
          <w:i/>
          <w:sz w:val="24"/>
          <w:szCs w:val="24"/>
        </w:rPr>
      </w:pPr>
      <w:r>
        <w:rPr>
          <w:b/>
          <w:bCs/>
          <w:i/>
          <w:sz w:val="24"/>
          <w:szCs w:val="24"/>
        </w:rPr>
        <w:t>Условия поставки:</w:t>
      </w:r>
    </w:p>
    <w:p>
      <w:pPr>
        <w:pStyle w:val="Normal"/>
        <w:widowControl w:val="false"/>
        <w:numPr>
          <w:ilvl w:val="0"/>
          <w:numId w:val="16"/>
        </w:numPr>
        <w:ind w:left="142" w:firstLine="142"/>
        <w:jc w:val="both"/>
        <w:rPr>
          <w:bCs/>
          <w:sz w:val="24"/>
          <w:szCs w:val="24"/>
        </w:rPr>
      </w:pPr>
      <w:r>
        <w:rPr>
          <w:bCs/>
          <w:sz w:val="24"/>
          <w:szCs w:val="24"/>
        </w:rPr>
        <w:t>Общая сумма Спецификации составляет ___________________________, в том числе НДС (22 %) в размере ____________________.</w:t>
      </w:r>
    </w:p>
    <w:p>
      <w:pPr>
        <w:pStyle w:val="Normal"/>
        <w:widowControl w:val="false"/>
        <w:numPr>
          <w:ilvl w:val="0"/>
          <w:numId w:val="17"/>
        </w:numPr>
        <w:tabs>
          <w:tab w:val="left" w:pos="720" w:leader="none"/>
        </w:tabs>
        <w:ind w:left="0" w:firstLine="284"/>
        <w:jc w:val="both"/>
        <w:rPr>
          <w:sz w:val="24"/>
          <w:szCs w:val="24"/>
        </w:rPr>
      </w:pPr>
      <w:r>
        <w:rPr>
          <w:sz w:val="24"/>
          <w:szCs w:val="24"/>
        </w:rPr>
        <w:t>Срок поставки Продукции: Не позднее ____________________</w:t>
      </w:r>
    </w:p>
    <w:p>
      <w:pPr>
        <w:pStyle w:val="Normal"/>
        <w:widowControl w:val="false"/>
        <w:numPr>
          <w:ilvl w:val="0"/>
          <w:numId w:val="18"/>
        </w:numPr>
        <w:tabs>
          <w:tab w:val="left" w:pos="720" w:leader="none"/>
        </w:tabs>
        <w:ind w:left="0" w:firstLine="284"/>
        <w:jc w:val="both"/>
        <w:rPr>
          <w:sz w:val="24"/>
          <w:szCs w:val="24"/>
        </w:rPr>
      </w:pPr>
      <w:r>
        <w:rPr>
          <w:sz w:val="24"/>
          <w:szCs w:val="24"/>
        </w:rPr>
        <w:t>Иные условия, предусмотренные техническими требованиями.</w:t>
      </w:r>
    </w:p>
    <w:p>
      <w:pPr>
        <w:pStyle w:val="Normal"/>
        <w:jc w:val="both"/>
        <w:rPr>
          <w:color w:val="1F497D"/>
          <w:sz w:val="24"/>
          <w:szCs w:val="24"/>
        </w:rPr>
      </w:pPr>
      <w:r>
        <w:rPr>
          <w:color w:val="1F497D"/>
          <w:sz w:val="24"/>
          <w:szCs w:val="24"/>
        </w:rPr>
      </w:r>
    </w:p>
    <w:p>
      <w:pPr>
        <w:pStyle w:val="Normal"/>
        <w:jc w:val="both"/>
        <w:rPr>
          <w:i/>
          <w:i/>
          <w:sz w:val="24"/>
          <w:szCs w:val="24"/>
        </w:rPr>
      </w:pPr>
      <w:r>
        <w:rPr>
          <w:i/>
          <w:sz w:val="24"/>
          <w:szCs w:val="24"/>
        </w:rPr>
      </w:r>
    </w:p>
    <w:p>
      <w:pPr>
        <w:pStyle w:val="Normal"/>
        <w:jc w:val="both"/>
        <w:rPr>
          <w:sz w:val="24"/>
          <w:szCs w:val="24"/>
        </w:rPr>
      </w:pPr>
      <w:r>
        <w:rPr>
          <w:sz w:val="24"/>
          <w:szCs w:val="24"/>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9"/>
              <w:widowControl w:val="false"/>
              <w:spacing w:lineRule="auto" w:line="240" w:before="0" w:after="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9"/>
              <w:widowControl w:val="false"/>
              <w:spacing w:lineRule="auto" w:line="240" w:before="0" w:after="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9"/>
              <w:widowControl w:val="false"/>
              <w:spacing w:lineRule="auto" w:line="240" w:before="0" w:after="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9"/>
              <w:widowControl w:val="false"/>
              <w:spacing w:lineRule="auto" w:line="240" w:before="0" w:after="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9"/>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_______________ / /</w:t>
            </w:r>
          </w:p>
          <w:p>
            <w:pPr>
              <w:pStyle w:val="Style19"/>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9"/>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eastAsia="ru-RU"/>
              </w:rPr>
              <w:t xml:space="preserve"> </w:t>
            </w:r>
            <w:r>
              <w:rPr>
                <w:rFonts w:ascii="Times New Roman" w:hAnsi="Times New Roman"/>
                <w:sz w:val="24"/>
                <w:szCs w:val="24"/>
                <w:lang w:val="ru-RU"/>
              </w:rPr>
              <w:t>/</w:t>
            </w:r>
          </w:p>
          <w:p>
            <w:pPr>
              <w:pStyle w:val="Style19"/>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rPr>
          <w:b/>
          <w:bCs/>
          <w:sz w:val="24"/>
          <w:szCs w:val="24"/>
          <w:highlight w:val="yellow"/>
        </w:rPr>
      </w:pPr>
      <w:r>
        <w:rPr>
          <w:b/>
          <w:bCs/>
          <w:sz w:val="24"/>
          <w:szCs w:val="24"/>
          <w:highlight w:val="yellow"/>
        </w:rPr>
      </w:r>
      <w:r>
        <w:br w:type="page"/>
      </w:r>
    </w:p>
    <w:p>
      <w:pPr>
        <w:pStyle w:val="BodyText"/>
        <w:numPr>
          <w:ilvl w:val="0"/>
          <w:numId w:val="0"/>
        </w:numPr>
        <w:ind w:firstLine="567"/>
        <w:jc w:val="right"/>
        <w:outlineLvl w:val="0"/>
        <w:rPr>
          <w:b/>
          <w:bCs/>
          <w:sz w:val="24"/>
          <w:szCs w:val="24"/>
          <w:lang w:val="en-US"/>
        </w:rPr>
      </w:pPr>
      <w:r>
        <w:rPr>
          <w:b/>
          <w:bCs/>
          <w:sz w:val="24"/>
          <w:szCs w:val="24"/>
        </w:rPr>
        <w:t xml:space="preserve">Приложение № </w:t>
      </w:r>
      <w:r>
        <w:rPr>
          <w:b/>
          <w:bCs/>
          <w:sz w:val="24"/>
          <w:szCs w:val="24"/>
          <w:lang w:val="en-US"/>
        </w:rPr>
        <w:t>2</w:t>
      </w:r>
    </w:p>
    <w:p>
      <w:pPr>
        <w:pStyle w:val="BodyText"/>
        <w:ind w:firstLine="567"/>
        <w:jc w:val="right"/>
        <w:rPr>
          <w:bCs/>
          <w:sz w:val="24"/>
          <w:szCs w:val="24"/>
        </w:rPr>
      </w:pPr>
      <w:r>
        <w:rPr>
          <w:bCs/>
          <w:sz w:val="24"/>
          <w:szCs w:val="24"/>
        </w:rPr>
        <w:t xml:space="preserve">к договору поставки </w:t>
      </w:r>
    </w:p>
    <w:p>
      <w:pPr>
        <w:pStyle w:val="BodyText"/>
        <w:ind w:firstLine="567"/>
        <w:jc w:val="right"/>
        <w:rPr>
          <w:bCs/>
          <w:sz w:val="24"/>
          <w:szCs w:val="24"/>
        </w:rPr>
      </w:pPr>
      <w:r>
        <w:rPr>
          <w:bCs/>
          <w:sz w:val="24"/>
          <w:szCs w:val="24"/>
        </w:rPr>
        <w:t xml:space="preserve">№ </w:t>
      </w:r>
      <w:r>
        <w:rPr>
          <w:bCs/>
          <w:sz w:val="24"/>
          <w:szCs w:val="24"/>
        </w:rPr>
        <w:t>_____от «___» _________ ______ г.</w:t>
      </w:r>
    </w:p>
    <w:p>
      <w:pPr>
        <w:pStyle w:val="BodyText"/>
        <w:ind w:firstLine="567"/>
        <w:jc w:val="right"/>
        <w:rPr>
          <w:bCs/>
          <w:sz w:val="24"/>
          <w:szCs w:val="24"/>
        </w:rPr>
      </w:pPr>
      <w:r>
        <w:rPr>
          <w:bCs/>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t>Технические требования на поставку МТР</w:t>
      </w:r>
    </w:p>
    <w:p>
      <w:pPr>
        <w:pStyle w:val="Normal"/>
        <w:spacing w:lineRule="auto" w:line="264"/>
        <w:jc w:val="center"/>
        <w:rPr>
          <w:b/>
          <w:sz w:val="24"/>
          <w:szCs w:val="24"/>
        </w:rPr>
      </w:pPr>
      <w:r>
        <w:rPr>
          <w:b/>
          <w:sz w:val="24"/>
          <w:szCs w:val="24"/>
        </w:rPr>
      </w:r>
    </w:p>
    <w:p>
      <w:pPr>
        <w:pStyle w:val="Normal"/>
        <w:spacing w:lineRule="auto" w:line="264"/>
        <w:jc w:val="center"/>
        <w:rPr>
          <w:sz w:val="24"/>
          <w:szCs w:val="24"/>
        </w:rPr>
      </w:pPr>
      <w:r>
        <w:rPr>
          <w:sz w:val="24"/>
          <w:szCs w:val="24"/>
        </w:rPr>
        <w:t xml:space="preserve">ОКПД 2: </w:t>
      </w:r>
      <w:r>
        <w:rPr>
          <w:sz w:val="24"/>
          <w:szCs w:val="24"/>
          <w:lang w:val="en-US"/>
        </w:rPr>
        <w:t>____________________________</w:t>
      </w:r>
      <w:r>
        <w:rPr>
          <w:sz w:val="24"/>
          <w:szCs w:val="24"/>
        </w:rPr>
        <w:t xml:space="preserve"> </w:t>
      </w:r>
    </w:p>
    <w:p>
      <w:pPr>
        <w:pStyle w:val="Normal"/>
        <w:spacing w:lineRule="auto" w:line="264"/>
        <w:jc w:val="center"/>
        <w:rPr>
          <w:sz w:val="24"/>
          <w:szCs w:val="24"/>
        </w:rPr>
      </w:pPr>
      <w:r>
        <w:rPr>
          <w:sz w:val="24"/>
          <w:szCs w:val="24"/>
        </w:rPr>
      </w:r>
    </w:p>
    <w:p>
      <w:pPr>
        <w:pStyle w:val="Normal"/>
        <w:spacing w:lineRule="auto" w:line="264"/>
        <w:jc w:val="center"/>
        <w:rPr>
          <w:sz w:val="24"/>
          <w:szCs w:val="24"/>
          <w:shd w:fill="FFFFFF" w:val="clear"/>
        </w:rPr>
      </w:pPr>
      <w:r>
        <w:rPr>
          <w:bCs/>
          <w:sz w:val="24"/>
          <w:szCs w:val="24"/>
          <w:shd w:fill="FFFFFF" w:val="clear"/>
          <w:lang w:eastAsia="ar-SA"/>
        </w:rPr>
        <w:t>Лот №</w:t>
      </w:r>
    </w:p>
    <w:p>
      <w:pPr>
        <w:pStyle w:val="Normal"/>
        <w:spacing w:lineRule="auto" w:line="264"/>
        <w:jc w:val="center"/>
        <w:rPr>
          <w:sz w:val="24"/>
          <w:szCs w:val="24"/>
          <w:shd w:fill="FFFFFF" w:val="clear"/>
        </w:rPr>
      </w:pPr>
      <w:r>
        <w:rPr>
          <w:sz w:val="24"/>
          <w:szCs w:val="24"/>
          <w:shd w:fill="FFFFFF" w:val="clear"/>
        </w:rPr>
      </w:r>
    </w:p>
    <w:p>
      <w:pPr>
        <w:pStyle w:val="Normal"/>
        <w:spacing w:lineRule="auto" w:line="264"/>
        <w:jc w:val="center"/>
        <w:rPr>
          <w:b/>
          <w:sz w:val="24"/>
          <w:szCs w:val="24"/>
        </w:rPr>
      </w:pPr>
      <w:r>
        <w:rPr>
          <w:b/>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jc w:val="right"/>
        <w:outlineLvl w:val="0"/>
        <w:rPr/>
      </w:pPr>
      <w:r>
        <w:rPr/>
      </w:r>
    </w:p>
    <w:sectPr>
      <w:headerReference w:type="default" r:id="rId9"/>
      <w:headerReference w:type="first" r:id="rId10"/>
      <w:footerReference w:type="even" r:id="rId11"/>
      <w:footerReference w:type="default" r:id="rId12"/>
      <w:footerReference w:type="first" r:id="rId13"/>
      <w:footnotePr>
        <w:numFmt w:val="decimal"/>
      </w:footnotePr>
      <w:type w:val="nextPage"/>
      <w:pgSz w:w="11906" w:h="16838"/>
      <w:pgMar w:left="1134" w:right="1416" w:gutter="0" w:header="720" w:top="1134" w:footer="720" w:bottom="1134"/>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Times New Roman">
    <w:altName w:val="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7">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15</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15</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7">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15</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15</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6">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6">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928"/>
        </w:tabs>
        <w:ind w:left="928" w:hanging="360"/>
      </w:pPr>
      <w:rPr>
        <w:rFonts w:ascii="Symbol" w:hAnsi="Symbol" w:cs="Symbol" w:hint="default"/>
      </w:rPr>
    </w:lvl>
    <w:lvl w:ilvl="1">
      <w:start w:val="1"/>
      <w:numFmt w:val="bullet"/>
      <w:lvlText w:val="o"/>
      <w:lvlJc w:val="left"/>
      <w:pPr>
        <w:tabs>
          <w:tab w:val="num" w:pos="1015"/>
        </w:tabs>
        <w:ind w:left="1015" w:hanging="360"/>
      </w:pPr>
      <w:rPr>
        <w:rFonts w:ascii="Courier New" w:hAnsi="Courier New" w:cs="Courier New" w:hint="default"/>
      </w:rPr>
    </w:lvl>
    <w:lvl w:ilvl="2">
      <w:start w:val="1"/>
      <w:numFmt w:val="bullet"/>
      <w:lvlText w:val=""/>
      <w:lvlJc w:val="left"/>
      <w:pPr>
        <w:tabs>
          <w:tab w:val="num" w:pos="1735"/>
        </w:tabs>
        <w:ind w:left="1735" w:hanging="360"/>
      </w:pPr>
      <w:rPr>
        <w:rFonts w:ascii="Wingdings" w:hAnsi="Wingdings" w:cs="Wingdings" w:hint="default"/>
      </w:rPr>
    </w:lvl>
    <w:lvl w:ilvl="3">
      <w:start w:val="1"/>
      <w:numFmt w:val="bullet"/>
      <w:lvlText w:val=""/>
      <w:lvlJc w:val="left"/>
      <w:pPr>
        <w:tabs>
          <w:tab w:val="num" w:pos="2455"/>
        </w:tabs>
        <w:ind w:left="2455" w:hanging="360"/>
      </w:pPr>
      <w:rPr>
        <w:rFonts w:ascii="Symbol" w:hAnsi="Symbol" w:cs="Symbol" w:hint="default"/>
      </w:rPr>
    </w:lvl>
    <w:lvl w:ilvl="4">
      <w:start w:val="1"/>
      <w:numFmt w:val="bullet"/>
      <w:lvlText w:val="o"/>
      <w:lvlJc w:val="left"/>
      <w:pPr>
        <w:tabs>
          <w:tab w:val="num" w:pos="3175"/>
        </w:tabs>
        <w:ind w:left="3175" w:hanging="360"/>
      </w:pPr>
      <w:rPr>
        <w:rFonts w:ascii="Courier New" w:hAnsi="Courier New" w:cs="Courier New" w:hint="default"/>
      </w:rPr>
    </w:lvl>
    <w:lvl w:ilvl="5">
      <w:start w:val="1"/>
      <w:numFmt w:val="bullet"/>
      <w:lvlText w:val=""/>
      <w:lvlJc w:val="left"/>
      <w:pPr>
        <w:tabs>
          <w:tab w:val="num" w:pos="3895"/>
        </w:tabs>
        <w:ind w:left="3895" w:hanging="360"/>
      </w:pPr>
      <w:rPr>
        <w:rFonts w:ascii="Wingdings" w:hAnsi="Wingdings" w:cs="Wingdings" w:hint="default"/>
      </w:rPr>
    </w:lvl>
    <w:lvl w:ilvl="6">
      <w:start w:val="1"/>
      <w:numFmt w:val="bullet"/>
      <w:lvlText w:val=""/>
      <w:lvlJc w:val="left"/>
      <w:pPr>
        <w:tabs>
          <w:tab w:val="num" w:pos="4615"/>
        </w:tabs>
        <w:ind w:left="4615" w:hanging="360"/>
      </w:pPr>
      <w:rPr>
        <w:rFonts w:ascii="Symbol" w:hAnsi="Symbol" w:cs="Symbol" w:hint="default"/>
      </w:rPr>
    </w:lvl>
    <w:lvl w:ilvl="7">
      <w:start w:val="1"/>
      <w:numFmt w:val="bullet"/>
      <w:lvlText w:val="o"/>
      <w:lvlJc w:val="left"/>
      <w:pPr>
        <w:tabs>
          <w:tab w:val="num" w:pos="5335"/>
        </w:tabs>
        <w:ind w:left="5335" w:hanging="360"/>
      </w:pPr>
      <w:rPr>
        <w:rFonts w:ascii="Courier New" w:hAnsi="Courier New" w:cs="Courier New" w:hint="default"/>
      </w:rPr>
    </w:lvl>
    <w:lvl w:ilvl="8">
      <w:start w:val="1"/>
      <w:numFmt w:val="bullet"/>
      <w:lvlText w:val=""/>
      <w:lvlJc w:val="left"/>
      <w:pPr>
        <w:tabs>
          <w:tab w:val="num" w:pos="6055"/>
        </w:tabs>
        <w:ind w:left="6055"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000"/>
        </w:tabs>
        <w:ind w:left="1000"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3">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2"/>
    <w:lvlOverride w:ilvl="0">
      <w:startOverride w:val="1"/>
    </w:lvlOverride>
  </w:num>
  <w:num w:numId="17">
    <w:abstractNumId w:val="12"/>
  </w:num>
  <w:num w:numId="18">
    <w:abstractNumId w:val="12"/>
  </w:num>
</w:numbering>
</file>

<file path=word/settings.xml><?xml version="1.0" encoding="utf-8"?>
<w:settings xmlns:w="http://schemas.openxmlformats.org/wordprocessingml/2006/main">
  <w:zoom w:percent="99"/>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Style13" w:customStyle="1">
    <w:name w:val="Текст концевой сноски Знак"/>
    <w:basedOn w:val="DefaultParagraphFont"/>
    <w:semiHidden/>
    <w:qFormat/>
    <w:rsid w:val="0062597c"/>
    <w:rPr/>
  </w:style>
  <w:style w:type="character" w:styleId="Style14" w:customStyle="1">
    <w:name w:val="Символ концевой сноски"/>
    <w:semiHidden/>
    <w:unhideWhenUsed/>
    <w:qFormat/>
    <w:rsid w:val="0062597c"/>
    <w:rPr>
      <w:vertAlign w:val="superscript"/>
    </w:rPr>
  </w:style>
  <w:style w:type="character" w:styleId="EndnoteReference">
    <w:name w:val="Endnote Reference"/>
    <w:rPr>
      <w:vertAlign w:val="superscript"/>
    </w:rPr>
  </w:style>
  <w:style w:type="character" w:styleId="1" w:customStyle="1">
    <w:name w:val="Знак сноски1"/>
    <w:qFormat/>
    <w:rsid w:val="00106abe"/>
    <w:rPr>
      <w:vertAlign w:val="superscript"/>
    </w:rPr>
  </w:style>
  <w:style w:type="paragraph" w:styleId="Style15">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7"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8"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9"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0"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1"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Обычный1"/>
    <w:qFormat/>
    <w:rsid w:val="007f3448"/>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EndnoteText">
    <w:name w:val="Endnote Text"/>
    <w:basedOn w:val="Normal"/>
    <w:link w:val="Style13"/>
    <w:semiHidden/>
    <w:unhideWhenUsed/>
    <w:rsid w:val="0062597c"/>
    <w:pPr/>
    <w:rPr/>
  </w:style>
  <w:style w:type="paragraph" w:styleId="Default" w:customStyle="1">
    <w:name w:val="Default"/>
    <w:qFormat/>
    <w:rsid w:val="00315fb4"/>
    <w:pPr>
      <w:widowControl/>
      <w:suppressAutoHyphens w:val="true"/>
      <w:bidi w:val="0"/>
      <w:spacing w:before="0" w:after="0"/>
      <w:jc w:val="left"/>
    </w:pPr>
    <w:rPr>
      <w:rFonts w:eastAsia="Calibri" w:ascii="Times New Roman" w:hAnsi="Times New Roman" w:cs="Times New Roman"/>
      <w:color w:val="000000"/>
      <w:kern w:val="0"/>
      <w:sz w:val="24"/>
      <w:szCs w:val="24"/>
      <w:lang w:eastAsia="en-US" w:val="ru-RU" w:bidi="ar-SA"/>
    </w:rPr>
  </w:style>
  <w:style w:type="paragraph" w:styleId="Style22"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E00BB-1570-4066-BB83-8A9FCC793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Application>AlterOffice/3.4.0.9$Linux_X86_64 LibreOffice_project/b8daf9e823b1a5463a2f48435ddc2e8696e7d4fc</Application>
  <AppVersion>15.0000</AppVersion>
  <Pages>17</Pages>
  <Words>6136</Words>
  <Characters>43322</Characters>
  <CharactersWithSpaces>49147</CharactersWithSpaces>
  <Paragraphs>248</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2025-09-09T08:07:00Z</dcterms:created>
  <dc:creator>Света &amp; Алла (Twix)</dc:creator>
  <dc:description/>
  <dc:language>ru-RU</dc:language>
  <cp:lastModifiedBy>duguzhevem@corp.gidroogk.com</cp:lastModifiedBy>
  <cp:lastPrinted>2017-11-07T14:45:00Z</cp:lastPrinted>
  <dcterms:modified xsi:type="dcterms:W3CDTF">2026-08-27T10:09:58Z</dcterms:modified>
  <cp:revision>54</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