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  <w:bookmarkStart w:id="0" w:name="_Toc75446582"/>
      <w:bookmarkStart w:id="1" w:name="_Toc75446582"/>
      <w:bookmarkEnd w:id="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 </w:t>
      </w:r>
      <w:r>
        <w:rPr>
          <w:rFonts w:eastAsia="Times New Roman" w:cs="Times New Roman"/>
          <w:bCs/>
          <w:color w:val="000000"/>
          <w:spacing w:val="-6"/>
          <w:szCs w:val="24"/>
        </w:rPr>
        <w:t>Поставка термошкафов для Якутской ГРЭС-2</w:t>
      </w:r>
    </w:p>
    <w:p>
      <w:pPr>
        <w:sectPr>
          <w:type w:val="nextPage"/>
          <w:pgSz w:w="11906" w:h="16838"/>
          <w:pgMar w:left="1276" w:right="707" w:gutter="0" w:header="0" w:top="42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Cs w:val="24"/>
        </w:rPr>
      </w:pPr>
      <w:r>
        <w:rPr>
          <w:szCs w:val="24"/>
        </w:rPr>
        <w:t>(Лот № Периметральные шкафы)</w:t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/>
      </w:pPr>
      <w:r>
        <w:rPr>
          <w:rFonts w:eastAsia="Times New Roman" w:cs="Times New Roman"/>
          <w:bCs/>
          <w:color w:val="000000"/>
          <w:spacing w:val="-6"/>
          <w:szCs w:val="24"/>
        </w:rPr>
        <w:t>Поставка термошкафов для Якутской ГРЭС</w:t>
      </w:r>
      <w:r>
        <w:rPr>
          <w:szCs w:val="24"/>
        </w:rPr>
        <w:t xml:space="preserve"> </w:t>
      </w:r>
      <w:r>
        <w:rPr>
          <w:rFonts w:cs="Times New Roman"/>
          <w:szCs w:val="24"/>
        </w:rPr>
        <w:t>(далее – продукция)</w:t>
      </w:r>
      <w:bookmarkStart w:id="4" w:name="_Toc75446569"/>
      <w:r>
        <w:rPr/>
        <w:t>.</w:t>
      </w:r>
    </w:p>
    <w:p>
      <w:pPr>
        <w:pStyle w:val="Normal"/>
        <w:ind w:firstLine="419"/>
        <w:rPr/>
      </w:pPr>
      <w:r>
        <w:rPr/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BodyText21"/>
        <w:rPr>
          <w:bCs/>
          <w:szCs w:val="24"/>
          <w:shd w:fill="FFFF99" w:val="clear"/>
        </w:rPr>
      </w:pPr>
      <w:r>
        <w:rPr>
          <w:rStyle w:val="Style"/>
          <w:b w:val="false"/>
          <w:bCs/>
          <w:i w:val="false"/>
          <w:color w:val="000000"/>
          <w:szCs w:val="24"/>
          <w:shd w:fill="FFFFFF" w:val="clear"/>
        </w:rPr>
        <w:t>Исполнение доходного договора:</w:t>
      </w:r>
    </w:p>
    <w:p>
      <w:pPr>
        <w:pStyle w:val="BodyText21"/>
        <w:rPr>
          <w:bCs/>
          <w:szCs w:val="24"/>
          <w:shd w:fill="FFFF99" w:val="clear"/>
        </w:rPr>
      </w:pPr>
      <w:r>
        <w:rPr>
          <w:color w:val="000000"/>
          <w:szCs w:val="24"/>
          <w:shd w:fill="FFFFFF" w:val="clear"/>
        </w:rPr>
        <w:t>№</w:t>
      </w:r>
      <w:r>
        <w:rPr>
          <w:color w:val="000000"/>
          <w:szCs w:val="24"/>
          <w:shd w:fill="FFFFFF" w:val="clear"/>
        </w:rPr>
        <w:t>1530-37-2024 от 24.07.24 «Выполнение работ по созданию инженерно- технических средств охраны на объекте Якутская ГРЭС-2 (2-я очередь) в рамках реализации инвестиционного проекта «Строительство Якутской ГРЭС-2 (2-я очередь)</w:t>
      </w:r>
      <w:r>
        <w:rPr>
          <w:rStyle w:val="Style"/>
          <w:b w:val="false"/>
          <w:i w:val="false"/>
          <w:iCs/>
          <w:color w:val="000000"/>
          <w:szCs w:val="24"/>
          <w:shd w:fill="FFFFFF" w:val="clear"/>
        </w:rPr>
        <w:t>»</w:t>
      </w:r>
      <w:r>
        <w:rPr>
          <w:rStyle w:val="Style"/>
          <w:b w:val="false"/>
          <w:i w:val="false"/>
          <w:color w:val="000000"/>
          <w:szCs w:val="24"/>
          <w:shd w:fill="auto" w:val="clear"/>
        </w:rPr>
        <w:t>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hanging="0"/>
        <w:rPr>
          <w:caps/>
          <w:lang w:val="ru-RU"/>
        </w:rPr>
      </w:pPr>
      <w:bookmarkStart w:id="6" w:name="_Toc75446573"/>
      <w:bookmarkStart w:id="7" w:name="_Toc51339693"/>
      <w:r>
        <w:rPr/>
        <w:t>Требования к продукции</w:t>
      </w:r>
      <w:bookmarkEnd w:id="6"/>
      <w:bookmarkEnd w:id="7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1"/>
        </w:numPr>
        <w:ind w:left="0" w:hanging="0"/>
        <w:rPr/>
      </w:pPr>
      <w:bookmarkStart w:id="9" w:name="_Toc75446575"/>
      <w:r>
        <w:rPr/>
        <w:t>Перечень и объем закупаемой продукции</w:t>
      </w:r>
      <w:bookmarkEnd w:id="9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10" w:name="_Toc75446578"/>
      <w:bookmarkStart w:id="11" w:name="_Toc75446576"/>
      <w:bookmarkStart w:id="12" w:name="_Toc51339695"/>
      <w:r>
        <w:rPr>
          <w:szCs w:val="24"/>
        </w:rPr>
        <w:t xml:space="preserve">Таблица 2.1 Перечень </w:t>
      </w:r>
      <w:bookmarkEnd w:id="12"/>
      <w:r>
        <w:rPr>
          <w:szCs w:val="24"/>
        </w:rPr>
        <w:t>и объем закупаемой продукци</w:t>
      </w:r>
      <w:bookmarkEnd w:id="11"/>
      <w:r>
        <w:rPr>
          <w:szCs w:val="24"/>
        </w:rPr>
        <w:t>и</w:t>
      </w:r>
    </w:p>
    <w:tbl>
      <w:tblPr>
        <w:tblStyle w:val="afffff0"/>
        <w:tblW w:w="95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6242"/>
        <w:gridCol w:w="1252"/>
        <w:gridCol w:w="1351"/>
      </w:tblGrid>
      <w:tr>
        <w:trPr>
          <w:trHeight w:val="567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Единица измерения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2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952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Партия 1. </w:t>
            </w:r>
          </w:p>
        </w:tc>
      </w:tr>
      <w:tr>
        <w:trPr/>
        <w:tc>
          <w:tcPr>
            <w:tcW w:w="952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Шкафы СОТ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00CYP16GH006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00CYP16GH007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00CYP16GH008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00CYP16GH009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00CYP16GH0010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00CYP16GH0016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00CYP16GH0017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00CYP16GH0018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339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00CYP16GH0019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339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BE4D5" w:themeFill="accent2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00CYP16GH0020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00CYT03GH001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00CYT03GH002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00CYT03GH003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00CYP03GH001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339" w:hRule="atLeast"/>
        </w:trPr>
        <w:tc>
          <w:tcPr>
            <w:tcW w:w="9520" w:type="dxa"/>
            <w:gridSpan w:val="4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Партия 2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00CYP02GH006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00CYP02GH007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00CYP02GH008</w:t>
            </w:r>
          </w:p>
        </w:tc>
        <w:tc>
          <w:tcPr>
            <w:tcW w:w="1252" w:type="dxa"/>
            <w:tcBorders/>
            <w:vAlign w:val="center"/>
          </w:tcPr>
          <w:tbl>
            <w:tblPr>
              <w:tblStyle w:val="afffff0"/>
              <w:tblW w:w="10872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79"/>
              <w:gridCol w:w="4940"/>
              <w:gridCol w:w="1353"/>
            </w:tblGrid>
            <w:tr>
              <w:trPr>
                <w:trHeight w:val="20" w:hRule="atLeast"/>
              </w:trPr>
              <w:tc>
                <w:tcPr>
                  <w:tcW w:w="4579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Style43"/>
                    <w:widowControl w:val="false"/>
                    <w:suppressAutoHyphens w:val="true"/>
                    <w:spacing w:before="0" w:after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" w:ascii="Calibri" w:hAnsi="Calibri"/>
                      <w:color w:val="000000"/>
                      <w:kern w:val="0"/>
                      <w:sz w:val="22"/>
                      <w:szCs w:val="22"/>
                      <w:lang w:val="ru-RU" w:eastAsia="en-US" w:bidi="ar-SA"/>
                    </w:rPr>
                    <w:t>компл.</w:t>
                  </w:r>
                </w:p>
              </w:tc>
              <w:tc>
                <w:tcPr>
                  <w:tcW w:w="4940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Style43"/>
                    <w:widowControl w:val="false"/>
                    <w:suppressAutoHyphens w:val="true"/>
                    <w:spacing w:before="0" w:after="0"/>
                    <w:ind w:right="3171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" w:ascii="Calibri" w:hAnsi="Calibri"/>
                      <w:color w:val="000000"/>
                      <w:kern w:val="0"/>
                      <w:sz w:val="22"/>
                      <w:szCs w:val="22"/>
                      <w:lang w:val="ru-RU" w:eastAsia="en-US" w:bidi="ar-SA"/>
                    </w:rPr>
                    <w:t>компл.</w:t>
                  </w:r>
                </w:p>
              </w:tc>
              <w:tc>
                <w:tcPr>
                  <w:tcW w:w="1353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color w:val="000000"/>
                    </w:rPr>
                  </w:pPr>
                  <w:r>
                    <w:rPr>
                      <w:rFonts w:eastAsia="Calibri" w:cs=""/>
                      <w:color w:val="000000"/>
                      <w:kern w:val="0"/>
                      <w:szCs w:val="22"/>
                      <w:lang w:val="ru-RU" w:eastAsia="en-US" w:bidi="ar-SA"/>
                    </w:rPr>
                    <w:t>1</w:t>
                  </w:r>
                </w:p>
              </w:tc>
            </w:tr>
          </w:tbl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00CYP02GH009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00CYP02GH0010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00CYP02GH0011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DEEAF6" w:themeFill="accent1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00CYP02GH0012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00CYP02GH102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00CYP02GH201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00CYP02GH202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00CYP02GH203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00CYP02GH301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00CYP02GH302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00CYP02GH303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00CYP02GH401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00CYP02GH402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00CYP02GH403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00CYP02GH404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E2EFD9" w:themeFill="accent6" w:themeFillTint="33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00CYP02GH501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00CYT02GH006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00CYT02GH007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00CYT02GH008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00CYT02GH009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00CYT02GH010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00CYT02GH011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00CYT02GH012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00CYT02GH013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9520" w:type="dxa"/>
            <w:gridSpan w:val="4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Партия 3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00CYP05GH001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00CYP06GH001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00CYP08GH001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00CYP12GH001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00CYP04GH001;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00CYP04GH002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00CYP15GH001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00CYP11GH001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00CYP07GH001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00CYP07GH002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00CYP09GH001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shd w:color="auto" w:fill="FFFFFF" w:themeFill="background1" w:val="clear"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00CYP10GH001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00CYP06GH101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00CYP06GH501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00CYP12GH101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00CYP04GH101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00CYP11GH201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00CYP07GH101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00CYP03GH101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00CYT05GH001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00CYT06GH001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00CYT06GH002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00CYT06GH003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00CYT06GH004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00CYT06GH005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00CYT08GH001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00CYT12GH001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00CYT04GH101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00CYT04GH201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00CYT15GH001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00CYT15GH002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00CYT11GH001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00CYT07GH001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00CYT13GH001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Термошкаф 00CYT14GH001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9520" w:type="dxa"/>
            <w:gridSpan w:val="4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Дополнительное оборудование</w:t>
            </w:r>
          </w:p>
        </w:tc>
      </w:tr>
      <w:tr>
        <w:trPr>
          <w:trHeight w:val="2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Основание под термошкаф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компл.</w:t>
            </w:r>
          </w:p>
        </w:tc>
        <w:tc>
          <w:tcPr>
            <w:tcW w:w="1351" w:type="dxa"/>
            <w:tcBorders/>
            <w:vAlign w:val="center"/>
          </w:tcPr>
          <w:p>
            <w:pPr>
              <w:pStyle w:val="Style43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97</w:t>
            </w:r>
          </w:p>
        </w:tc>
      </w:tr>
    </w:tbl>
    <w:p>
      <w:pPr>
        <w:pStyle w:val="Heading3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1"/>
        </w:numPr>
        <w:ind w:left="0" w:hanging="0"/>
        <w:rPr/>
      </w:pPr>
      <w:bookmarkStart w:id="13" w:name="_Toc51339696"/>
      <w:r>
        <w:rPr/>
        <w:t xml:space="preserve">Требования </w:t>
      </w:r>
      <w:bookmarkEnd w:id="13"/>
      <w:r>
        <w:rPr/>
        <w:t xml:space="preserve">к срокам поставки продукции </w:t>
      </w:r>
      <w:bookmarkEnd w:id="10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rFonts w:eastAsia="Calibri"/>
          <w:szCs w:val="24"/>
          <w:lang w:eastAsia="x-none"/>
        </w:rPr>
      </w:pPr>
      <w:bookmarkStart w:id="14" w:name="_Toc75446579"/>
      <w:bookmarkStart w:id="15" w:name="_Toc51339697"/>
      <w:bookmarkStart w:id="16" w:name="_Toc50125127"/>
      <w:r>
        <w:rPr>
          <w:rFonts w:eastAsia="Calibri"/>
          <w:szCs w:val="24"/>
          <w:lang w:eastAsia="x-none"/>
        </w:rPr>
        <w:t xml:space="preserve">Таблица 2.2 </w:t>
      </w:r>
      <w:bookmarkStart w:id="17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5"/>
      <w:bookmarkEnd w:id="16"/>
      <w:bookmarkEnd w:id="17"/>
      <w:r>
        <w:rPr>
          <w:rFonts w:eastAsia="Calibri"/>
          <w:szCs w:val="24"/>
          <w:lang w:eastAsia="x-none"/>
        </w:rPr>
        <w:t>поставки продукции</w:t>
      </w:r>
      <w:bookmarkEnd w:id="14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63"/>
        <w:gridCol w:w="2704"/>
        <w:gridCol w:w="2831"/>
        <w:gridCol w:w="2835"/>
      </w:tblGrid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1.1.-1.100.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Поставка 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электрооборудования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76" w:right="707" w:gutter="0" w:header="0" w:top="911" w:footer="788" w:bottom="12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  <w:t>Таблица 2.4. Требования к продукции</w:t>
      </w:r>
    </w:p>
    <w:tbl>
      <w:tblPr>
        <w:tblW w:w="1451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7"/>
        <w:gridCol w:w="2730"/>
        <w:gridCol w:w="2495"/>
        <w:gridCol w:w="1918"/>
        <w:gridCol w:w="2839"/>
        <w:gridCol w:w="3694"/>
      </w:tblGrid>
      <w:tr>
        <w:trPr>
          <w:trHeight w:val="504" w:hRule="atLeast"/>
        </w:trPr>
        <w:tc>
          <w:tcPr>
            <w:tcW w:w="145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>Наименование продукции (позиции № 1.1.-1.19. Таблицы 2.1): Поставка электрооборудования для Партизанской ГРЭС</w:t>
            </w:r>
          </w:p>
        </w:tc>
      </w:tr>
      <w:tr>
        <w:trPr>
          <w:trHeight w:val="739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</w:rPr>
              <w:t>п/п</w:t>
            </w:r>
          </w:p>
        </w:tc>
        <w:tc>
          <w:tcPr>
            <w:tcW w:w="522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Наименование параметра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Требование заказчика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Соответствие стандартам</w:t>
            </w:r>
          </w:p>
        </w:tc>
      </w:tr>
      <w:tr>
        <w:trPr>
          <w:trHeight w:val="312" w:hRule="atLeast"/>
        </w:trPr>
        <w:tc>
          <w:tcPr>
            <w:tcW w:w="1451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</w:rPr>
              <w:t>Партия 1. Поставка на Производственный участок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</w:rPr>
              <w:t>АО «Гидроремонт-ВКК» в г. Якутск (ЯГРЭС)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№1, </w:t>
            </w:r>
            <w:r>
              <w:rPr>
                <w:rFonts w:cs="Calibri" w:ascii="Calibri" w:hAnsi="Calibri"/>
                <w:color w:val="000000"/>
                <w:sz w:val="22"/>
              </w:rPr>
              <w:t>00CYP16GH001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№2, </w:t>
            </w:r>
            <w:r>
              <w:rPr>
                <w:rFonts w:cs="Calibri" w:ascii="Calibri" w:hAnsi="Calibri"/>
                <w:color w:val="000000"/>
                <w:sz w:val="22"/>
              </w:rPr>
              <w:t>00CYP16GH002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№3, </w:t>
            </w:r>
            <w:r>
              <w:rPr>
                <w:rFonts w:cs="Calibri" w:ascii="Calibri" w:hAnsi="Calibri"/>
                <w:color w:val="000000"/>
                <w:sz w:val="22"/>
              </w:rPr>
              <w:t>00CYP16GH003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№4, </w:t>
            </w:r>
            <w:r>
              <w:rPr>
                <w:rFonts w:cs="Calibri" w:ascii="Calibri" w:hAnsi="Calibri"/>
                <w:color w:val="000000"/>
                <w:sz w:val="22"/>
              </w:rPr>
              <w:t>00CYP16GH004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№5, </w:t>
            </w:r>
            <w:r>
              <w:rPr>
                <w:rFonts w:cs="Calibri" w:ascii="Calibri" w:hAnsi="Calibri"/>
                <w:color w:val="000000"/>
                <w:sz w:val="22"/>
              </w:rPr>
              <w:t>00CYP16GH005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№6, </w:t>
            </w:r>
            <w:r>
              <w:rPr>
                <w:rFonts w:cs="Calibri" w:ascii="Calibri" w:hAnsi="Calibri"/>
                <w:color w:val="000000"/>
                <w:sz w:val="22"/>
              </w:rPr>
              <w:t>00CYP16GH006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№7, </w:t>
            </w:r>
            <w:r>
              <w:rPr>
                <w:rFonts w:cs="Calibri" w:ascii="Calibri" w:hAnsi="Calibri"/>
                <w:color w:val="000000"/>
                <w:sz w:val="22"/>
              </w:rPr>
              <w:t>00CYP16GH007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№8, </w:t>
            </w:r>
            <w:r>
              <w:rPr>
                <w:rFonts w:cs="Calibri" w:ascii="Calibri" w:hAnsi="Calibri"/>
                <w:color w:val="000000"/>
                <w:sz w:val="22"/>
              </w:rPr>
              <w:t xml:space="preserve">00CYP16GH008, </w:t>
            </w:r>
            <w:r>
              <w:rPr>
                <w:color w:val="000000"/>
              </w:rPr>
              <w:t>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№9, </w:t>
            </w:r>
            <w:r>
              <w:rPr>
                <w:rFonts w:cs="Calibri" w:ascii="Calibri" w:hAnsi="Calibri"/>
                <w:color w:val="000000"/>
                <w:sz w:val="22"/>
              </w:rPr>
              <w:t xml:space="preserve">00CYP16GH009, </w:t>
            </w:r>
            <w:r>
              <w:rPr>
                <w:color w:val="000000"/>
              </w:rPr>
              <w:t>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№10, </w:t>
            </w:r>
            <w:r>
              <w:rPr>
                <w:rFonts w:cs="Calibri" w:ascii="Calibri" w:hAnsi="Calibri"/>
                <w:color w:val="000000"/>
                <w:sz w:val="22"/>
              </w:rPr>
              <w:t>00CYP16GH010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№11, </w:t>
            </w:r>
            <w:r>
              <w:rPr>
                <w:rFonts w:cs="Calibri" w:ascii="Calibri" w:hAnsi="Calibri"/>
                <w:color w:val="000000"/>
                <w:sz w:val="22"/>
              </w:rPr>
              <w:t>00CYP16GH011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№12, </w:t>
            </w:r>
            <w:r>
              <w:rPr>
                <w:rFonts w:cs="Calibri" w:ascii="Calibri" w:hAnsi="Calibri"/>
                <w:color w:val="000000"/>
                <w:sz w:val="22"/>
              </w:rPr>
              <w:t>00CYP16GH012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№13, </w:t>
            </w:r>
            <w:r>
              <w:rPr>
                <w:rFonts w:cs="Calibri" w:ascii="Calibri" w:hAnsi="Calibri"/>
                <w:color w:val="000000"/>
                <w:sz w:val="22"/>
              </w:rPr>
              <w:t xml:space="preserve">00CYP16GH013, </w:t>
            </w:r>
            <w:r>
              <w:rPr>
                <w:color w:val="000000"/>
              </w:rPr>
              <w:t>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№14, </w:t>
            </w:r>
            <w:r>
              <w:rPr>
                <w:rFonts w:cs="Calibri" w:ascii="Calibri" w:hAnsi="Calibri"/>
                <w:color w:val="000000"/>
                <w:sz w:val="22"/>
              </w:rPr>
              <w:t>00CYP16GH014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№15, </w:t>
            </w:r>
            <w:r>
              <w:rPr>
                <w:rFonts w:cs="Calibri" w:ascii="Calibri" w:hAnsi="Calibri"/>
                <w:color w:val="000000"/>
                <w:sz w:val="22"/>
              </w:rPr>
              <w:t>00CYP16GH015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№16, </w:t>
            </w:r>
            <w:r>
              <w:rPr>
                <w:rFonts w:cs="Calibri" w:ascii="Calibri" w:hAnsi="Calibri"/>
                <w:color w:val="000000"/>
                <w:sz w:val="22"/>
              </w:rPr>
              <w:t>00CYP16GH016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№17, </w:t>
            </w:r>
            <w:r>
              <w:rPr>
                <w:rFonts w:cs="Calibri" w:ascii="Calibri" w:hAnsi="Calibri"/>
                <w:color w:val="000000"/>
                <w:sz w:val="22"/>
              </w:rPr>
              <w:t>00CYP16GH017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№18, </w:t>
            </w:r>
            <w:r>
              <w:rPr>
                <w:rFonts w:cs="Calibri" w:ascii="Calibri" w:hAnsi="Calibri"/>
                <w:color w:val="000000"/>
                <w:sz w:val="22"/>
              </w:rPr>
              <w:t>00CYP16GH018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№19, </w:t>
            </w:r>
            <w:r>
              <w:rPr>
                <w:rFonts w:cs="Calibri" w:ascii="Calibri" w:hAnsi="Calibri"/>
                <w:color w:val="000000"/>
                <w:sz w:val="22"/>
              </w:rPr>
              <w:t>00CYP16GH019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№19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№20, </w:t>
            </w:r>
            <w:r>
              <w:rPr>
                <w:rFonts w:cs="Calibri" w:ascii="Calibri" w:hAnsi="Calibri"/>
                <w:color w:val="000000"/>
                <w:sz w:val="22"/>
              </w:rPr>
              <w:t>00CYP16GH020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№21, </w:t>
            </w:r>
            <w:r>
              <w:rPr>
                <w:rFonts w:cs="Calibri" w:ascii="Calibri" w:hAnsi="Calibri"/>
                <w:color w:val="000000"/>
                <w:sz w:val="22"/>
              </w:rPr>
              <w:t>00CYP03GH001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№66, </w:t>
            </w:r>
            <w:r>
              <w:rPr>
                <w:rFonts w:cs="Calibri" w:ascii="Calibri" w:hAnsi="Calibri"/>
                <w:color w:val="000000"/>
                <w:sz w:val="22"/>
              </w:rPr>
              <w:t>00CYT03GH001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№67, </w:t>
            </w:r>
            <w:r>
              <w:rPr>
                <w:rFonts w:cs="Calibri" w:ascii="Calibri" w:hAnsi="Calibri"/>
                <w:color w:val="000000"/>
                <w:sz w:val="22"/>
              </w:rPr>
              <w:t>00CYT03GH002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№68, </w:t>
            </w:r>
            <w:r>
              <w:rPr>
                <w:rFonts w:cs="Calibri" w:ascii="Calibri" w:hAnsi="Calibri"/>
                <w:color w:val="000000"/>
                <w:sz w:val="22"/>
              </w:rPr>
              <w:t>00CYT03GH003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№68</w:t>
            </w:r>
          </w:p>
        </w:tc>
      </w:tr>
      <w:tr>
        <w:trPr>
          <w:trHeight w:val="312" w:hRule="atLeast"/>
        </w:trPr>
        <w:tc>
          <w:tcPr>
            <w:tcW w:w="1451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</w:rPr>
              <w:t>Партия 2. Поставка на Производственный участок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</w:rPr>
              <w:t>АО «Гидроремонт-ВКК» в г. Якутск (ЯГРЭС)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№34, </w:t>
            </w:r>
            <w:r>
              <w:rPr>
                <w:rFonts w:cs="Calibri" w:ascii="Calibri" w:hAnsi="Calibri"/>
                <w:color w:val="000000"/>
                <w:sz w:val="22"/>
              </w:rPr>
              <w:t>00CYP02GH001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№35, </w:t>
            </w:r>
            <w:r>
              <w:rPr>
                <w:rFonts w:cs="Calibri" w:ascii="Calibri" w:hAnsi="Calibri"/>
                <w:color w:val="000000"/>
                <w:sz w:val="22"/>
              </w:rPr>
              <w:t>00CYP02GH002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№36, </w:t>
            </w:r>
            <w:r>
              <w:rPr>
                <w:rFonts w:cs="Calibri" w:ascii="Calibri" w:hAnsi="Calibri"/>
                <w:color w:val="000000"/>
                <w:sz w:val="22"/>
              </w:rPr>
              <w:t>00CYP02GH003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№37, </w:t>
            </w:r>
            <w:r>
              <w:rPr>
                <w:rFonts w:cs="Calibri" w:ascii="Calibri" w:hAnsi="Calibri"/>
                <w:color w:val="000000"/>
                <w:sz w:val="22"/>
              </w:rPr>
              <w:t>00CYP02GH004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№38, </w:t>
            </w:r>
            <w:r>
              <w:rPr>
                <w:rFonts w:cs="Calibri" w:ascii="Calibri" w:hAnsi="Calibri"/>
                <w:color w:val="000000"/>
                <w:sz w:val="22"/>
              </w:rPr>
              <w:t>00CYP02GH005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№39, </w:t>
            </w:r>
            <w:r>
              <w:rPr>
                <w:rFonts w:cs="Calibri" w:ascii="Calibri" w:hAnsi="Calibri"/>
                <w:color w:val="000000"/>
                <w:sz w:val="22"/>
              </w:rPr>
              <w:t>00CYP02GH006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№40, </w:t>
            </w:r>
            <w:r>
              <w:rPr>
                <w:rFonts w:cs="Calibri" w:ascii="Calibri" w:hAnsi="Calibri"/>
                <w:color w:val="000000"/>
                <w:sz w:val="22"/>
              </w:rPr>
              <w:t>00CYP02GH007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№41, </w:t>
            </w:r>
            <w:r>
              <w:rPr>
                <w:rFonts w:cs="Calibri" w:ascii="Calibri" w:hAnsi="Calibri"/>
                <w:color w:val="000000"/>
                <w:sz w:val="22"/>
              </w:rPr>
              <w:t>00CYP02GH008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№42, </w:t>
            </w:r>
            <w:r>
              <w:rPr>
                <w:rFonts w:cs="Calibri" w:ascii="Calibri" w:hAnsi="Calibri"/>
                <w:color w:val="000000"/>
                <w:sz w:val="22"/>
              </w:rPr>
              <w:t>00CYP02GH009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№43, </w:t>
            </w:r>
            <w:r>
              <w:rPr>
                <w:rFonts w:cs="Calibri" w:ascii="Calibri" w:hAnsi="Calibri"/>
                <w:color w:val="000000"/>
                <w:sz w:val="22"/>
              </w:rPr>
              <w:t xml:space="preserve">00CYP02GH010, </w:t>
            </w:r>
            <w:r>
              <w:rPr>
                <w:color w:val="000000"/>
              </w:rPr>
              <w:t>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№44, </w:t>
            </w:r>
            <w:r>
              <w:rPr>
                <w:rFonts w:cs="Calibri" w:ascii="Calibri" w:hAnsi="Calibri"/>
                <w:color w:val="000000"/>
                <w:sz w:val="22"/>
              </w:rPr>
              <w:t>00CYP02GH011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№45, </w:t>
            </w:r>
            <w:r>
              <w:rPr>
                <w:rFonts w:cs="Calibri" w:ascii="Calibri" w:hAnsi="Calibri"/>
                <w:color w:val="000000"/>
                <w:sz w:val="22"/>
              </w:rPr>
              <w:t>00CYP02GH001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№53, </w:t>
            </w:r>
            <w:r>
              <w:rPr>
                <w:rFonts w:cs="Calibri" w:ascii="Calibri" w:hAnsi="Calibri"/>
                <w:color w:val="000000"/>
                <w:sz w:val="22"/>
              </w:rPr>
              <w:t>00CYP02GH101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№54, </w:t>
            </w:r>
            <w:r>
              <w:rPr>
                <w:rFonts w:cs="Calibri" w:ascii="Calibri" w:hAnsi="Calibri"/>
                <w:color w:val="000000"/>
                <w:sz w:val="22"/>
              </w:rPr>
              <w:t>00CYP02GH102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№55, </w:t>
            </w:r>
            <w:r>
              <w:rPr>
                <w:rFonts w:cs="Calibri" w:ascii="Calibri" w:hAnsi="Calibri"/>
                <w:color w:val="000000"/>
                <w:sz w:val="22"/>
              </w:rPr>
              <w:t>00CYP02GH201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№56, </w:t>
            </w:r>
            <w:r>
              <w:rPr>
                <w:rFonts w:cs="Calibri" w:ascii="Calibri" w:hAnsi="Calibri"/>
                <w:color w:val="000000"/>
                <w:sz w:val="22"/>
              </w:rPr>
              <w:t>00CYP02GH202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№57, </w:t>
            </w:r>
            <w:r>
              <w:rPr>
                <w:rFonts w:cs="Calibri" w:ascii="Calibri" w:hAnsi="Calibri"/>
                <w:color w:val="000000"/>
                <w:sz w:val="22"/>
              </w:rPr>
              <w:t>00CYP02GH203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№58, </w:t>
            </w:r>
            <w:r>
              <w:rPr>
                <w:rFonts w:cs="Calibri" w:ascii="Calibri" w:hAnsi="Calibri"/>
                <w:color w:val="000000"/>
                <w:sz w:val="22"/>
              </w:rPr>
              <w:t>00CYP02GH301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№59, </w:t>
            </w:r>
            <w:r>
              <w:rPr>
                <w:rFonts w:cs="Calibri" w:ascii="Calibri" w:hAnsi="Calibri"/>
                <w:color w:val="000000"/>
                <w:sz w:val="22"/>
              </w:rPr>
              <w:t>00CYP02GH302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№60, </w:t>
            </w:r>
            <w:r>
              <w:rPr>
                <w:rFonts w:cs="Calibri" w:ascii="Calibri" w:hAnsi="Calibri"/>
                <w:color w:val="000000"/>
                <w:sz w:val="22"/>
              </w:rPr>
              <w:t>00CYP02GH303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№61, </w:t>
            </w:r>
            <w:r>
              <w:rPr>
                <w:rFonts w:cs="Calibri" w:ascii="Calibri" w:hAnsi="Calibri"/>
                <w:color w:val="000000"/>
                <w:sz w:val="22"/>
              </w:rPr>
              <w:t>00CYP02GH401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№62, </w:t>
            </w:r>
            <w:r>
              <w:rPr>
                <w:rFonts w:cs="Calibri" w:ascii="Calibri" w:hAnsi="Calibri"/>
                <w:color w:val="000000"/>
                <w:sz w:val="22"/>
              </w:rPr>
              <w:t>00CYP02GH402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№63, </w:t>
            </w:r>
            <w:r>
              <w:rPr>
                <w:rFonts w:cs="Calibri" w:ascii="Calibri" w:hAnsi="Calibri"/>
                <w:color w:val="000000"/>
                <w:sz w:val="22"/>
              </w:rPr>
              <w:t>00CYP02GH403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№64, </w:t>
            </w:r>
            <w:r>
              <w:rPr>
                <w:rFonts w:cs="Calibri" w:ascii="Calibri" w:hAnsi="Calibri"/>
                <w:color w:val="000000"/>
                <w:sz w:val="22"/>
              </w:rPr>
              <w:t>00CYP02GH404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№65, </w:t>
            </w:r>
            <w:r>
              <w:rPr>
                <w:rFonts w:cs="Calibri" w:ascii="Calibri" w:hAnsi="Calibri"/>
                <w:color w:val="000000"/>
                <w:sz w:val="22"/>
              </w:rPr>
              <w:t>00CYP02GH501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№85, </w:t>
            </w:r>
            <w:r>
              <w:rPr>
                <w:rFonts w:cs="Calibri" w:ascii="Calibri" w:hAnsi="Calibri"/>
                <w:color w:val="000000"/>
                <w:sz w:val="22"/>
              </w:rPr>
              <w:t>00CYT02GH001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№86, </w:t>
            </w:r>
            <w:r>
              <w:rPr>
                <w:rFonts w:cs="Calibri" w:ascii="Calibri" w:hAnsi="Calibri"/>
                <w:color w:val="000000"/>
                <w:sz w:val="22"/>
              </w:rPr>
              <w:t>00CYT02GH002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№87, </w:t>
            </w:r>
            <w:r>
              <w:rPr>
                <w:rFonts w:cs="Calibri" w:ascii="Calibri" w:hAnsi="Calibri"/>
                <w:color w:val="000000"/>
                <w:sz w:val="22"/>
              </w:rPr>
              <w:t>00CYT02GH003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№88, </w:t>
            </w:r>
            <w:r>
              <w:rPr>
                <w:rFonts w:cs="Calibri" w:ascii="Calibri" w:hAnsi="Calibri"/>
                <w:color w:val="000000"/>
                <w:sz w:val="22"/>
              </w:rPr>
              <w:t>00CYT02GH004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№89, </w:t>
            </w:r>
            <w:r>
              <w:rPr>
                <w:rFonts w:cs="Calibri" w:ascii="Calibri" w:hAnsi="Calibri"/>
                <w:color w:val="000000"/>
                <w:sz w:val="22"/>
              </w:rPr>
              <w:t>00CYT02GH005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№90, </w:t>
            </w:r>
            <w:r>
              <w:rPr>
                <w:rFonts w:cs="Calibri" w:ascii="Calibri" w:hAnsi="Calibri"/>
                <w:color w:val="000000"/>
                <w:sz w:val="22"/>
              </w:rPr>
              <w:t>00CYT02GH006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№91, </w:t>
            </w:r>
            <w:r>
              <w:rPr>
                <w:rFonts w:cs="Calibri" w:ascii="Calibri" w:hAnsi="Calibri"/>
                <w:color w:val="000000"/>
                <w:sz w:val="22"/>
              </w:rPr>
              <w:t>00CYT02GH007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№92, </w:t>
            </w:r>
            <w:r>
              <w:rPr>
                <w:rFonts w:cs="Calibri" w:ascii="Calibri" w:hAnsi="Calibri"/>
                <w:color w:val="000000"/>
                <w:sz w:val="22"/>
              </w:rPr>
              <w:t>00CYT02GH008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№93, </w:t>
            </w:r>
            <w:r>
              <w:rPr>
                <w:rFonts w:cs="Calibri" w:ascii="Calibri" w:hAnsi="Calibri"/>
                <w:color w:val="000000"/>
                <w:sz w:val="22"/>
              </w:rPr>
              <w:t>00CYT02GH009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№94, </w:t>
            </w:r>
            <w:r>
              <w:rPr>
                <w:rFonts w:cs="Calibri" w:ascii="Calibri" w:hAnsi="Calibri"/>
                <w:color w:val="000000"/>
                <w:sz w:val="22"/>
              </w:rPr>
              <w:t>00CYT02GH010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№95, </w:t>
            </w:r>
            <w:r>
              <w:rPr>
                <w:rFonts w:cs="Calibri" w:ascii="Calibri" w:hAnsi="Calibri"/>
                <w:color w:val="000000"/>
                <w:sz w:val="22"/>
              </w:rPr>
              <w:t>00CYT02GH0011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№96, </w:t>
            </w:r>
            <w:r>
              <w:rPr>
                <w:rFonts w:cs="Calibri" w:ascii="Calibri" w:hAnsi="Calibri"/>
                <w:color w:val="000000"/>
                <w:sz w:val="22"/>
              </w:rPr>
              <w:t>00CYT02GH012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№96</w:t>
            </w:r>
          </w:p>
        </w:tc>
      </w:tr>
      <w:tr>
        <w:trPr>
          <w:trHeight w:val="312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№97, </w:t>
            </w:r>
            <w:r>
              <w:rPr>
                <w:rFonts w:cs="Calibri" w:ascii="Calibri" w:hAnsi="Calibri"/>
                <w:color w:val="000000"/>
                <w:sz w:val="22"/>
              </w:rPr>
              <w:t>00CYT02GH013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1451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000000"/>
                <w:sz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</w:rPr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№22, </w:t>
            </w:r>
            <w:r>
              <w:rPr>
                <w:rFonts w:cs="Calibri" w:ascii="Calibri" w:hAnsi="Calibri"/>
                <w:color w:val="000000"/>
                <w:sz w:val="22"/>
              </w:rPr>
              <w:t>00CYP05GH001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№23, </w:t>
            </w:r>
            <w:r>
              <w:rPr>
                <w:rFonts w:cs="Calibri" w:ascii="Calibri" w:hAnsi="Calibri"/>
                <w:color w:val="000000"/>
                <w:sz w:val="22"/>
              </w:rPr>
              <w:t>00CYP06GH001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№24, </w:t>
            </w:r>
            <w:r>
              <w:rPr>
                <w:rFonts w:cs="Calibri" w:ascii="Calibri" w:hAnsi="Calibri"/>
                <w:color w:val="000000"/>
                <w:sz w:val="22"/>
              </w:rPr>
              <w:t>00CYP08GH001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№25, </w:t>
            </w:r>
            <w:r>
              <w:rPr>
                <w:rFonts w:cs="Calibri" w:ascii="Calibri" w:hAnsi="Calibri"/>
                <w:color w:val="000000"/>
                <w:sz w:val="22"/>
              </w:rPr>
              <w:t>00CYP12GH001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№26, </w:t>
            </w:r>
            <w:r>
              <w:rPr>
                <w:rFonts w:cs="Calibri" w:ascii="Calibri" w:hAnsi="Calibri"/>
                <w:color w:val="000000"/>
                <w:sz w:val="22"/>
              </w:rPr>
              <w:t>00CYP04GH001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№27, </w:t>
            </w:r>
            <w:r>
              <w:rPr>
                <w:rFonts w:cs="Calibri" w:ascii="Calibri" w:hAnsi="Calibri"/>
                <w:color w:val="000000"/>
                <w:sz w:val="22"/>
              </w:rPr>
              <w:t>00CYP04GH002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№28, </w:t>
            </w:r>
            <w:r>
              <w:rPr>
                <w:rFonts w:cs="Calibri" w:ascii="Calibri" w:hAnsi="Calibri"/>
                <w:color w:val="000000"/>
                <w:sz w:val="22"/>
              </w:rPr>
              <w:t>00CYP15GH001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№29, </w:t>
            </w:r>
            <w:r>
              <w:rPr>
                <w:rFonts w:cs="Calibri" w:ascii="Calibri" w:hAnsi="Calibri"/>
                <w:color w:val="000000"/>
                <w:sz w:val="22"/>
              </w:rPr>
              <w:t>00CYP11GH001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№29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№30, </w:t>
            </w:r>
            <w:r>
              <w:rPr>
                <w:rFonts w:cs="Calibri" w:ascii="Calibri" w:hAnsi="Calibri"/>
                <w:color w:val="000000"/>
                <w:sz w:val="22"/>
              </w:rPr>
              <w:t>00CYP07GH001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№31, </w:t>
            </w:r>
            <w:r>
              <w:rPr>
                <w:rFonts w:cs="Calibri" w:ascii="Calibri" w:hAnsi="Calibri"/>
                <w:color w:val="000000"/>
                <w:sz w:val="22"/>
              </w:rPr>
              <w:t>00CYP07GH002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№32, </w:t>
            </w:r>
            <w:r>
              <w:rPr>
                <w:rFonts w:cs="Calibri" w:ascii="Calibri" w:hAnsi="Calibri"/>
                <w:color w:val="000000"/>
                <w:sz w:val="22"/>
              </w:rPr>
              <w:t>00CYP09GH001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видеонаблюдения в сборе в составе: опросный лист №33, </w:t>
            </w:r>
            <w:r>
              <w:rPr>
                <w:rFonts w:cs="Calibri" w:ascii="Calibri" w:hAnsi="Calibri"/>
                <w:color w:val="000000"/>
                <w:sz w:val="22"/>
              </w:rPr>
              <w:t>00CYP10GH001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№33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№46, </w:t>
            </w:r>
            <w:r>
              <w:rPr>
                <w:rFonts w:cs="Calibri" w:ascii="Calibri" w:hAnsi="Calibri"/>
                <w:color w:val="000000"/>
                <w:sz w:val="22"/>
              </w:rPr>
              <w:t>00CYP06GH101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№47, </w:t>
            </w:r>
            <w:r>
              <w:rPr>
                <w:rFonts w:cs="Calibri" w:ascii="Calibri" w:hAnsi="Calibri"/>
                <w:color w:val="000000"/>
                <w:sz w:val="22"/>
              </w:rPr>
              <w:t>00CYP06GH501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№48, </w:t>
            </w:r>
            <w:r>
              <w:rPr>
                <w:rFonts w:cs="Calibri" w:ascii="Calibri" w:hAnsi="Calibri"/>
                <w:color w:val="000000"/>
                <w:sz w:val="22"/>
              </w:rPr>
              <w:t>00CYP12GH101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№49, </w:t>
            </w:r>
            <w:r>
              <w:rPr>
                <w:rFonts w:cs="Calibri" w:ascii="Calibri" w:hAnsi="Calibri"/>
                <w:color w:val="000000"/>
                <w:sz w:val="22"/>
              </w:rPr>
              <w:t>00CYP04GH101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№49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№50, </w:t>
            </w:r>
            <w:r>
              <w:rPr>
                <w:rFonts w:cs="Calibri" w:ascii="Calibri" w:hAnsi="Calibri"/>
                <w:color w:val="000000"/>
                <w:sz w:val="22"/>
              </w:rPr>
              <w:t>00CYP11GH201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№51, </w:t>
            </w:r>
            <w:r>
              <w:rPr>
                <w:rFonts w:cs="Calibri" w:ascii="Calibri" w:hAnsi="Calibri"/>
                <w:color w:val="000000"/>
                <w:sz w:val="22"/>
              </w:rPr>
              <w:t>00CYP07GH101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технологического видеонаблюдения в сборе в составе: опросный лист №52, </w:t>
            </w:r>
            <w:r>
              <w:rPr>
                <w:rFonts w:cs="Calibri" w:ascii="Calibri" w:hAnsi="Calibri"/>
                <w:color w:val="000000"/>
                <w:sz w:val="22"/>
              </w:rPr>
              <w:t>00CYP03GH101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№52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№69, </w:t>
            </w:r>
            <w:r>
              <w:rPr>
                <w:rFonts w:cs="Calibri" w:ascii="Calibri" w:hAnsi="Calibri"/>
                <w:color w:val="000000"/>
                <w:sz w:val="22"/>
              </w:rPr>
              <w:t>00CYT05GH001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№69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№70, </w:t>
            </w:r>
            <w:r>
              <w:rPr>
                <w:rFonts w:cs="Calibri" w:ascii="Calibri" w:hAnsi="Calibri"/>
                <w:color w:val="000000"/>
                <w:sz w:val="22"/>
              </w:rPr>
              <w:t>00CYT06GH001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№71, </w:t>
            </w:r>
            <w:r>
              <w:rPr>
                <w:rFonts w:cs="Calibri" w:ascii="Calibri" w:hAnsi="Calibri"/>
                <w:color w:val="000000"/>
                <w:sz w:val="22"/>
              </w:rPr>
              <w:t>00CYT06GH002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№72, </w:t>
            </w:r>
            <w:r>
              <w:rPr>
                <w:rFonts w:cs="Calibri" w:ascii="Calibri" w:hAnsi="Calibri"/>
                <w:color w:val="000000"/>
                <w:sz w:val="22"/>
              </w:rPr>
              <w:t>00CYT06GH003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№73, </w:t>
            </w:r>
            <w:r>
              <w:rPr>
                <w:rFonts w:cs="Calibri" w:ascii="Calibri" w:hAnsi="Calibri"/>
                <w:color w:val="000000"/>
                <w:sz w:val="22"/>
              </w:rPr>
              <w:t>00CYT06GH004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№74, </w:t>
            </w:r>
            <w:r>
              <w:rPr>
                <w:rFonts w:cs="Calibri" w:ascii="Calibri" w:hAnsi="Calibri"/>
                <w:color w:val="000000"/>
                <w:sz w:val="22"/>
              </w:rPr>
              <w:t>00CYT06GH005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№75, </w:t>
            </w:r>
            <w:r>
              <w:rPr>
                <w:rFonts w:cs="Calibri" w:ascii="Calibri" w:hAnsi="Calibri"/>
                <w:color w:val="000000"/>
                <w:sz w:val="22"/>
              </w:rPr>
              <w:t>00CYT08GH001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№76, </w:t>
            </w:r>
            <w:r>
              <w:rPr>
                <w:rFonts w:cs="Calibri" w:ascii="Calibri" w:hAnsi="Calibri"/>
                <w:color w:val="000000"/>
                <w:sz w:val="22"/>
              </w:rPr>
              <w:t>00CYT12GH001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№76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№77, </w:t>
            </w:r>
            <w:r>
              <w:rPr>
                <w:rFonts w:cs="Calibri" w:ascii="Calibri" w:hAnsi="Calibri"/>
                <w:color w:val="000000"/>
                <w:sz w:val="22"/>
              </w:rPr>
              <w:t>00CYT04GH101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№78, </w:t>
            </w:r>
            <w:r>
              <w:rPr>
                <w:rFonts w:cs="Calibri" w:ascii="Calibri" w:hAnsi="Calibri"/>
                <w:color w:val="000000"/>
                <w:sz w:val="22"/>
              </w:rPr>
              <w:t>00CYT04GH201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№78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№79, </w:t>
            </w:r>
            <w:r>
              <w:rPr>
                <w:rFonts w:cs="Calibri" w:ascii="Calibri" w:hAnsi="Calibri"/>
                <w:color w:val="000000"/>
                <w:sz w:val="22"/>
              </w:rPr>
              <w:t>00CYT15GH001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№79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№80, </w:t>
            </w:r>
            <w:r>
              <w:rPr>
                <w:rFonts w:cs="Calibri" w:ascii="Calibri" w:hAnsi="Calibri"/>
                <w:color w:val="000000"/>
                <w:sz w:val="22"/>
              </w:rPr>
              <w:t>00CYT15GH002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№80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№81, </w:t>
            </w:r>
            <w:r>
              <w:rPr>
                <w:rFonts w:cs="Calibri" w:ascii="Calibri" w:hAnsi="Calibri"/>
                <w:color w:val="000000"/>
                <w:sz w:val="22"/>
              </w:rPr>
              <w:t>00CYT11GH001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№81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№82, </w:t>
            </w:r>
            <w:r>
              <w:rPr>
                <w:rFonts w:cs="Calibri" w:ascii="Calibri" w:hAnsi="Calibri"/>
                <w:color w:val="000000"/>
                <w:sz w:val="22"/>
              </w:rPr>
              <w:t>00CYT07GH001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№82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№83, </w:t>
            </w:r>
            <w:r>
              <w:rPr>
                <w:rFonts w:cs="Calibri" w:ascii="Calibri" w:hAnsi="Calibri"/>
                <w:color w:val="000000"/>
                <w:sz w:val="22"/>
              </w:rPr>
              <w:t>00CYT13GH001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№83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Термошкаф системы контроля и управления доступом в сборе в составе: опросный лист №84, </w:t>
            </w:r>
            <w:r>
              <w:rPr>
                <w:rFonts w:cs="Calibri" w:ascii="Calibri" w:hAnsi="Calibri"/>
                <w:color w:val="000000"/>
                <w:sz w:val="22"/>
              </w:rPr>
              <w:t>00CYT14GH001</w:t>
            </w:r>
            <w:r>
              <w:rPr>
                <w:color w:val="000000"/>
              </w:rPr>
              <w:t>, ДиджиТек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№84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Соответствие опросному листу №97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Основание под термошкаф</w:t>
            </w:r>
          </w:p>
        </w:tc>
        <w:tc>
          <w:tcPr>
            <w:tcW w:w="19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ДиджиТек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Тип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Основание под термошкаф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Степень защиты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IP55</w:t>
            </w:r>
          </w:p>
        </w:tc>
      </w:tr>
      <w:tr>
        <w:trPr>
          <w:trHeight w:val="312" w:hRule="atLeast"/>
        </w:trPr>
        <w:tc>
          <w:tcPr>
            <w:tcW w:w="8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2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3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Состав</w:t>
            </w:r>
          </w:p>
        </w:tc>
        <w:tc>
          <w:tcPr>
            <w:tcW w:w="3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Чертеж приложение №3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2"/>
              </w:rPr>
              <w:t>2.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2.1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</w:rPr>
              <w:t>Место поставки</w:t>
            </w:r>
          </w:p>
        </w:tc>
        <w:tc>
          <w:tcPr>
            <w:tcW w:w="109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/>
                <w:sz w:val="22"/>
              </w:rPr>
              <w:t>Республика Саха (Якутия), г. Якутск, пер. Сандал 18, стр. 2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2.2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</w:rPr>
              <w:t>Приемка продукции</w:t>
            </w:r>
          </w:p>
        </w:tc>
        <w:tc>
          <w:tcPr>
            <w:tcW w:w="109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sz w:val="22"/>
              </w:rPr>
              <w:t>Осуществляется только в рабочие дни с 9-00 до 12-00 и с 13-00 до 17-00.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2.3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i/>
                <w:sz w:val="22"/>
              </w:rPr>
              <w:t>В</w:t>
            </w:r>
            <w:r>
              <w:rPr>
                <w:i/>
                <w:sz w:val="22"/>
              </w:rPr>
              <w:t xml:space="preserve">ыгрузка организуется поставщиком. </w:t>
            </w:r>
            <w:r>
              <w:rPr>
                <w:rFonts w:eastAsia="Calibri"/>
                <w:i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Calibri"/>
                <w:b/>
                <w:i/>
                <w:sz w:val="22"/>
              </w:rPr>
              <w:t xml:space="preserve"> </w:t>
            </w:r>
            <w:r>
              <w:rPr>
                <w:rFonts w:eastAsia="Calibri"/>
                <w:i/>
                <w:sz w:val="22"/>
              </w:rPr>
              <w:t>по тел. 8-961-743-71-23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</w:rPr>
              <w:t>Сроки гарантии</w:t>
            </w:r>
          </w:p>
        </w:tc>
        <w:tc>
          <w:tcPr>
            <w:tcW w:w="109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/>
                <w:sz w:val="22"/>
                <w:lang w:eastAsia="x-none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2"/>
              </w:rPr>
              <w:t>4.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4.1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</w:rPr>
              <w:t>Документы, передаваемые вместе с продукцией</w:t>
            </w:r>
          </w:p>
        </w:tc>
        <w:tc>
          <w:tcPr>
            <w:tcW w:w="1094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i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1023" w:hanging="284"/>
              <w:jc w:val="both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Сертификат качества в 2 экз.;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1023" w:hanging="284"/>
              <w:jc w:val="both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Технический паспорт на русском языке в 2 экз.;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1023" w:hanging="284"/>
              <w:jc w:val="both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Инструкция по эксплуатации (монтажу и т.п.) на русском языке в 2 экз.;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1023" w:hanging="284"/>
              <w:jc w:val="both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Упаковочный лист на Продукцию (каждую партию отгруженной Продукции) в 2 экз.;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023" w:leader="none"/>
              </w:tabs>
              <w:ind w:left="0" w:firstLine="739"/>
              <w:jc w:val="both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i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ab/>
              <w:t>Обязательные первичные документы: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i/>
                <w:i/>
                <w:sz w:val="22"/>
              </w:rPr>
            </w:pPr>
            <w:r>
              <w:rPr>
                <w:rFonts w:eastAsia="Calibri"/>
                <w:i/>
                <w:sz w:val="22"/>
              </w:rPr>
              <w:tab/>
              <w:t>- Товарно-транспортную накладную формы №1-Т (для учета товарно-материальных ценностей и расчетов за их перевозки) или Железнодорожную накладную (форма № ГУ-27) в 2 экз.;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sz w:val="22"/>
              </w:rPr>
              <w:tab/>
              <w:t>- Товарную накладную по форме ТОРГ-12 или Универсальный передаточный документ (УПД) с обязательным указанием номера и даты Заявки-Спецификации в 2 экз.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2"/>
              </w:rPr>
              <w:t>5.1</w:t>
            </w:r>
          </w:p>
        </w:tc>
        <w:tc>
          <w:tcPr>
            <w:tcW w:w="136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sz w:val="22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 xml:space="preserve">Продукция должна иметь интерфейс стандарта </w:t>
            </w:r>
            <w:r>
              <w:rPr>
                <w:rFonts w:eastAsia="Calibri"/>
                <w:bCs/>
                <w:i/>
                <w:sz w:val="22"/>
                <w:lang w:val="en-US" w:eastAsia="x-none"/>
              </w:rPr>
              <w:t>Modbus</w:t>
            </w:r>
            <w:r>
              <w:rPr>
                <w:rFonts w:eastAsia="Calibri"/>
                <w:bCs/>
                <w:i/>
                <w:sz w:val="22"/>
                <w:lang w:eastAsia="x-none"/>
              </w:rPr>
              <w:t xml:space="preserve"> </w:t>
            </w:r>
            <w:r>
              <w:rPr>
                <w:rFonts w:eastAsia="Calibri"/>
                <w:bCs/>
                <w:i/>
                <w:sz w:val="22"/>
                <w:lang w:val="en-US" w:eastAsia="x-none"/>
              </w:rPr>
              <w:t>RTU</w:t>
            </w:r>
            <w:r>
              <w:rPr>
                <w:rFonts w:eastAsia="Calibri"/>
                <w:bCs/>
                <w:i/>
                <w:sz w:val="22"/>
                <w:lang w:eastAsia="x-none"/>
              </w:rPr>
              <w:t xml:space="preserve"> и поддерживать следующий функционал:</w:t>
            </w:r>
          </w:p>
          <w:p>
            <w:pPr>
              <w:pStyle w:val="Normal"/>
              <w:widowControl w:val="false"/>
              <w:ind w:left="353" w:hanging="0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- Мониторинг текущей температуры внутри шкафа;</w:t>
            </w:r>
          </w:p>
          <w:p>
            <w:pPr>
              <w:pStyle w:val="Normal"/>
              <w:widowControl w:val="false"/>
              <w:ind w:left="353" w:hanging="0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- Мониторинг состояния электроснабжения шкафа;</w:t>
            </w:r>
          </w:p>
          <w:p>
            <w:pPr>
              <w:pStyle w:val="Normal"/>
              <w:widowControl w:val="false"/>
              <w:ind w:left="353" w:hanging="0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- Регулировка температурных уставок включения/отключения вентиляции/обогрева;</w:t>
            </w:r>
          </w:p>
          <w:p>
            <w:pPr>
              <w:pStyle w:val="Normal"/>
              <w:widowControl w:val="false"/>
              <w:ind w:left="353" w:hanging="0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- Передача сигналов аварии обогрева/вентиляции;</w:t>
            </w:r>
          </w:p>
          <w:p>
            <w:pPr>
              <w:pStyle w:val="Normal"/>
              <w:widowControl w:val="false"/>
              <w:ind w:left="353" w:hanging="0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- Передача сигналов несанкционированного доступа в шкаф.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 xml:space="preserve">Продукция должна иметь климатическое исполнение ХЛ1 с расширенным диапазоном температуры до -65 </w:t>
            </w:r>
            <w:r>
              <w:rPr>
                <w:rFonts w:eastAsia="Calibri"/>
                <w:bCs/>
                <w:i/>
                <w:sz w:val="22"/>
                <w:vertAlign w:val="superscript"/>
                <w:lang w:eastAsia="x-none"/>
              </w:rPr>
              <w:t>о</w:t>
            </w:r>
            <w:r>
              <w:rPr>
                <w:rFonts w:eastAsia="Calibri"/>
                <w:bCs/>
                <w:i/>
                <w:sz w:val="22"/>
                <w:lang w:eastAsia="x-none"/>
              </w:rPr>
              <w:t>С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Продукция должна иметь защиту утепления от повреждения в процессе монтажа и эксплуатации.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Всё поставляемое Оборудование должно сопровождаться полным комплектом технической и эксплуатационной документации на русском языке, подготовленной в соответствии с ГОСТ Р 59853-2021, ГОСТ 34.201-2020, ГОСТ 27300-87, в составе, необходимом для проектирования, монтажа, наладки, пуска, сдачи в эксплуатацию, обеспечения правильной и безопасной эксплуатации, технического обслуживания поставляемого оборудования.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Соответствие Правила устройства электроустановок (ПУЭ).7-е издание;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/>
                <w:i/>
                <w:sz w:val="22"/>
                <w:lang w:eastAsia="x-none"/>
              </w:rPr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Маркировка на шкафах должна соответствовать ГОСТ 18620-86 («Изделия электротехнические. Маркировка»).</w:t>
            </w:r>
          </w:p>
        </w:tc>
      </w:tr>
    </w:tbl>
    <w:p>
      <w:pPr>
        <w:pStyle w:val="Normal"/>
        <w:rPr>
          <w:rFonts w:eastAsia="Calibri"/>
          <w:szCs w:val="24"/>
          <w:lang w:eastAsia="x-none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736" w:gutter="0" w:header="0" w:top="407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58818979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6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17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0369638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17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17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a70a1"/>
    <w:pPr>
      <w:keepNext w:val="true"/>
      <w:tabs>
        <w:tab w:val="clear" w:pos="708"/>
        <w:tab w:val="left" w:pos="0" w:leader="none"/>
        <w:tab w:val="left" w:pos="709" w:leader="none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9a70a1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8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99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5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15" w:customStyle="1">
    <w:name w:val="Просмотренная гиперссылка1"/>
    <w:qFormat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character" w:styleId="Style19" w:customStyle="1">
    <w:name w:val="Символ нумерации"/>
    <w:qFormat/>
    <w:rPr/>
  </w:style>
  <w:style w:type="character" w:styleId="Style20" w:customStyle="1">
    <w:name w:val="Маркеры"/>
    <w:qFormat/>
    <w:rPr>
      <w:rFonts w:ascii="OpenSymbol" w:hAnsi="OpenSymbol" w:eastAsia="OpenSymbol" w:cs="OpenSymbol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3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4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5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6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8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9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30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1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2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3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4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5" w:customStyle="1">
    <w:name w:val="Подподпункт"/>
    <w:basedOn w:val="Style28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9" w:customStyle="1">
    <w:name w:val="Знак Знак Знак Знак"/>
    <w:basedOn w:val="Normal"/>
    <w:qFormat/>
    <w:rsid w:val="00e82248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0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1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2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4" w:customStyle="1">
    <w:name w:val="Заголовок таблицы"/>
    <w:basedOn w:val="Style43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AlterOffice/2025.3.1.0$Linux_X86_64 LibreOffice_project/431cd1b79110582f53535c95ed0a2449aadc8bf9</Application>
  <AppVersion>15.0000</AppVersion>
  <Pages>26</Pages>
  <Words>3591</Words>
  <Characters>24048</Characters>
  <CharactersWithSpaces>26267</CharactersWithSpaces>
  <Paragraphs>1373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2026-07-28T10:45:00Z</dcterms:created>
  <dc:creator>Кочетов Сергей Владимирович</dc:creator>
  <dc:description/>
  <dc:language>ru-RU</dc:language>
  <cp:lastModifiedBy>sherstukdi@corp.gidroogk.com</cp:lastModifiedBy>
  <cp:lastPrinted>2026-07-28T10:50:00Z</cp:lastPrinted>
  <dcterms:modified xsi:type="dcterms:W3CDTF">2026-08-05T13:47:51Z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