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header6.xml" ContentType="application/vnd.openxmlformats-officedocument.wordprocessingml.header+xml"/>
  <Override PartName="/word/theme/theme1.xml" ContentType="application/vnd.openxmlformats-officedocument.theme+xml"/>
  <Override PartName="/word/header7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header8.xml" ContentType="application/vnd.openxmlformats-officedocument.wordprocessingml.header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exact" w:line="240" w:before="0" w:after="160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exact" w:line="240" w:before="0" w:after="160"/>
        <w:jc w:val="right"/>
        <w:rPr>
          <w:sz w:val="24"/>
          <w:szCs w:val="24"/>
        </w:rPr>
      </w:pPr>
      <w:r>
        <w:rPr>
          <w:sz w:val="24"/>
          <w:szCs w:val="24"/>
        </w:rPr>
        <w:t>УТВЕРЖДАЮ</w:t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  <w:t>Директор</w:t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Саяно-Шушенского филиала </w:t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  <w:t>АО «ТК РусГидро»</w:t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  <w:t>____________В.А. Кяри</w:t>
      </w:r>
    </w:p>
    <w:p>
      <w:pPr>
        <w:pStyle w:val="Normal"/>
        <w:jc w:val="right"/>
        <w:rPr>
          <w:rFonts w:eastAsia="Calibri"/>
          <w:b/>
          <w:color w:val="FF0000"/>
        </w:rPr>
      </w:pPr>
      <w:r>
        <w:rPr>
          <w:sz w:val="24"/>
          <w:szCs w:val="24"/>
        </w:rPr>
        <w:t>«______»___________________</w:t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оказание услуг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</w:rPr>
      </w:pPr>
      <w:r>
        <w:rPr>
          <w:rFonts w:eastAsia="Calibri"/>
          <w:b/>
        </w:rPr>
      </w:r>
    </w:p>
    <w:p>
      <w:pPr>
        <w:sectPr>
          <w:headerReference w:type="default" r:id="rId2"/>
          <w:type w:val="nextPage"/>
          <w:pgSz w:w="11906" w:h="16838"/>
          <w:pgMar w:left="1134" w:right="851" w:gutter="0" w:header="680" w:top="1276" w:footer="0" w:bottom="992"/>
          <w:pgNumType w:fmt="decimal"/>
          <w:formProt w:val="false"/>
          <w:textDirection w:val="lrTb"/>
          <w:docGrid w:type="default" w:linePitch="360" w:charSpace="0"/>
        </w:sectPr>
        <w:pStyle w:val="Normal"/>
        <w:keepNext w:val="true"/>
        <w:keepLines/>
        <w:jc w:val="center"/>
        <w:rPr>
          <w:rFonts w:eastAsia="Calibri"/>
        </w:rPr>
      </w:pPr>
      <w:r>
        <w:rPr>
          <w:rFonts w:eastAsia="Calibri"/>
        </w:rPr>
        <w:t>«ОКПД2 74.90.13.</w:t>
      </w:r>
      <w:r>
        <w:rPr>
          <w:rFonts w:eastAsia="Calibri"/>
        </w:rPr>
        <w:t>000 Оказание услуг по р</w:t>
      </w:r>
      <w:r>
        <w:rPr>
          <w:rFonts w:eastAsia="Calibri"/>
        </w:rPr>
        <w:t>азработк</w:t>
      </w:r>
      <w:r>
        <w:rPr>
          <w:rFonts w:eastAsia="Calibri"/>
        </w:rPr>
        <w:t>е</w:t>
      </w:r>
      <w:r>
        <w:rPr>
          <w:rFonts w:eastAsia="Calibri"/>
        </w:rPr>
        <w:t xml:space="preserve"> и согласовани</w:t>
      </w:r>
      <w:r>
        <w:rPr>
          <w:rFonts w:eastAsia="Calibri"/>
        </w:rPr>
        <w:t>ю</w:t>
      </w:r>
      <w:r>
        <w:rPr>
          <w:rFonts w:eastAsia="Calibri"/>
        </w:rPr>
        <w:t xml:space="preserve"> мероприятий по уменьшению выбросов загрязняющих веществ в атмосферный воздух в период неблагоприятных метеорологических условий для объектов НВОС III-й категории  для нужд Саяно-Шушенского филиала АО «ТК РусГидро»»</w:t>
      </w:r>
    </w:p>
    <w:p>
      <w:pPr>
        <w:pStyle w:val="Normal"/>
        <w:jc w:val="center"/>
        <w:rPr>
          <w:b/>
        </w:rPr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r>
            <w:fldChar w:fldCharType="begin"/>
          </w:r>
          <w:r>
            <w:rPr>
              <w:webHidden/>
              <w:rStyle w:val="Style14"/>
              <w:vanish w:val="false"/>
            </w:rPr>
            <w:instrText xml:space="preserve"> TOC \z \o "1-4" \u \h</w:instrText>
          </w:r>
          <w:r>
            <w:rPr>
              <w:webHidden/>
              <w:rStyle w:val="Style14"/>
              <w:vanish w:val="false"/>
            </w:rPr>
            <w:fldChar w:fldCharType="separate"/>
          </w:r>
          <w:hyperlink w:anchor="_Toc125462028">
            <w:r>
              <w:rPr>
                <w:webHidden/>
                <w:rStyle w:val="Style14"/>
                <w:vanish w:val="false"/>
              </w:rPr>
              <w:t>1.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_Toc125462028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Общие сведения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25462029">
            <w:r>
              <w:rPr>
                <w:webHidden/>
                <w:rStyle w:val="Style14"/>
                <w:iCs/>
                <w:vanish w:val="false"/>
              </w:rPr>
              <w:t>1.1.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_Toc125462029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Обозначения и сокращения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25462030">
            <w:r>
              <w:rPr>
                <w:webHidden/>
                <w:rStyle w:val="Style14"/>
                <w:iCs/>
                <w:vanish w:val="false"/>
              </w:rPr>
              <w:t>1.2.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_Toc125462030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Наименование закупаемой продукции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25462031">
            <w:r>
              <w:rPr>
                <w:webHidden/>
                <w:rStyle w:val="Style14"/>
                <w:iCs/>
                <w:vanish w:val="false"/>
              </w:rPr>
              <w:t>1.3.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_Toc125462031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Цель оказания услуг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25462032">
            <w:r>
              <w:rPr>
                <w:webHidden/>
                <w:rStyle w:val="Style14"/>
                <w:vanish w:val="false"/>
              </w:rPr>
              <w:t>Таблица 1. Перечень объектов заказчика</w:t>
              <w:tab/>
            </w:r>
          </w:hyperlink>
          <w:r>
            <w:rPr/>
            <w:t>4</w:t>
          </w:r>
        </w:p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25462034">
            <w:r>
              <w:rPr>
                <w:webHidden/>
                <w:rStyle w:val="Style14"/>
                <w:vanish w:val="false"/>
              </w:rPr>
              <w:t>2.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4"/>
                <w:iCs/>
              </w:rPr>
              <w:t>Требования к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_Toc125462034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25462035">
            <w:r>
              <w:rPr>
                <w:webHidden/>
                <w:rStyle w:val="Style14"/>
                <w:iCs/>
                <w:vanish w:val="false"/>
              </w:rPr>
              <w:t>2.1.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_Toc125462035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Требования к объемам и срокам оказания услуг</w:t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25462036">
            <w:r>
              <w:rPr>
                <w:webHidden/>
                <w:rStyle w:val="Style14"/>
                <w:vanish w:val="false"/>
              </w:rPr>
              <w:t>2.1.1.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_Toc125462036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Требования к перечню и объему услуг</w:t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25462037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_Toc125462037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</w:rPr>
              <w:t>Таблица 2. Перечень и объем оказываемых услуг</w:t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25462038">
            <w:r>
              <w:rPr>
                <w:webHidden/>
                <w:rStyle w:val="Style14"/>
                <w:vanish w:val="false"/>
              </w:rPr>
              <w:t>2.1.2.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_Toc125462038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Требования к срокам оказания услуг</w:t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25462039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_Toc125462039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</w:rPr>
              <w:t>Таблица 3. Требования к срокам оказания услуг</w:t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25462040">
            <w:r>
              <w:rPr>
                <w:webHidden/>
                <w:rStyle w:val="Style14"/>
                <w:iCs/>
                <w:vanish w:val="false"/>
              </w:rPr>
              <w:t>2.2.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_Toc125462040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Требования к качеству услуг</w:t>
              <w:tab/>
              <w:t>7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25462041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_Toc125462041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</w:rPr>
              <w:t>Таблица 4. Требования к качеству услуг</w:t>
              <w:tab/>
              <w:t>7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25462042">
            <w:r>
              <w:rPr>
                <w:webHidden/>
                <w:rStyle w:val="Style14"/>
                <w:vanish w:val="false"/>
              </w:rPr>
              <w:t>3.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_Toc125462042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Требования к документации по ценообразованию на этапе закупки</w:t>
              <w:tab/>
              <w:t>12</w:t>
            </w:r>
            <w:r>
              <w:rPr>
                <w:webHidden/>
              </w:rPr>
              <w:fldChar w:fldCharType="end"/>
            </w:r>
          </w:hyperlink>
          <w:r>
            <w:rPr>
              <w:rStyle w:val="Style14"/>
            </w:rPr>
            <w:fldChar w:fldCharType="end"/>
          </w:r>
        </w:p>
      </w:sdtContent>
    </w:sdt>
    <w:p>
      <w:pPr>
        <w:pStyle w:val="Heading2"/>
        <w:tabs>
          <w:tab w:val="clear" w:pos="0"/>
        </w:tabs>
        <w:ind w:left="0" w:hanging="0"/>
        <w:rPr>
          <w:b w:val="false"/>
          <w:i/>
          <w:i/>
        </w:rPr>
      </w:pPr>
      <w:r>
        <w:rPr>
          <w:b w:val="false"/>
          <w:i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  <w:lang w:val="en-US"/>
        </w:rPr>
      </w:pPr>
      <w:r>
        <w:rPr>
          <w:rFonts w:eastAsia="Calibri"/>
          <w:b/>
          <w:i/>
          <w:sz w:val="24"/>
          <w:szCs w:val="24"/>
          <w:lang w:val="en-US"/>
        </w:rPr>
      </w:r>
      <w:r>
        <w:br w:type="page"/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caps/>
          <w:lang w:val="ru-RU"/>
        </w:rPr>
      </w:pPr>
      <w:bookmarkStart w:id="0" w:name="_Toc125462028"/>
      <w:r>
        <w:rPr>
          <w:lang w:val="ru-RU"/>
        </w:rPr>
        <w:t>Общие сведения</w:t>
      </w:r>
      <w:bookmarkEnd w:id="0"/>
    </w:p>
    <w:p>
      <w:pPr>
        <w:pStyle w:val="Heading4"/>
        <w:numPr>
          <w:ilvl w:val="1"/>
          <w:numId w:val="3"/>
        </w:numPr>
        <w:rPr/>
      </w:pPr>
      <w:bookmarkStart w:id="1" w:name="_Toc125462029"/>
      <w:bookmarkStart w:id="2" w:name="_Toc46743505"/>
      <w:r>
        <w:rPr/>
        <w:t>Обозначения и сокращения</w:t>
      </w:r>
      <w:bookmarkEnd w:id="1"/>
      <w:bookmarkEnd w:id="2"/>
    </w:p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935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2341"/>
        <w:gridCol w:w="7016"/>
      </w:tblGrid>
      <w:tr>
        <w:trPr>
          <w:cantSplit w:val="true"/>
        </w:trPr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bCs/>
                <w:sz w:val="24"/>
                <w:szCs w:val="24"/>
                <w:shd w:fill="FFFF99" w:val="clear"/>
              </w:rPr>
            </w:pPr>
            <w:r>
              <w:rPr>
                <w:bCs/>
                <w:spacing w:val="-2"/>
                <w:sz w:val="24"/>
                <w:szCs w:val="24"/>
              </w:rPr>
              <w:t>РФ</w:t>
            </w:r>
          </w:p>
        </w:tc>
        <w:tc>
          <w:tcPr>
            <w:tcW w:w="7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bCs/>
                <w:spacing w:val="-2"/>
                <w:sz w:val="24"/>
                <w:szCs w:val="24"/>
              </w:rPr>
            </w:pPr>
            <w:r>
              <w:rPr>
                <w:bCs/>
                <w:spacing w:val="-2"/>
                <w:sz w:val="24"/>
                <w:szCs w:val="24"/>
              </w:rPr>
              <w:t>Российская Федерация</w:t>
            </w:r>
          </w:p>
        </w:tc>
      </w:tr>
      <w:tr>
        <w:trPr>
          <w:cantSplit w:val="true"/>
        </w:trPr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rPr>
                <w:bCs/>
                <w:sz w:val="24"/>
                <w:szCs w:val="24"/>
                <w:shd w:fill="FFFF99" w:val="clear"/>
              </w:rPr>
            </w:pPr>
            <w:r>
              <w:rPr>
                <w:bCs/>
                <w:iCs/>
                <w:sz w:val="24"/>
                <w:szCs w:val="24"/>
              </w:rPr>
              <w:t>АО «ТК РусГидро»</w:t>
            </w:r>
          </w:p>
        </w:tc>
        <w:tc>
          <w:tcPr>
            <w:tcW w:w="7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bCs/>
                <w:spacing w:val="-2"/>
                <w:sz w:val="24"/>
                <w:szCs w:val="24"/>
              </w:rPr>
            </w:pPr>
            <w:r>
              <w:rPr>
                <w:bCs/>
                <w:spacing w:val="-2"/>
                <w:sz w:val="24"/>
                <w:szCs w:val="24"/>
              </w:rPr>
              <w:t>Акционерное общество «Транспортной компании РусГидро»</w:t>
            </w:r>
          </w:p>
        </w:tc>
      </w:tr>
      <w:tr>
        <w:trPr>
          <w:cantSplit w:val="true"/>
        </w:trPr>
        <w:tc>
          <w:tcPr>
            <w:tcW w:w="23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НПА</w:t>
            </w:r>
          </w:p>
        </w:tc>
        <w:tc>
          <w:tcPr>
            <w:tcW w:w="7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Heading1"/>
              <w:keepLines/>
              <w:widowControl w:val="false"/>
              <w:tabs>
                <w:tab w:val="clear" w:pos="0"/>
              </w:tabs>
              <w:spacing w:before="0" w:after="0"/>
              <w:ind w:left="0" w:hanging="0"/>
              <w:jc w:val="both"/>
              <w:rPr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  <w:t>Нормативные правовые акты</w:t>
            </w:r>
          </w:p>
        </w:tc>
      </w:tr>
      <w:tr>
        <w:trPr>
          <w:cantSplit w:val="true"/>
        </w:trPr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rPr>
                <w:bCs/>
                <w:spacing w:val="-2"/>
                <w:sz w:val="24"/>
                <w:szCs w:val="24"/>
              </w:rPr>
            </w:pPr>
            <w:r>
              <w:rPr>
                <w:bCs/>
                <w:spacing w:val="-2"/>
                <w:sz w:val="24"/>
                <w:szCs w:val="24"/>
              </w:rPr>
              <w:t>НВОС</w:t>
            </w:r>
          </w:p>
        </w:tc>
        <w:tc>
          <w:tcPr>
            <w:tcW w:w="7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bCs/>
                <w:spacing w:val="-2"/>
                <w:sz w:val="24"/>
                <w:szCs w:val="24"/>
              </w:rPr>
            </w:pPr>
            <w:r>
              <w:rPr>
                <w:bCs/>
                <w:spacing w:val="-2"/>
                <w:sz w:val="24"/>
                <w:szCs w:val="24"/>
              </w:rPr>
              <w:t>Негативное воздействие на окружающую среду</w:t>
            </w:r>
          </w:p>
        </w:tc>
      </w:tr>
      <w:tr>
        <w:trPr>
          <w:cantSplit w:val="true"/>
        </w:trPr>
        <w:tc>
          <w:tcPr>
            <w:tcW w:w="23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rPr>
                <w:bCs/>
                <w:spacing w:val="-2"/>
                <w:sz w:val="24"/>
                <w:szCs w:val="24"/>
              </w:rPr>
            </w:pPr>
            <w:r>
              <w:rPr>
                <w:bCs/>
                <w:spacing w:val="-2"/>
                <w:sz w:val="24"/>
                <w:szCs w:val="24"/>
              </w:rPr>
              <w:t>НМУ</w:t>
            </w:r>
          </w:p>
        </w:tc>
        <w:tc>
          <w:tcPr>
            <w:tcW w:w="7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rPr>
                <w:bCs/>
                <w:spacing w:val="-2"/>
                <w:sz w:val="24"/>
                <w:szCs w:val="24"/>
              </w:rPr>
            </w:pPr>
            <w:r>
              <w:rPr>
                <w:bCs/>
                <w:spacing w:val="-2"/>
                <w:sz w:val="24"/>
                <w:szCs w:val="24"/>
              </w:rPr>
              <w:t>Неблагоприятные метеорологические условия</w:t>
            </w:r>
          </w:p>
        </w:tc>
      </w:tr>
    </w:tbl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Heading4"/>
        <w:numPr>
          <w:ilvl w:val="1"/>
          <w:numId w:val="3"/>
        </w:numPr>
        <w:spacing w:lineRule="auto" w:line="240" w:before="0" w:after="0"/>
        <w:ind w:left="0" w:right="0" w:hanging="0"/>
        <w:rPr/>
      </w:pPr>
      <w:bookmarkStart w:id="3" w:name="_Toc125462030"/>
      <w:bookmarkStart w:id="4" w:name="_Toc46743506"/>
      <w:r>
        <w:rPr/>
        <w:t>Наименование закупаемой продукции</w:t>
      </w:r>
      <w:bookmarkEnd w:id="3"/>
      <w:bookmarkEnd w:id="4"/>
    </w:p>
    <w:p>
      <w:pPr>
        <w:pStyle w:val="Normal"/>
        <w:widowControl w:val="false"/>
        <w:tabs>
          <w:tab w:val="clear" w:pos="708"/>
          <w:tab w:val="left" w:pos="426" w:leader="none"/>
        </w:tabs>
        <w:spacing w:lineRule="auto" w:line="240" w:before="0" w:after="0"/>
        <w:ind w:left="0" w:right="0" w:hanging="0"/>
        <w:jc w:val="left"/>
        <w:rPr/>
      </w:pPr>
      <w:r>
        <w:rPr>
          <w:rFonts w:eastAsia="Calibri"/>
          <w:sz w:val="24"/>
          <w:szCs w:val="24"/>
          <w:lang w:eastAsia="x-none"/>
        </w:rPr>
        <w:t>ОКПД2 74.90.13</w:t>
      </w:r>
      <w:r>
        <w:rPr>
          <w:rFonts w:eastAsia="Calibri"/>
          <w:sz w:val="24"/>
          <w:szCs w:val="24"/>
          <w:lang w:eastAsia="x-none"/>
        </w:rPr>
        <w:t>.000 Оказание услуг по р</w:t>
      </w:r>
      <w:r>
        <w:rPr>
          <w:rFonts w:eastAsia="Calibri"/>
          <w:sz w:val="24"/>
          <w:szCs w:val="24"/>
          <w:lang w:eastAsia="x-none"/>
        </w:rPr>
        <w:t>азработк</w:t>
      </w:r>
      <w:r>
        <w:rPr>
          <w:rFonts w:eastAsia="Calibri"/>
          <w:sz w:val="24"/>
          <w:szCs w:val="24"/>
          <w:lang w:eastAsia="x-none"/>
        </w:rPr>
        <w:t>е</w:t>
      </w:r>
      <w:r>
        <w:rPr>
          <w:rFonts w:eastAsia="Calibri"/>
          <w:sz w:val="24"/>
          <w:szCs w:val="24"/>
          <w:lang w:eastAsia="x-none"/>
        </w:rPr>
        <w:t xml:space="preserve"> и согласовани</w:t>
      </w:r>
      <w:r>
        <w:rPr>
          <w:rFonts w:eastAsia="Calibri"/>
          <w:sz w:val="24"/>
          <w:szCs w:val="24"/>
          <w:lang w:eastAsia="x-none"/>
        </w:rPr>
        <w:t>ю</w:t>
      </w:r>
      <w:r>
        <w:rPr>
          <w:rFonts w:eastAsia="Calibri"/>
          <w:sz w:val="24"/>
          <w:szCs w:val="24"/>
          <w:lang w:eastAsia="x-none"/>
        </w:rPr>
        <w:t xml:space="preserve"> мероприятий по уменьшению выбросов загрязняющих веществ в атмосферный воздух в период неблагоприятных метеорологических условий для объектов НВОС III-й категории  для нужд Саяно-Шушенского филиала АО «ТК РусГидро»</w:t>
        <w:br/>
      </w:r>
    </w:p>
    <w:p>
      <w:pPr>
        <w:pStyle w:val="Heading4"/>
        <w:numPr>
          <w:ilvl w:val="1"/>
          <w:numId w:val="3"/>
        </w:numPr>
        <w:spacing w:before="0" w:after="60"/>
        <w:ind w:left="431" w:hanging="431"/>
        <w:rPr/>
      </w:pPr>
      <w:bookmarkStart w:id="5" w:name="_Toc125462031"/>
      <w:bookmarkStart w:id="6" w:name="_Toc46743507"/>
      <w:r>
        <w:rPr/>
        <w:t xml:space="preserve">Цель </w:t>
      </w:r>
      <w:bookmarkEnd w:id="6"/>
      <w:r>
        <w:rPr>
          <w:lang w:val="ru-RU"/>
        </w:rPr>
        <w:t>оказания услуг</w:t>
      </w:r>
      <w:bookmarkEnd w:id="5"/>
      <w:r>
        <w:rPr/>
        <w:t xml:space="preserve"> </w:t>
      </w:r>
    </w:p>
    <w:p>
      <w:pPr>
        <w:pStyle w:val="Normal"/>
        <w:jc w:val="both"/>
        <w:rPr>
          <w:b w:val="false"/>
          <w:sz w:val="24"/>
          <w:szCs w:val="24"/>
          <w:lang w:val="ru-RU"/>
        </w:rPr>
      </w:pPr>
      <w:r>
        <w:rPr>
          <w:b w:val="false"/>
          <w:sz w:val="24"/>
          <w:szCs w:val="24"/>
          <w:lang w:val="ru-RU"/>
        </w:rPr>
        <w:t xml:space="preserve"> </w:t>
      </w:r>
      <w:r>
        <w:rPr>
          <w:b w:val="false"/>
          <w:i w:val="false"/>
          <w:sz w:val="24"/>
          <w:szCs w:val="24"/>
        </w:rPr>
        <w:t xml:space="preserve">Во исполнение </w:t>
      </w:r>
      <w:r>
        <w:rPr>
          <w:sz w:val="24"/>
          <w:szCs w:val="24"/>
        </w:rPr>
        <w:t>Приказа Минприроды России от 28.11.2025 N 662 "Об утверждении требований к содержанию, составу, форме, порядку разработки, согласования и утверждения плана мероприятий по снижению выбросов загрязняющих веществ в атмосферный воздух в периоды неблагоприятных метеорологических условий" (Зарегистрировано в Минюсте России 28.11.2025 N 84375), с целью</w:t>
      </w:r>
      <w:r>
        <w:rPr>
          <w:color w:val="000000"/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уменьшению выбросов загрязняющих веществ в атмосферный воздух в период неблагоприятных метеорологических условий.</w:t>
      </w:r>
    </w:p>
    <w:p>
      <w:pPr>
        <w:pStyle w:val="Heading1"/>
        <w:tabs>
          <w:tab w:val="clear" w:pos="0"/>
        </w:tabs>
        <w:spacing w:before="0" w:after="0"/>
        <w:ind w:left="0" w:hanging="0"/>
        <w:jc w:val="both"/>
        <w:rPr>
          <w:b w:val="false"/>
          <w:sz w:val="24"/>
          <w:szCs w:val="24"/>
          <w:lang w:val="ru-RU"/>
        </w:rPr>
      </w:pPr>
      <w:r>
        <w:rPr>
          <w:b w:val="false"/>
          <w:sz w:val="24"/>
          <w:szCs w:val="24"/>
          <w:lang w:val="ru-RU"/>
        </w:rPr>
      </w:r>
      <w:bookmarkStart w:id="7" w:name="_Toc125462032"/>
      <w:bookmarkStart w:id="8" w:name="_Toc125462032"/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keepLines/>
        <w:tabs>
          <w:tab w:val="clear" w:pos="0"/>
        </w:tabs>
        <w:spacing w:before="0" w:after="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</w:rPr>
        <w:t>Таблица 1</w:t>
      </w:r>
      <w:r>
        <w:rPr>
          <w:sz w:val="24"/>
          <w:szCs w:val="24"/>
          <w:lang w:val="ru-RU"/>
        </w:rPr>
        <w:t>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Перечень объектов заказчика</w:t>
      </w:r>
      <w:bookmarkEnd w:id="8"/>
    </w:p>
    <w:tbl>
      <w:tblPr>
        <w:tblW w:w="9918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817"/>
        <w:gridCol w:w="2842"/>
        <w:gridCol w:w="2146"/>
        <w:gridCol w:w="2400"/>
        <w:gridCol w:w="1713"/>
      </w:tblGrid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Наименование объекта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 xml:space="preserve">Расположение объекта </w:t>
              <w:br/>
            </w:r>
            <w:r>
              <w:rPr>
                <w:i/>
                <w:iCs/>
                <w:sz w:val="24"/>
                <w:szCs w:val="24"/>
              </w:rPr>
              <w:t>(место оказания услуг)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 xml:space="preserve">Наименование основного средства </w:t>
              <w:br/>
              <w:t>(в отношении которого оказываются услуги)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Примечания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>
        <w:trPr>
          <w:trHeight w:val="1398" w:hRule="atLeast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rFonts w:eastAsia="Calibri"/>
                <w:iCs/>
                <w:sz w:val="24"/>
                <w:szCs w:val="24"/>
                <w:lang w:eastAsia="x-none"/>
              </w:rPr>
              <w:t>ОКПД2 74.90.13</w:t>
            </w:r>
            <w:r>
              <w:rPr>
                <w:rFonts w:eastAsia="Calibri"/>
                <w:iCs/>
                <w:sz w:val="24"/>
                <w:szCs w:val="24"/>
                <w:lang w:eastAsia="x-none"/>
              </w:rPr>
              <w:t>.000 Оказание услуг по р</w:t>
            </w:r>
            <w:r>
              <w:rPr>
                <w:rFonts w:eastAsia="Calibri"/>
                <w:iCs/>
                <w:sz w:val="24"/>
                <w:szCs w:val="24"/>
                <w:lang w:eastAsia="x-none"/>
              </w:rPr>
              <w:t>азработк</w:t>
            </w:r>
            <w:r>
              <w:rPr>
                <w:rFonts w:eastAsia="Calibri"/>
                <w:iCs/>
                <w:sz w:val="24"/>
                <w:szCs w:val="24"/>
                <w:lang w:eastAsia="x-none"/>
              </w:rPr>
              <w:t>е</w:t>
            </w:r>
            <w:r>
              <w:rPr>
                <w:rFonts w:eastAsia="Calibri"/>
                <w:iCs/>
                <w:sz w:val="24"/>
                <w:szCs w:val="24"/>
                <w:lang w:eastAsia="x-none"/>
              </w:rPr>
              <w:t xml:space="preserve"> и согласовани</w:t>
            </w:r>
            <w:r>
              <w:rPr>
                <w:rFonts w:eastAsia="Calibri"/>
                <w:iCs/>
                <w:sz w:val="24"/>
                <w:szCs w:val="24"/>
                <w:lang w:eastAsia="x-none"/>
              </w:rPr>
              <w:t>ю</w:t>
            </w:r>
            <w:r>
              <w:rPr>
                <w:rFonts w:eastAsia="Calibri"/>
                <w:iCs/>
                <w:sz w:val="24"/>
                <w:szCs w:val="24"/>
                <w:lang w:eastAsia="x-none"/>
              </w:rPr>
              <w:t xml:space="preserve"> мероприятий по уменьшению выбросов загрязняющих веществ в атмосферный воздух в период неблагоприятных метеорологических условий для объектов НВОС III-й категории  для нужд Саяно-Шушенского филиала АО «ТК РусГидро»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iCs/>
                <w:sz w:val="24"/>
                <w:szCs w:val="24"/>
              </w:rPr>
              <w:t>Республика Хакасия,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iCs/>
                <w:sz w:val="24"/>
                <w:szCs w:val="24"/>
              </w:rPr>
              <w:t>г. Саяногорск,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iCs/>
                <w:sz w:val="24"/>
                <w:szCs w:val="24"/>
              </w:rPr>
              <w:t>рп. Черёмушки, стр.101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iCs/>
                <w:sz w:val="24"/>
                <w:szCs w:val="24"/>
              </w:rPr>
              <w:t>территория  Саяно-Шушенского филиала АО «ТК РусГидро»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</w:p>
        </w:tc>
      </w:tr>
    </w:tbl>
    <w:p>
      <w:pPr>
        <w:pStyle w:val="Heading4"/>
        <w:tabs>
          <w:tab w:val="clear" w:pos="0"/>
        </w:tabs>
        <w:ind w:left="432" w:hanging="0"/>
        <w:rPr>
          <w:lang w:val="ru-RU" w:eastAsia="ar-SA"/>
        </w:rPr>
      </w:pPr>
      <w:r>
        <w:rPr>
          <w:lang w:val="ru-RU" w:eastAsia="ar-SA"/>
        </w:rPr>
      </w:r>
    </w:p>
    <w:p>
      <w:pPr>
        <w:pStyle w:val="Normal"/>
        <w:ind w:left="432" w:hanging="0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</w:r>
    </w:p>
    <w:p>
      <w:pPr>
        <w:pStyle w:val="Normal"/>
        <w:ind w:left="432" w:hanging="0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</w:r>
    </w:p>
    <w:p>
      <w:pPr>
        <w:pStyle w:val="Normal"/>
        <w:ind w:left="432" w:hanging="0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</w:r>
    </w:p>
    <w:p>
      <w:pPr>
        <w:pStyle w:val="Normal"/>
        <w:ind w:left="432" w:hanging="0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</w:r>
    </w:p>
    <w:p>
      <w:pPr>
        <w:pStyle w:val="Normal"/>
        <w:ind w:left="432" w:hanging="0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</w:r>
    </w:p>
    <w:p>
      <w:pPr>
        <w:pStyle w:val="Normal"/>
        <w:ind w:left="432" w:hanging="0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/>
      </w:pPr>
      <w:r>
        <w:rPr>
          <w:iCs/>
          <w:lang w:val="ru-RU"/>
        </w:rPr>
        <w:t>Требования</w:t>
      </w:r>
      <w:r>
        <w:rPr>
          <w:iCs/>
        </w:rPr>
        <w:t xml:space="preserve"> к продукции</w:t>
      </w:r>
    </w:p>
    <w:p>
      <w:pPr>
        <w:pStyle w:val="Heading4"/>
        <w:numPr>
          <w:ilvl w:val="1"/>
          <w:numId w:val="3"/>
        </w:numPr>
        <w:rPr/>
      </w:pPr>
      <w:bookmarkStart w:id="9" w:name="_Toc125462035"/>
      <w:r>
        <w:rPr/>
        <w:t xml:space="preserve">Требования к объемам и срокам </w:t>
      </w:r>
      <w:r>
        <w:rPr>
          <w:lang w:val="ru-RU"/>
        </w:rPr>
        <w:t>оказания услуг</w:t>
      </w:r>
      <w:bookmarkEnd w:id="9"/>
    </w:p>
    <w:p>
      <w:pPr>
        <w:pStyle w:val="Heading3"/>
        <w:numPr>
          <w:ilvl w:val="2"/>
          <w:numId w:val="3"/>
        </w:numPr>
        <w:rPr/>
      </w:pPr>
      <w:bookmarkStart w:id="10" w:name="_Toc125462036"/>
      <w:r>
        <w:rPr>
          <w:lang w:val="ru-RU"/>
        </w:rPr>
        <w:t>Требования к перечню и объему услуг</w:t>
      </w:r>
      <w:bookmarkEnd w:id="10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  <w:lang w:val="ru-RU"/>
        </w:rPr>
      </w:pPr>
      <w:bookmarkStart w:id="11" w:name="_Toc125462037"/>
      <w:bookmarkStart w:id="12" w:name="_Toc5133969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12"/>
      <w:r>
        <w:rPr>
          <w:sz w:val="24"/>
          <w:szCs w:val="24"/>
          <w:lang w:val="ru-RU"/>
        </w:rPr>
        <w:t>и объем оказываемых услуг</w:t>
      </w:r>
      <w:bookmarkEnd w:id="11"/>
    </w:p>
    <w:tbl>
      <w:tblPr>
        <w:tblW w:w="9810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722"/>
        <w:gridCol w:w="127"/>
        <w:gridCol w:w="4849"/>
        <w:gridCol w:w="1995"/>
        <w:gridCol w:w="2116"/>
      </w:tblGrid>
      <w:tr>
        <w:trPr/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 / этапа услуг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98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</w:t>
            </w:r>
            <w:r>
              <w:rPr>
                <w:rFonts w:eastAsia="Calibri"/>
                <w:color w:val="000000"/>
                <w:sz w:val="22"/>
                <w:szCs w:val="22"/>
                <w:lang w:eastAsia="x-none"/>
              </w:rPr>
              <w:t>ОКПД2 74.90.13</w:t>
            </w:r>
            <w:r>
              <w:rPr>
                <w:rFonts w:eastAsia="Calibri"/>
                <w:color w:val="000000"/>
                <w:sz w:val="22"/>
                <w:szCs w:val="22"/>
                <w:lang w:eastAsia="x-none"/>
              </w:rPr>
              <w:t>.000 Оказание услуг по р</w:t>
            </w:r>
            <w:r>
              <w:rPr>
                <w:rFonts w:eastAsia="Calibri"/>
                <w:color w:val="000000"/>
                <w:sz w:val="22"/>
                <w:szCs w:val="22"/>
                <w:lang w:eastAsia="x-none"/>
              </w:rPr>
              <w:t>азработк</w:t>
            </w:r>
            <w:r>
              <w:rPr>
                <w:rFonts w:eastAsia="Calibri"/>
                <w:color w:val="000000"/>
                <w:sz w:val="22"/>
                <w:szCs w:val="22"/>
                <w:lang w:eastAsia="x-none"/>
              </w:rPr>
              <w:t>е</w:t>
            </w:r>
            <w:r>
              <w:rPr>
                <w:rFonts w:eastAsia="Calibri"/>
                <w:color w:val="000000"/>
                <w:sz w:val="22"/>
                <w:szCs w:val="22"/>
                <w:lang w:eastAsia="x-none"/>
              </w:rPr>
              <w:t xml:space="preserve"> и согласовани</w:t>
            </w:r>
            <w:r>
              <w:rPr>
                <w:rFonts w:eastAsia="Calibri"/>
                <w:color w:val="000000"/>
                <w:sz w:val="22"/>
                <w:szCs w:val="22"/>
                <w:lang w:eastAsia="x-none"/>
              </w:rPr>
              <w:t>ю</w:t>
            </w:r>
            <w:r>
              <w:rPr>
                <w:rFonts w:eastAsia="Calibri"/>
                <w:color w:val="000000"/>
                <w:sz w:val="22"/>
                <w:szCs w:val="22"/>
                <w:lang w:eastAsia="x-none"/>
              </w:rPr>
              <w:t xml:space="preserve"> мероприятий по уменьшению выбросов загрязняющих веществ в атмосферный воздух в период неблагоприятных метеорологических условий для объектов НВОС III-й категории  для нужд Саяно-Шушенского филиала АО «ТК РусГидро»</w:t>
            </w:r>
          </w:p>
        </w:tc>
      </w:tr>
      <w:tr>
        <w:trPr/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>
              <w:rPr>
                <w:sz w:val="22"/>
                <w:szCs w:val="22"/>
              </w:rPr>
              <w:t>1.1</w:t>
            </w:r>
          </w:p>
        </w:tc>
        <w:tc>
          <w:tcPr>
            <w:tcW w:w="497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7740" w:leader="none"/>
              </w:tabs>
              <w:spacing w:before="100" w:after="100"/>
              <w:ind w:left="312" w:hanging="392"/>
              <w:jc w:val="center"/>
              <w:textAlignment w:val="baseline"/>
              <w:rPr/>
            </w:pPr>
            <w:r>
              <w:rPr>
                <w:bCs/>
                <w:color w:val="000000"/>
                <w:sz w:val="22"/>
                <w:szCs w:val="22"/>
              </w:rPr>
              <w:t>Определение перечня загрязняющих веществ для НМУ 1, 2 и 3 степеней опасности, подлежащих нормированию в области охраны окружающей среды, в отношении которых необходимо уменьшение выбросов в период НМУ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>
        <w:trPr/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</w:t>
            </w:r>
          </w:p>
        </w:tc>
        <w:tc>
          <w:tcPr>
            <w:tcW w:w="497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7740" w:leader="none"/>
              </w:tabs>
              <w:spacing w:before="100" w:after="100"/>
              <w:jc w:val="center"/>
              <w:textAlignment w:val="baseline"/>
              <w:rPr/>
            </w:pPr>
            <w:r>
              <w:rPr>
                <w:bCs/>
                <w:color w:val="000000"/>
                <w:sz w:val="22"/>
                <w:szCs w:val="22"/>
              </w:rPr>
              <w:t>Определение перечня источников, на которых проводится уменьшение выбросов в период НМУ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>
        <w:trPr/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</w:t>
            </w:r>
          </w:p>
        </w:tc>
        <w:tc>
          <w:tcPr>
            <w:tcW w:w="497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7740" w:leader="none"/>
              </w:tabs>
              <w:spacing w:before="100" w:after="100"/>
              <w:jc w:val="center"/>
              <w:textAlignment w:val="baseline"/>
              <w:rPr/>
            </w:pPr>
            <w:r>
              <w:rPr>
                <w:bCs/>
                <w:color w:val="000000"/>
                <w:sz w:val="22"/>
                <w:szCs w:val="22"/>
              </w:rPr>
              <w:t>Разработка мероприятий при НМУ для выбранных источников выбросов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>
        <w:trPr/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</w:t>
            </w:r>
          </w:p>
        </w:tc>
        <w:tc>
          <w:tcPr>
            <w:tcW w:w="497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7740" w:leader="none"/>
              </w:tabs>
              <w:spacing w:before="100" w:after="100"/>
              <w:jc w:val="center"/>
              <w:textAlignment w:val="baseline"/>
              <w:rPr/>
            </w:pPr>
            <w:r>
              <w:rPr>
                <w:color w:val="000000"/>
                <w:sz w:val="22"/>
                <w:szCs w:val="22"/>
              </w:rPr>
              <w:t>Определение перечня организационных мероприятий при НМУ, проведение которых направлено на снижение загрязнения атмосферного воздуха в периоды НМУ 1, 2 и 3 степени опасности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>
        <w:trPr/>
        <w:tc>
          <w:tcPr>
            <w:tcW w:w="7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</w:t>
            </w:r>
          </w:p>
        </w:tc>
        <w:tc>
          <w:tcPr>
            <w:tcW w:w="497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7740" w:leader="none"/>
              </w:tabs>
              <w:spacing w:before="100" w:after="100"/>
              <w:jc w:val="center"/>
              <w:textAlignment w:val="baseline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Расчет приземных концентраций загрязняющих веществ в штатном режиме работы предприятия, в том числе на период НМУ, и с учетом реализации разработанных мероприятий при НМУ</w:t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2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>
        <w:trPr/>
        <w:tc>
          <w:tcPr>
            <w:tcW w:w="7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1.6</w:t>
            </w:r>
          </w:p>
        </w:tc>
        <w:tc>
          <w:tcPr>
            <w:tcW w:w="497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7740" w:leader="none"/>
              </w:tabs>
              <w:spacing w:before="100" w:after="100"/>
              <w:jc w:val="center"/>
              <w:textAlignment w:val="baseline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Оценка мероприятий, проведенных на объектах негативного воздействия в период НМУ</w:t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2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>
        <w:trPr/>
        <w:tc>
          <w:tcPr>
            <w:tcW w:w="7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1.7</w:t>
            </w:r>
          </w:p>
        </w:tc>
        <w:tc>
          <w:tcPr>
            <w:tcW w:w="497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7740" w:leader="none"/>
              </w:tabs>
              <w:spacing w:before="100" w:after="100"/>
              <w:jc w:val="center"/>
              <w:textAlignment w:val="baseline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Согласование с Министерством природных ресурсов и экологии Республики Хакасия</w:t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2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</w:tbl>
    <w:p>
      <w:pPr>
        <w:pStyle w:val="Heading3"/>
        <w:tabs>
          <w:tab w:val="clear" w:pos="0"/>
        </w:tabs>
        <w:ind w:left="0" w:hanging="0"/>
        <w:rPr>
          <w:lang w:val="ru-RU"/>
        </w:rPr>
      </w:pPr>
      <w:r>
        <w:rPr>
          <w:lang w:val="ru-RU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Heading3"/>
        <w:numPr>
          <w:ilvl w:val="2"/>
          <w:numId w:val="3"/>
        </w:numPr>
        <w:rPr>
          <w:lang w:val="ru-RU"/>
        </w:rPr>
      </w:pPr>
      <w:bookmarkStart w:id="13" w:name="_Toc125462038"/>
      <w:bookmarkStart w:id="14" w:name="_Toc51339696"/>
      <w:r>
        <w:rPr>
          <w:lang w:val="ru-RU"/>
        </w:rPr>
        <w:t xml:space="preserve">Требования </w:t>
      </w:r>
      <w:bookmarkEnd w:id="14"/>
      <w:r>
        <w:rPr>
          <w:lang w:val="ru-RU"/>
        </w:rPr>
        <w:t>к срокам оказания услуг</w:t>
      </w:r>
      <w:bookmarkEnd w:id="13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Heading1"/>
        <w:tabs>
          <w:tab w:val="clear" w:pos="0"/>
        </w:tabs>
        <w:spacing w:before="240" w:after="60"/>
        <w:ind w:left="0" w:hanging="0"/>
        <w:rPr>
          <w:sz w:val="24"/>
          <w:szCs w:val="24"/>
          <w:lang w:val="ru-RU"/>
        </w:rPr>
      </w:pPr>
      <w:bookmarkStart w:id="15" w:name="_Toc50125126_Копия_1"/>
      <w:bookmarkStart w:id="16" w:name="_Toc51339697"/>
      <w:bookmarkStart w:id="17" w:name="_Toc125462039"/>
      <w:bookmarkStart w:id="18" w:name="_Toc50125127"/>
      <w:bookmarkEnd w:id="1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</w:t>
      </w:r>
      <w:bookmarkStart w:id="19" w:name="_Hlk50465284"/>
      <w:r>
        <w:rPr>
          <w:sz w:val="24"/>
          <w:szCs w:val="24"/>
        </w:rPr>
        <w:t xml:space="preserve">Требования </w:t>
      </w:r>
      <w:r>
        <w:rPr>
          <w:sz w:val="24"/>
          <w:szCs w:val="24"/>
          <w:lang w:val="ru-RU"/>
        </w:rPr>
        <w:t>к</w:t>
      </w:r>
      <w:r>
        <w:rPr>
          <w:sz w:val="24"/>
          <w:szCs w:val="24"/>
        </w:rPr>
        <w:t xml:space="preserve"> срокам </w:t>
      </w:r>
      <w:bookmarkEnd w:id="16"/>
      <w:bookmarkEnd w:id="18"/>
      <w:bookmarkEnd w:id="19"/>
      <w:r>
        <w:rPr>
          <w:sz w:val="24"/>
          <w:szCs w:val="24"/>
          <w:lang w:val="ru-RU"/>
        </w:rPr>
        <w:t>оказания услуг</w:t>
      </w:r>
      <w:bookmarkEnd w:id="17"/>
      <w:r>
        <w:rPr>
          <w:sz w:val="24"/>
          <w:szCs w:val="24"/>
          <w:lang w:val="ru-RU"/>
        </w:rPr>
        <w:t>:</w:t>
      </w:r>
    </w:p>
    <w:tbl>
      <w:tblPr>
        <w:tblW w:w="9776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130"/>
        <w:gridCol w:w="2550"/>
        <w:gridCol w:w="2979"/>
        <w:gridCol w:w="3116"/>
      </w:tblGrid>
      <w:tr>
        <w:trPr/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услуг/ этапа услуг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оказания услуг/ этапа услуг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оказания услуг / этапа услуг</w:t>
            </w:r>
          </w:p>
        </w:tc>
      </w:tr>
      <w:tr>
        <w:trPr/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/>
            </w:pPr>
            <w:r>
              <w:rPr/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ОКПД2 74.90.13.000 Оказание услуг по разработке и согласованию мероприятий по уменьшению выбросов загрязняющих веществ в атмосферный воздух в период неблагоприятных метеорологических условий для объектов НВОС III-й категории  для нужд Саяно-Шушенского филиала АО «ТК РусГидро»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 даты заключения договора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bookmarkStart w:id="20" w:name="_Toc46743510"/>
            <w:r>
              <w:rPr>
                <w:bCs/>
                <w:sz w:val="24"/>
                <w:szCs w:val="24"/>
              </w:rPr>
              <w:t>по 31.12.2026 г.</w:t>
            </w:r>
            <w:bookmarkEnd w:id="20"/>
          </w:p>
        </w:tc>
      </w:tr>
    </w:tbl>
    <w:p>
      <w:pPr>
        <w:sectPr>
          <w:headerReference w:type="even" r:id="rId3"/>
          <w:headerReference w:type="default" r:id="rId4"/>
          <w:headerReference w:type="first" r:id="rId5"/>
          <w:type w:val="nextPage"/>
          <w:pgSz w:w="11906" w:h="16838"/>
          <w:pgMar w:left="1134" w:right="851" w:gutter="0" w:header="680" w:top="1130" w:footer="0" w:bottom="992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Heading4"/>
        <w:numPr>
          <w:ilvl w:val="1"/>
          <w:numId w:val="3"/>
        </w:numPr>
        <w:rPr/>
      </w:pPr>
      <w:bookmarkStart w:id="21" w:name="_Toc46743511"/>
      <w:bookmarkStart w:id="22" w:name="_Toc51339698"/>
      <w:bookmarkStart w:id="23" w:name="_Toc125462040"/>
      <w:r>
        <w:rPr/>
        <w:t xml:space="preserve">Требования к </w:t>
      </w:r>
      <w:bookmarkEnd w:id="21"/>
      <w:r>
        <w:rPr>
          <w:lang w:val="ru-RU"/>
        </w:rPr>
        <w:t>качеству услуг</w:t>
      </w:r>
      <w:bookmarkEnd w:id="23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</w:rPr>
      </w:pPr>
      <w:bookmarkStart w:id="24" w:name="_Toc125462041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4</w:t>
      </w:r>
      <w:r>
        <w:rPr>
          <w:sz w:val="24"/>
          <w:szCs w:val="24"/>
        </w:rPr>
        <w:t xml:space="preserve">. Требования к </w:t>
      </w:r>
      <w:bookmarkEnd w:id="22"/>
      <w:r>
        <w:rPr>
          <w:sz w:val="24"/>
          <w:szCs w:val="24"/>
          <w:lang w:val="ru-RU"/>
        </w:rPr>
        <w:t>качеству услуг</w:t>
      </w:r>
      <w:bookmarkEnd w:id="24"/>
      <w:r>
        <w:rPr>
          <w:sz w:val="24"/>
          <w:szCs w:val="24"/>
        </w:rPr>
        <w:t xml:space="preserve"> </w:t>
      </w:r>
    </w:p>
    <w:p>
      <w:pPr>
        <w:pStyle w:val="Normal"/>
        <w:jc w:val="both"/>
        <w:rPr>
          <w:iCs/>
          <w:sz w:val="24"/>
          <w:szCs w:val="24"/>
        </w:rPr>
      </w:pPr>
      <w:r>
        <w:rPr>
          <w:b/>
          <w:bCs/>
          <w:sz w:val="24"/>
          <w:szCs w:val="24"/>
        </w:rPr>
        <w:t xml:space="preserve">Наименование услуг/этапа услуг (позиция № 1 Таблицы 2): </w:t>
      </w:r>
      <w:r>
        <w:rPr>
          <w:b w:val="false"/>
          <w:bCs w:val="false"/>
          <w:iCs/>
          <w:sz w:val="24"/>
          <w:szCs w:val="24"/>
        </w:rPr>
        <w:t>ОКПД2 74.90.13.000 Оказание услуг по разработке и согласованию мероприятий по уменьшению выбросов загрязняющих веществ в атмосферный воздух в период неблагоприятных метеорологических условий для объектов НВОС III-й категории  для нужд Саяно-Шушенского филиала АО «ТК РусГидро»</w:t>
      </w:r>
    </w:p>
    <w:tbl>
      <w:tblPr>
        <w:tblStyle w:val="affff9"/>
        <w:tblW w:w="15301" w:type="dxa"/>
        <w:jc w:val="left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560"/>
        <w:gridCol w:w="2271"/>
        <w:gridCol w:w="3311"/>
        <w:gridCol w:w="2612"/>
        <w:gridCol w:w="2861"/>
        <w:gridCol w:w="2685"/>
      </w:tblGrid>
      <w:tr>
        <w:trPr/>
        <w:tc>
          <w:tcPr>
            <w:tcW w:w="1560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п/п</w:t>
            </w:r>
          </w:p>
        </w:tc>
        <w:tc>
          <w:tcPr>
            <w:tcW w:w="227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331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Требование заказчика</w:t>
            </w:r>
          </w:p>
        </w:tc>
        <w:tc>
          <w:tcPr>
            <w:tcW w:w="547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268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156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27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331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61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286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68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156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227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331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261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286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268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6</w:t>
            </w:r>
          </w:p>
        </w:tc>
      </w:tr>
      <w:tr>
        <w:trPr/>
        <w:tc>
          <w:tcPr>
            <w:tcW w:w="156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558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оказанию услуг</w:t>
            </w:r>
          </w:p>
        </w:tc>
        <w:tc>
          <w:tcPr>
            <w:tcW w:w="2612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861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685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156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558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Общие требования к оказанию услуг</w:t>
            </w:r>
          </w:p>
        </w:tc>
        <w:tc>
          <w:tcPr>
            <w:tcW w:w="2612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861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685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156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031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27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Разработка и согласование мероприятий по уменьшению выбросов загрязняющих веществ в атмосферный воздух в период неблагоприятных метеорологических условий</w:t>
            </w:r>
          </w:p>
        </w:tc>
        <w:tc>
          <w:tcPr>
            <w:tcW w:w="331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37" w:hanging="37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Выполнение требований законодательства: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37" w:hanging="37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Федеральный закон от 04.05.1999 № 96-ФЗ «Об охране атмосферного воздуха».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37" w:hanging="37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П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риказа Минприроды России от 28.11.2025 N 662 "Об утверждении требований к содержанию, составу, форме, порядку разработки, согласования и утверждения плана мероприятий по снижению выбросов загрязняющих веществ в атмосферный воздух в периоды неблагоприятных метеорологических условий" (Зарегистрировано в Минюсте России 28.11.2025 N 84375), с целью</w:t>
            </w:r>
            <w:r>
              <w:rPr>
                <w:rFonts w:eastAsia="Times New Roman" w:cs="Times New Roman"/>
                <w:color w:val="000000"/>
                <w:spacing w:val="-4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уменьшению выбросов загрязняющих веществ в атмосферный воздух в период неблагоприятных метеорологических условий.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37" w:hanging="37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Приказ Минприроды России от 26.11.2025 № 651 «Об утверждении требований к мероприятиям по уменьшению выбросов загрязняющих веществ в атмосферный воздух в периоды неблагоприятных метеорологических условий или специализированных прогнозов неблагоприятных метеорологических условий»</w:t>
            </w:r>
          </w:p>
        </w:tc>
        <w:tc>
          <w:tcPr>
            <w:tcW w:w="261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861" w:type="dxa"/>
            <w:tcBorders/>
            <w:shd w:color="auto" w:fill="auto" w:val="clear"/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68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56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558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способам оказания услуг</w:t>
            </w:r>
          </w:p>
        </w:tc>
        <w:tc>
          <w:tcPr>
            <w:tcW w:w="2612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861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685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156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072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5582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Определение перечня загрязняющих веществ для НМУ 1, 2 и 3 степеней опасности, подлежащих нормированию в области охраны окружающей среды, в отношении которых необходимо уменьшение выбросов в период НМУ;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Определение перечня источников, на которых проводится уменьшение выбросов в период НМУ;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Разработка мероприятий при НМУ для выбранных источников выбросов;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Определение перечня организационных мероприятий при НМУ, проведение которых направлено на снижение загрязнения атмосферного воздуха в периоды НМУ 1, 2 и 3 степени опасности;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Расчет приземных концентраций загрязняющих веществ в штатном режиме работы предприятия, в том числе на период НМУ, и с учетом реализации разработанных мероприятий при НМУ;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Оценка мероприятий, проведенных на объектах негативного воздействия в период НМУ.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Согласование с Министерством природных ресурсов и экологии Республики Хакасия.</w:t>
            </w:r>
          </w:p>
        </w:tc>
        <w:tc>
          <w:tcPr>
            <w:tcW w:w="261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86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2685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156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1.3.</w:t>
            </w:r>
          </w:p>
        </w:tc>
        <w:tc>
          <w:tcPr>
            <w:tcW w:w="5582" w:type="dxa"/>
            <w:gridSpan w:val="2"/>
            <w:tcBorders/>
          </w:tcPr>
          <w:p>
            <w:pPr>
              <w:pStyle w:val="ListParagraph"/>
              <w:widowControl w:val="false"/>
              <w:tabs>
                <w:tab w:val="clear" w:pos="708"/>
                <w:tab w:val="left" w:pos="7740" w:leader="none"/>
              </w:tabs>
              <w:suppressAutoHyphens w:val="true"/>
              <w:spacing w:before="0" w:after="0"/>
              <w:ind w:left="0" w:hanging="0"/>
              <w:contextualSpacing/>
              <w:jc w:val="both"/>
              <w:rPr>
                <w:b/>
                <w:bCs/>
              </w:rPr>
            </w:pPr>
            <w:r>
              <w:rPr>
                <w:rFonts w:cs="Times New Roman"/>
                <w:b/>
                <w:bCs/>
                <w:kern w:val="0"/>
                <w:lang w:val="ru-RU" w:eastAsia="ru-RU" w:bidi="ar-SA"/>
              </w:rPr>
              <w:t>Требования к процедурам оказания услуг</w:t>
            </w:r>
          </w:p>
        </w:tc>
        <w:tc>
          <w:tcPr>
            <w:tcW w:w="261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86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685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>
          <w:trHeight w:val="899" w:hRule="atLeast"/>
        </w:trPr>
        <w:tc>
          <w:tcPr>
            <w:tcW w:w="156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1.3.1</w:t>
            </w:r>
          </w:p>
        </w:tc>
        <w:tc>
          <w:tcPr>
            <w:tcW w:w="5582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Исполнитель должен иметь аккредитованную лабораторию, соответствующую НПА по осуществлению данного вида деятельности. В случае отсутствия собственной аккредитованной лаборатории Исполнитель должен предоставить заключенный договор со сторонней организацией, имеющей аккредитованную лабораторию.</w:t>
            </w:r>
          </w:p>
        </w:tc>
        <w:tc>
          <w:tcPr>
            <w:tcW w:w="261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86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2685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156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1.4.</w:t>
            </w:r>
          </w:p>
        </w:tc>
        <w:tc>
          <w:tcPr>
            <w:tcW w:w="5582" w:type="dxa"/>
            <w:gridSpan w:val="2"/>
            <w:tcBorders/>
          </w:tcPr>
          <w:p>
            <w:pPr>
              <w:pStyle w:val="ListParagraph"/>
              <w:widowControl w:val="false"/>
              <w:tabs>
                <w:tab w:val="clear" w:pos="708"/>
                <w:tab w:val="left" w:pos="7740" w:leader="none"/>
              </w:tabs>
              <w:suppressAutoHyphens w:val="true"/>
              <w:spacing w:before="0" w:after="0"/>
              <w:ind w:left="0" w:hanging="0"/>
              <w:contextualSpacing/>
              <w:jc w:val="both"/>
              <w:rPr>
                <w:b/>
                <w:bCs/>
              </w:rPr>
            </w:pPr>
            <w:r>
              <w:rPr>
                <w:rFonts w:cs="Times New Roman"/>
                <w:b/>
                <w:bCs/>
                <w:kern w:val="0"/>
                <w:lang w:val="ru-RU" w:eastAsia="ru-RU" w:bidi="ar-SA"/>
              </w:rPr>
              <w:t>Требования к применяемым при оказании услуг оборудованию и материалам</w:t>
            </w:r>
          </w:p>
        </w:tc>
        <w:tc>
          <w:tcPr>
            <w:tcW w:w="261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86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685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156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1.4.1.</w:t>
            </w:r>
          </w:p>
        </w:tc>
        <w:tc>
          <w:tcPr>
            <w:tcW w:w="5582" w:type="dxa"/>
            <w:gridSpan w:val="2"/>
            <w:tcBorders/>
            <w:shd w:color="auto" w:fill="auto" w:val="clear"/>
          </w:tcPr>
          <w:p>
            <w:pPr>
              <w:pStyle w:val="ListParagraph"/>
              <w:widowControl w:val="false"/>
              <w:tabs>
                <w:tab w:val="clear" w:pos="708"/>
                <w:tab w:val="left" w:pos="7740" w:leader="none"/>
              </w:tabs>
              <w:suppressAutoHyphens w:val="true"/>
              <w:spacing w:before="0" w:after="0"/>
              <w:ind w:left="0" w:hanging="0"/>
              <w:contextualSpacing/>
              <w:jc w:val="both"/>
              <w:rPr>
                <w:bCs/>
              </w:rPr>
            </w:pPr>
            <w:r>
              <w:rPr>
                <w:rFonts w:cs="Times New Roman"/>
                <w:bCs/>
                <w:kern w:val="0"/>
                <w:lang w:val="ru-RU" w:eastAsia="ru-RU" w:bidi="ar-SA"/>
              </w:rPr>
              <w:t>Услуги по проведению испытаний отбора и измерений проб должны производиться инструментом, расходными материалами Исполнителя. Участник закупки должен обладать необходимым количеством оборудования, для выполнения услуг, соответствующим НПА в области разработки природоохранной экологической и проектной документации</w:t>
            </w:r>
          </w:p>
        </w:tc>
        <w:tc>
          <w:tcPr>
            <w:tcW w:w="261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86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2685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156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1.5.</w:t>
            </w:r>
          </w:p>
        </w:tc>
        <w:tc>
          <w:tcPr>
            <w:tcW w:w="5582" w:type="dxa"/>
            <w:gridSpan w:val="2"/>
            <w:tcBorders/>
          </w:tcPr>
          <w:p>
            <w:pPr>
              <w:pStyle w:val="ListParagraph"/>
              <w:widowControl w:val="false"/>
              <w:tabs>
                <w:tab w:val="clear" w:pos="708"/>
                <w:tab w:val="left" w:pos="7740" w:leader="none"/>
              </w:tabs>
              <w:suppressAutoHyphens w:val="true"/>
              <w:spacing w:before="0" w:after="0"/>
              <w:ind w:left="0" w:hanging="0"/>
              <w:contextualSpacing/>
              <w:jc w:val="both"/>
              <w:rPr>
                <w:b/>
                <w:bCs/>
              </w:rPr>
            </w:pPr>
            <w:r>
              <w:rPr>
                <w:rFonts w:cs="Times New Roman"/>
                <w:b/>
                <w:bCs/>
                <w:kern w:val="0"/>
                <w:lang w:val="ru-RU" w:eastAsia="ru-RU" w:bidi="ar-SA"/>
              </w:rPr>
              <w:t>Требования к персоналу исполнителя</w:t>
            </w:r>
          </w:p>
        </w:tc>
        <w:tc>
          <w:tcPr>
            <w:tcW w:w="261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86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685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156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1.5.1.</w:t>
            </w:r>
          </w:p>
        </w:tc>
        <w:tc>
          <w:tcPr>
            <w:tcW w:w="5582" w:type="dxa"/>
            <w:gridSpan w:val="2"/>
            <w:tcBorders/>
          </w:tcPr>
          <w:p>
            <w:pPr>
              <w:pStyle w:val="ListParagraph"/>
              <w:widowControl w:val="false"/>
              <w:tabs>
                <w:tab w:val="clear" w:pos="708"/>
                <w:tab w:val="left" w:pos="7740" w:leader="none"/>
              </w:tabs>
              <w:suppressAutoHyphens w:val="true"/>
              <w:spacing w:before="0" w:after="0"/>
              <w:ind w:left="0" w:hanging="0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lang w:val="ru-RU" w:eastAsia="ru-RU" w:bidi="ar-SA"/>
              </w:rPr>
              <w:t>Наличие квалифицированного персонала и подтверждение, опыта оказания аналогичных Услуг в течение 3-х предшествующих лет;</w:t>
            </w:r>
          </w:p>
          <w:p>
            <w:pPr>
              <w:pStyle w:val="ListParagraph"/>
              <w:widowControl w:val="false"/>
              <w:tabs>
                <w:tab w:val="clear" w:pos="708"/>
                <w:tab w:val="left" w:pos="7740" w:leader="none"/>
              </w:tabs>
              <w:suppressAutoHyphens w:val="true"/>
              <w:spacing w:before="0" w:after="0"/>
              <w:ind w:left="0" w:hanging="0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lang w:val="ru-RU" w:eastAsia="ru-RU" w:bidi="ar-SA"/>
              </w:rPr>
              <w:t>В случае привлечения соисполнителей указать, приложить документы, подтверждающие готовность и возможность оказания Услуг.  Иметь опыт работы по разработке «Мероприятий по сокращению выбросов в период неблагоприятных метеорологических условий (НМУ)» и их согласованию в  Министерстве природных ресурсов и экологии Республики Хакасия</w:t>
            </w:r>
          </w:p>
        </w:tc>
        <w:tc>
          <w:tcPr>
            <w:tcW w:w="261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86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2685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156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558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результатам у</w:t>
            </w: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слуг</w:t>
            </w:r>
          </w:p>
        </w:tc>
        <w:tc>
          <w:tcPr>
            <w:tcW w:w="2612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861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685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156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558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Общие требования к результатам услуг</w:t>
            </w:r>
          </w:p>
        </w:tc>
        <w:tc>
          <w:tcPr>
            <w:tcW w:w="2612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861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685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>
          <w:trHeight w:val="1591" w:hRule="atLeast"/>
        </w:trPr>
        <w:tc>
          <w:tcPr>
            <w:tcW w:w="156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072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5582" w:type="dxa"/>
            <w:gridSpan w:val="2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По окончании оказания Услуг Исполнитель предоставляет: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- Акт об оказании Услуг;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- Перечень мероприятий по уменьшению выбросов загрязняющих веществ в атмосферный воздух в периоды неблагоприятных метеорологических условий, оформленный в соответствии с нормативной документацией, требованиями настоящего Технического задания, согласованный в Министерстве природных ресурсов и экологии Республики Хакасия;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-План при НМУ должен состоять из  Пояснительной записки к мероприятиям по уменьшению выбросов загрязняющих веществ в атмосферный воздух и мероприятий в период НМУ. Согласованные Планы мероприятий по снижению выбросов загрязняющих веществ в атмосферный воздух в периоды НМУ   в бумажном виде и в электронном виде (формат *.doc, *.хls, *.pdf в полном соответствии с версией на бумажном носителе) по объекту.</w:t>
            </w:r>
          </w:p>
        </w:tc>
        <w:tc>
          <w:tcPr>
            <w:tcW w:w="261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861" w:type="dxa"/>
            <w:tcBorders/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685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156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558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приемке результата оказания у</w:t>
            </w: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слуг</w:t>
            </w:r>
          </w:p>
        </w:tc>
        <w:tc>
          <w:tcPr>
            <w:tcW w:w="2612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861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685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156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072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5582" w:type="dxa"/>
            <w:gridSpan w:val="2"/>
            <w:tcBorders/>
          </w:tcPr>
          <w:p>
            <w:pPr>
              <w:pStyle w:val="BodyText"/>
              <w:widowControl w:val="false"/>
              <w:suppressAutoHyphens w:val="true"/>
              <w:spacing w:before="0" w:after="0"/>
              <w:jc w:val="both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Заказчик принимает оказанные услуги (их результаты) по акту об оказании услуг, а при обнаружении отступлений, ухудшающих результат оказанных услуг, или иных недостатков в услугах заявить об этом Исполнителю, путем предоставления письменного обоснованного и мотивированного отказа от подписания акта об оказании услуг. Выявленные Заказчиком ошибки, несоответствия и (или) неполнота сведений, содержащиеся в мероприятиях, а также их некомплектность устраняются Исполнителем за свой счет, собственными силами, средствами и материалами в течение 14 календарных дней.</w:t>
            </w:r>
          </w:p>
        </w:tc>
        <w:tc>
          <w:tcPr>
            <w:tcW w:w="261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86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2685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156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5582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документации, описывающей результат оказания услуг</w:t>
            </w:r>
          </w:p>
        </w:tc>
        <w:tc>
          <w:tcPr>
            <w:tcW w:w="261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86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685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156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072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5582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Участник передает Заказчику проектную документацию, оригиналы, Акт выполненных работ, счет. Передача документов может осуществляться посредством электронной почты, средств ведения электронного документооборота, с досылкой оригиналов почтой в бумажном варианте. Необходима возможность осуществления дублирования документов по запросу Заказчика.</w:t>
            </w:r>
          </w:p>
        </w:tc>
        <w:tc>
          <w:tcPr>
            <w:tcW w:w="261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86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2685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156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558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4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исполнителю (и соисполнителем) и его  обязательствам,  влияющим на исполнение договора</w:t>
            </w:r>
          </w:p>
        </w:tc>
        <w:tc>
          <w:tcPr>
            <w:tcW w:w="2612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861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685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>
          <w:trHeight w:val="337" w:hRule="atLeast"/>
        </w:trPr>
        <w:tc>
          <w:tcPr>
            <w:tcW w:w="156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072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5582" w:type="dxa"/>
            <w:gridSpan w:val="2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На момент подписания Договора и в течение всего срока его действия Исполнитель подтверждает наличие всех требуемых по законодательству Российской Федерации допусков, разрешений, аттестации аккредитации испытательной лаборатории. Исполнитель может привлекать на договорной основе к выполнению своих обязательств по настоящему договору третьих лиц, принимая на себя ответственность перед Заказчиком за их действия</w:t>
            </w: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. В случае привлечения к оказанию услуг соисполнителей Исполнитель обязан представить заказчику на момент согласования договора документы, подтверждающие соответствие их квалификационного уровня, а также готовность и возможность оказания ими требуемых услуг.</w:t>
            </w:r>
          </w:p>
        </w:tc>
        <w:tc>
          <w:tcPr>
            <w:tcW w:w="261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86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2685" w:type="dxa"/>
            <w:tcBorders/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</w:tbl>
    <w:p>
      <w:pPr>
        <w:sectPr>
          <w:headerReference w:type="default" r:id="rId6"/>
          <w:headerReference w:type="first" r:id="rId7"/>
          <w:type w:val="nextPage"/>
          <w:pgSz w:orient="landscape" w:w="16838" w:h="11906"/>
          <w:pgMar w:left="992" w:right="567" w:gutter="0" w:header="680" w:top="737" w:footer="0" w:bottom="851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Normal"/>
        <w:rPr>
          <w:i/>
          <w:i/>
          <w:iCs/>
          <w:shd w:fill="FFFF99" w:val="clear"/>
        </w:rPr>
      </w:pPr>
      <w:r>
        <w:rPr>
          <w:i/>
          <w:iCs/>
          <w:shd w:fill="FFFF99" w:val="clear"/>
        </w:rPr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lang w:val="ru-RU"/>
        </w:rPr>
      </w:pPr>
      <w:bookmarkStart w:id="25" w:name="_Toc125462042"/>
      <w:bookmarkStart w:id="26" w:name="_Toc53393312"/>
      <w:bookmarkStart w:id="27" w:name="_Toc53395937"/>
      <w:bookmarkStart w:id="28" w:name="_Toc46743519"/>
      <w:bookmarkStart w:id="29" w:name="_Toc51339699"/>
      <w:bookmarkEnd w:id="28"/>
      <w:bookmarkEnd w:id="29"/>
      <w:r>
        <w:rPr>
          <w:lang w:val="ru-RU"/>
        </w:rPr>
        <w:t>Требования к документации по ценообразованию</w:t>
      </w:r>
      <w:bookmarkEnd w:id="26"/>
      <w:bookmarkEnd w:id="27"/>
      <w:r>
        <w:rPr>
          <w:lang w:val="ru-RU"/>
        </w:rPr>
        <w:t xml:space="preserve"> на этапе закупки</w:t>
      </w:r>
      <w:bookmarkEnd w:id="25"/>
    </w:p>
    <w:p>
      <w:pPr>
        <w:pStyle w:val="NoSpacing"/>
        <w:spacing w:lineRule="auto" w:line="240"/>
        <w:jc w:val="both"/>
        <w:rPr>
          <w:lang w:eastAsia="x-none"/>
        </w:rPr>
      </w:pPr>
      <w:r>
        <w:rPr>
          <w:lang w:eastAsia="x-none"/>
        </w:rPr>
        <w:t>3.1.</w:t>
        <w:tab/>
        <w:t>В обоснование стоимости своей заявки Участник предоставляет Коммерческое предложение.</w:t>
      </w:r>
    </w:p>
    <w:p>
      <w:pPr>
        <w:pStyle w:val="NoSpacing"/>
        <w:spacing w:lineRule="auto" w:line="240"/>
        <w:jc w:val="both"/>
        <w:rPr>
          <w:lang w:eastAsia="x-none"/>
        </w:rPr>
      </w:pPr>
      <w:r>
        <w:rPr>
          <w:lang w:eastAsia="x-none"/>
        </w:rPr>
        <w:t>3.2.</w:t>
        <w:tab/>
        <w:t>Дополнительные документы по ценообразованию в состав заявки Участника не включаются.</w:t>
      </w:r>
    </w:p>
    <w:p>
      <w:pPr>
        <w:pStyle w:val="Heading4"/>
        <w:tabs>
          <w:tab w:val="clear" w:pos="0"/>
        </w:tabs>
        <w:ind w:left="1276" w:hanging="0"/>
        <w:rPr/>
      </w:pPr>
      <w:r>
        <w:rPr/>
      </w:r>
    </w:p>
    <w:p>
      <w:pPr>
        <w:pStyle w:val="NoSpacing"/>
        <w:jc w:val="both"/>
        <w:rPr/>
      </w:pPr>
      <w:r>
        <w:rPr/>
      </w:r>
    </w:p>
    <w:p>
      <w:pPr>
        <w:pStyle w:val="Normal"/>
        <w:spacing w:lineRule="auto" w:line="276" w:before="0" w:after="200"/>
        <w:ind w:left="720" w:hanging="0"/>
        <w:contextualSpacing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Spacing"/>
        <w:jc w:val="both"/>
        <w:rPr/>
      </w:pPr>
      <w:r>
        <w:rPr/>
      </w:r>
      <w:bookmarkStart w:id="30" w:name="_Toc46743519_Копия_1"/>
      <w:bookmarkStart w:id="31" w:name="_Toc51339699_Копия_1"/>
      <w:bookmarkStart w:id="32" w:name="_Toc46743519_Копия_1"/>
      <w:bookmarkStart w:id="33" w:name="_Toc51339699_Копия_1"/>
      <w:bookmarkEnd w:id="32"/>
      <w:bookmarkEnd w:id="33"/>
    </w:p>
    <w:p>
      <w:pPr>
        <w:pStyle w:val="NoSpacing"/>
        <w:spacing w:lineRule="auto" w:line="240"/>
        <w:jc w:val="both"/>
        <w:rPr/>
      </w:pPr>
      <w:r>
        <w:rPr/>
        <w:t>Инженер 1 категории ГОТиТБ</w:t>
        <w:tab/>
        <w:tab/>
        <w:tab/>
        <w:tab/>
        <w:tab/>
        <w:tab/>
        <w:tab/>
        <w:t>Безбожная А.О.</w:t>
      </w:r>
    </w:p>
    <w:p>
      <w:pPr>
        <w:pStyle w:val="NoSpacing"/>
        <w:spacing w:lineRule="auto" w:line="240"/>
        <w:jc w:val="both"/>
        <w:rPr>
          <w:i/>
          <w:i/>
        </w:rPr>
      </w:pPr>
      <w:r>
        <w:rPr>
          <w:i/>
        </w:rPr>
      </w:r>
    </w:p>
    <w:p>
      <w:pPr>
        <w:pStyle w:val="NoSpacing"/>
        <w:spacing w:lineRule="auto" w:line="240"/>
        <w:jc w:val="both"/>
        <w:rPr>
          <w:i/>
          <w:i/>
        </w:rPr>
      </w:pPr>
      <w:r>
        <w:rPr>
          <w:i/>
        </w:rPr>
      </w:r>
    </w:p>
    <w:p>
      <w:pPr>
        <w:pStyle w:val="NoSpacing"/>
        <w:spacing w:lineRule="auto" w:line="240"/>
        <w:jc w:val="both"/>
        <w:rPr>
          <w:i/>
          <w:i/>
        </w:rPr>
      </w:pPr>
      <w:r>
        <w:rPr>
          <w:i/>
        </w:rPr>
      </w:r>
    </w:p>
    <w:p>
      <w:pPr>
        <w:pStyle w:val="NoSpacing"/>
        <w:spacing w:lineRule="auto" w:line="240"/>
        <w:jc w:val="both"/>
        <w:rPr>
          <w:i/>
          <w:i/>
        </w:rPr>
      </w:pPr>
      <w:r>
        <w:rPr>
          <w:i/>
        </w:rPr>
      </w:r>
    </w:p>
    <w:p>
      <w:pPr>
        <w:pStyle w:val="NoSpacing"/>
        <w:spacing w:lineRule="auto" w:line="240"/>
        <w:jc w:val="both"/>
        <w:rPr>
          <w:i/>
          <w:i/>
        </w:rPr>
      </w:pPr>
      <w:r>
        <w:rPr>
          <w:i/>
        </w:rPr>
      </w:r>
    </w:p>
    <w:p>
      <w:pPr>
        <w:pStyle w:val="NoSpacing"/>
        <w:spacing w:lineRule="auto" w:line="240"/>
        <w:jc w:val="both"/>
        <w:rPr>
          <w:i/>
          <w:i/>
        </w:rPr>
      </w:pPr>
      <w:r>
        <w:rPr>
          <w:i/>
        </w:rPr>
      </w:r>
    </w:p>
    <w:p>
      <w:pPr>
        <w:pStyle w:val="NoSpacing"/>
        <w:spacing w:lineRule="auto" w:line="240"/>
        <w:jc w:val="both"/>
        <w:rPr>
          <w:i/>
          <w:i/>
        </w:rPr>
      </w:pPr>
      <w:r>
        <w:rPr>
          <w:i/>
        </w:rPr>
      </w:r>
    </w:p>
    <w:p>
      <w:pPr>
        <w:pStyle w:val="NoSpacing"/>
        <w:spacing w:lineRule="auto" w:line="240"/>
        <w:jc w:val="both"/>
        <w:rPr>
          <w:i/>
          <w:i/>
        </w:rPr>
      </w:pPr>
      <w:r>
        <w:rPr>
          <w:i/>
        </w:rPr>
      </w:r>
    </w:p>
    <w:p>
      <w:pPr>
        <w:pStyle w:val="NoSpacing"/>
        <w:spacing w:lineRule="auto" w:line="240"/>
        <w:jc w:val="both"/>
        <w:rPr>
          <w:i/>
          <w:i/>
        </w:rPr>
      </w:pPr>
      <w:r>
        <w:rPr>
          <w:i/>
        </w:rPr>
      </w:r>
    </w:p>
    <w:p>
      <w:pPr>
        <w:pStyle w:val="NoSpacing"/>
        <w:spacing w:lineRule="auto" w:line="240"/>
        <w:jc w:val="both"/>
        <w:rPr>
          <w:i/>
          <w:i/>
        </w:rPr>
      </w:pPr>
      <w:r>
        <w:rPr>
          <w:i/>
        </w:rPr>
      </w:r>
    </w:p>
    <w:p>
      <w:pPr>
        <w:pStyle w:val="NoSpacing"/>
        <w:spacing w:lineRule="auto" w:line="240"/>
        <w:jc w:val="both"/>
        <w:rPr>
          <w:i/>
          <w:i/>
        </w:rPr>
      </w:pPr>
      <w:r>
        <w:rPr>
          <w:i/>
        </w:rPr>
      </w:r>
    </w:p>
    <w:p>
      <w:pPr>
        <w:pStyle w:val="NoSpacing"/>
        <w:spacing w:lineRule="auto" w:line="240"/>
        <w:jc w:val="both"/>
        <w:rPr>
          <w:i/>
          <w:i/>
        </w:rPr>
      </w:pPr>
      <w:r>
        <w:rPr>
          <w:i/>
        </w:rPr>
      </w:r>
    </w:p>
    <w:p>
      <w:pPr>
        <w:pStyle w:val="NoSpacing"/>
        <w:spacing w:lineRule="auto" w:line="240"/>
        <w:jc w:val="both"/>
        <w:rPr>
          <w:b/>
          <w:iCs/>
          <w:caps/>
          <w:lang w:val="x-none" w:eastAsia="x-none"/>
        </w:rPr>
      </w:pPr>
      <w:r>
        <w:rPr/>
      </w:r>
    </w:p>
    <w:sectPr>
      <w:headerReference w:type="default" r:id="rId8"/>
      <w:headerReference w:type="first" r:id="rId9"/>
      <w:type w:val="nextPage"/>
      <w:pgSz w:w="11906" w:h="16838"/>
      <w:pgMar w:left="1134" w:right="851" w:gutter="0" w:header="680" w:top="1134" w:footer="0" w:bottom="992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fillcolor="white" stroked="f" o:allowincell="f" style="position:absolute;margin-left:0pt;margin-top:0.05pt;width:1.1pt;height:1.1pt;mso-wrap-style:square;v-text-anchor:top;mso-position-horizontal:center;mso-position-horizontal-relative:margin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6</w:t>
    </w:r>
    <w:r>
      <w:rPr/>
      <w:fldChar w:fldCharType="end"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6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11</w:t>
    </w:r>
    <w:r>
      <w:rPr/>
      <w:fldChar w:fldCharType="end"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13</w:t>
    </w:r>
    <w:r>
      <w:rPr/>
      <w:fldChar w:fldCharType="end"/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930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35e96"/>
    <w:pPr>
      <w:keepNext w:val="true"/>
      <w:tabs>
        <w:tab w:val="clear" w:pos="708"/>
        <w:tab w:val="left" w:pos="0" w:leader="none"/>
      </w:tabs>
      <w:spacing w:before="120" w:after="60"/>
      <w:ind w:left="1224" w:hanging="50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semiHidden/>
    <w:qFormat/>
    <w:rsid w:val="00b714b0"/>
    <w:rPr>
      <w:sz w:val="16"/>
      <w:szCs w:val="16"/>
    </w:rPr>
  </w:style>
  <w:style w:type="character" w:styleId="Strong">
    <w:name w:val="Strong"/>
    <w:uiPriority w:val="22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4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2"/>
    <w:qFormat/>
    <w:locked/>
    <w:rsid w:val="00d22f6d"/>
    <w:rPr>
      <w:sz w:val="28"/>
    </w:rPr>
  </w:style>
  <w:style w:type="character" w:styleId="Style5" w:customStyle="1">
    <w:name w:val="Текст сноски Знак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30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5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8"/>
    <w:qFormat/>
    <w:rsid w:val="004a17ae"/>
    <w:rPr>
      <w:rFonts w:eastAsia="Calibri"/>
      <w:caps/>
      <w:sz w:val="28"/>
      <w:szCs w:val="28"/>
      <w:lang w:eastAsia="en-US"/>
    </w:rPr>
  </w:style>
  <w:style w:type="character" w:styleId="Style14" w:customStyle="1">
    <w:name w:val="Ссылка указателя"/>
    <w:qFormat/>
    <w:rPr/>
  </w:style>
  <w:style w:type="character" w:styleId="Linenumber">
    <w:name w:val="line number"/>
    <w:qFormat/>
    <w:rPr/>
  </w:style>
  <w:style w:type="character" w:styleId="Style15" w:customStyle="1">
    <w:name w:val="Символ нумерации"/>
    <w:qFormat/>
    <w:rPr/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Style18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9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0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rsid w:val="00d561d9"/>
    <w:pPr/>
    <w:rPr>
      <w:sz w:val="20"/>
      <w:szCs w:val="20"/>
    </w:rPr>
  </w:style>
  <w:style w:type="paragraph" w:styleId="13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2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4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1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uiPriority w:val="99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2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c517de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6b6b70"/>
    <w:pPr>
      <w:ind w:left="280" w:hanging="0"/>
    </w:pPr>
    <w:rPr>
      <w:rFonts w:cs="Calibri" w:cstheme="minorHAnsi"/>
      <w:sz w:val="20"/>
      <w:szCs w:val="20"/>
    </w:rPr>
  </w:style>
  <w:style w:type="paragraph" w:styleId="Style23" w:customStyle="1">
    <w:name w:val="Раздел регламента"/>
    <w:basedOn w:val="Normal"/>
    <w:qFormat/>
    <w:rsid w:val="00e228fa"/>
    <w:pPr/>
    <w:rPr/>
  </w:style>
  <w:style w:type="paragraph" w:styleId="Style24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693883"/>
    <w:pPr>
      <w:spacing w:before="240" w:after="0"/>
    </w:pPr>
    <w:rPr>
      <w:rFonts w:cs="Calibri" w:cstheme="minorHAnsi"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5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6b6b70"/>
    <w:pPr>
      <w:tabs>
        <w:tab w:val="clear" w:pos="708"/>
        <w:tab w:val="left" w:pos="1120" w:leader="none"/>
        <w:tab w:val="right" w:pos="9911" w:leader="none"/>
      </w:tabs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5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1" w:customStyle="1">
    <w:name w:val="caption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6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6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3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4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7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6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8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9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0" w:customStyle="1">
    <w:name w:val="Подподпункт"/>
    <w:basedOn w:val="Style22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1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5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2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7" w:customStyle="1">
    <w:name w:val="Стиль Заголовок 1 + по ширине"/>
    <w:basedOn w:val="Heading1"/>
    <w:qFormat/>
    <w:rsid w:val="005773b2"/>
    <w:pPr>
      <w:keepLines/>
      <w:tabs>
        <w:tab w:val="clear" w:pos="0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3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8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4" w:customStyle="1">
    <w:name w:val="Содержимое врезки"/>
    <w:basedOn w:val="Normal"/>
    <w:qFormat/>
    <w:pPr/>
    <w:rPr/>
  </w:style>
  <w:style w:type="paragraph" w:styleId="Style35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36" w:customStyle="1">
    <w:name w:val="Заголовок таблицы"/>
    <w:basedOn w:val="Style35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9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9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b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header" Target="header7.xml"/><Relationship Id="rId9" Type="http://schemas.openxmlformats.org/officeDocument/2006/relationships/header" Target="header8.xml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<Relationship Id="rId14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65634F-BDE4-4A54-93D9-9FAD73D5E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1193</TotalTime>
  <Application>AlterOffice/3.4.0.9$Linux_X86_64 LibreOffice_project/b8daf9e823b1a5463a2f48435ddc2e8696e7d4fc</Application>
  <AppVersion>15.0000</AppVersion>
  <Pages>12</Pages>
  <Words>1564</Words>
  <Characters>10476</Characters>
  <CharactersWithSpaces>11821</CharactersWithSpaces>
  <Paragraphs>243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2023-03-27T04:02:00Z</dcterms:created>
  <dc:creator>Быстров Олег Геннадьевич</dc:creator>
  <dc:description/>
  <dc:language>ru-RU</dc:language>
  <cp:lastModifiedBy>bezbozhnaiaao@corp.gidroogk.com</cp:lastModifiedBy>
  <cp:lastPrinted>2026-03-11T10:59:00Z</cp:lastPrinted>
  <dcterms:modified xsi:type="dcterms:W3CDTF">2026-08-28T09:52:22Z</dcterms:modified>
  <cp:revision>59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