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header5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Cs w:val="26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/>
      </w:pPr>
      <w:r>
        <w:rPr>
          <w:rFonts w:eastAsia="Calibri" w:cs="Times New Roman"/>
          <w:b/>
          <w:i/>
          <w:color w:val="auto"/>
          <w:kern w:val="0"/>
          <w:sz w:val="22"/>
          <w:szCs w:val="22"/>
          <w:lang w:val="ru-RU" w:eastAsia="en-US" w:bidi="ar-SA"/>
        </w:rPr>
        <w:t xml:space="preserve">ОКПД2 22.11.14.190. Поставка автомобильных шин для грузовых автомобилей, спецтехники для </w:t>
      </w:r>
      <w:r>
        <w:rPr>
          <w:rFonts w:eastAsia="Calibri"/>
          <w:b/>
          <w:i/>
          <w:sz w:val="22"/>
          <w:szCs w:val="22"/>
          <w:lang w:eastAsia="en-US"/>
        </w:rPr>
        <w:t>нужд Саяно-Шушенского филиала АО "ТК РусГидро"</w:t>
      </w:r>
    </w:p>
    <w:p>
      <w:pPr>
        <w:pStyle w:val="Normal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6"/>
              <w:szCs w:val="26"/>
            </w:rPr>
          </w:pPr>
          <w:r>
            <w:fldChar w:fldCharType="begin"/>
          </w:r>
          <w:r>
            <w:rPr>
              <w:webHidden/>
              <w:rStyle w:val="Style14"/>
              <w:sz w:val="26"/>
              <w:szCs w:val="26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6"/>
              <w:szCs w:val="26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  <w:sz w:val="26"/>
                <w:szCs w:val="26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Общие сведения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6"/>
              <w:szCs w:val="26"/>
            </w:rPr>
          </w:pPr>
          <w:hyperlink w:anchor="_Toc7544656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6"/>
              <w:szCs w:val="26"/>
            </w:rPr>
          </w:pPr>
          <w:hyperlink w:anchor="_Toc75446569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Цель использования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6"/>
              <w:szCs w:val="26"/>
            </w:rPr>
          </w:pPr>
          <w:hyperlink w:anchor="_Toc75446573">
            <w:r>
              <w:rPr>
                <w:webHidden/>
                <w:rStyle w:val="Style14"/>
                <w:vanish w:val="false"/>
                <w:sz w:val="26"/>
                <w:szCs w:val="26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iCs/>
                <w:sz w:val="26"/>
                <w:szCs w:val="26"/>
              </w:rPr>
              <w:t>Требования к продукции</w:t>
            </w:r>
            <w:r>
              <w:rPr>
                <w:rStyle w:val="Style14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6"/>
              <w:szCs w:val="26"/>
            </w:rPr>
          </w:pPr>
          <w:hyperlink w:anchor="_Toc75446574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объемам и срокам поставки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6"/>
              <w:szCs w:val="26"/>
            </w:rPr>
          </w:pPr>
          <w:hyperlink w:anchor="_Toc75446575">
            <w:r>
              <w:rPr>
                <w:webHidden/>
                <w:rStyle w:val="Style14"/>
                <w:vanish w:val="false"/>
                <w:sz w:val="26"/>
                <w:szCs w:val="26"/>
              </w:rPr>
              <w:t>2.1.1.Перечень и объем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sz w:val="26"/>
              <w:szCs w:val="26"/>
              <w:lang w:val="en-US"/>
            </w:rPr>
          </w:pPr>
          <w:hyperlink w:anchor="_Toc75446576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1.1 Перечень и объем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3"/>
            <w:rPr>
              <w:lang w:val="ru-RU"/>
            </w:rPr>
          </w:pPr>
          <w:r>
            <w:rPr>
              <w:lang w:val="ru-RU"/>
            </w:rPr>
            <w:t>2.1.2</w:t>
          </w:r>
          <w:r>
            <w:rPr/>
            <w:t>Требования к срокам поставки продукции и оказания сопутствующих услуг</w:t>
          </w:r>
          <w:r>
            <w:rPr>
              <w:lang w:val="ru-RU"/>
            </w:rPr>
            <w:t>...3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sz w:val="26"/>
              <w:szCs w:val="26"/>
            </w:rPr>
          </w:pPr>
          <w:hyperlink w:anchor="_Toc75446579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2.1 Требования по срокам поставки продукции………………………………</w:t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Normal"/>
            <w:ind w:firstLine="709"/>
            <w:rPr>
              <w:rFonts w:eastAsia="" w:eastAsiaTheme="minorEastAsia"/>
              <w:sz w:val="26"/>
              <w:szCs w:val="26"/>
            </w:rPr>
          </w:pPr>
          <w:r>
            <w:rPr>
              <w:rFonts w:eastAsia="" w:eastAsiaTheme="minorEastAsia"/>
              <w:sz w:val="26"/>
              <w:szCs w:val="26"/>
            </w:rPr>
            <w:t>2.2 Требования к качеству продукции………………………………………..……….4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jc w:val="both"/>
            <w:rPr>
              <w:sz w:val="26"/>
              <w:szCs w:val="26"/>
            </w:rPr>
          </w:pPr>
          <w:hyperlink w:anchor="_Toc75446582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_Toc75446582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ListParagraph"/>
            <w:numPr>
              <w:ilvl w:val="0"/>
              <w:numId w:val="6"/>
            </w:numPr>
            <w:jc w:val="both"/>
            <w:rPr>
              <w:b/>
              <w:color w:val="000000" w:themeColor="text1"/>
              <w:sz w:val="26"/>
              <w:szCs w:val="26"/>
            </w:rPr>
          </w:pPr>
          <w:r>
            <w:rPr>
              <w:b/>
              <w:color w:val="000000" w:themeColor="text1"/>
              <w:sz w:val="26"/>
              <w:szCs w:val="26"/>
            </w:rPr>
            <w:t>Требования к документации по ценообразования на этапе закупки………………………………………………………………………………..…..8</w:t>
          </w:r>
          <w:r>
            <w:rPr>
              <w:sz w:val="26"/>
              <w:b/>
              <w:szCs w:val="26"/>
              <w:color w:val="000000"/>
            </w:rPr>
            <w:fldChar w:fldCharType="end"/>
          </w:r>
        </w:p>
      </w:sdtContent>
    </w:sdt>
    <w:p>
      <w:pPr>
        <w:pStyle w:val="ListParagraph"/>
        <w:ind w:left="1080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ind w:left="0" w:hanging="0"/>
        <w:rPr/>
      </w:pPr>
      <w:bookmarkStart w:id="0" w:name="_Toc75446566"/>
      <w:bookmarkStart w:id="1" w:name="_Toc51339692"/>
      <w:r>
        <w:rPr/>
        <w:t>Общие сведения</w:t>
      </w:r>
      <w:bookmarkEnd w:id="0"/>
      <w:bookmarkEnd w:id="1"/>
    </w:p>
    <w:p>
      <w:pPr>
        <w:pStyle w:val="Heading4"/>
        <w:rPr/>
      </w:pPr>
      <w:bookmarkStart w:id="2" w:name="_Toc75446568"/>
      <w:bookmarkStart w:id="3" w:name="_Toc46743506"/>
      <w:r>
        <w:rPr/>
        <w:t>Наименование закупаемой продукции</w:t>
      </w:r>
      <w:bookmarkEnd w:id="2"/>
      <w:bookmarkEnd w:id="3"/>
    </w:p>
    <w:p>
      <w:pPr>
        <w:pStyle w:val="Normal"/>
        <w:jc w:val="both"/>
        <w:rPr/>
      </w:pPr>
      <w:r>
        <w:rPr>
          <w:rStyle w:val="Style8"/>
          <w:rFonts w:eastAsia="Calibri" w:cs="Times New Roman"/>
          <w:b w:val="false"/>
          <w:i w:val="false"/>
          <w:color w:val="000000"/>
          <w:kern w:val="0"/>
          <w:sz w:val="24"/>
          <w:szCs w:val="24"/>
          <w:shd w:fill="auto" w:val="clear"/>
          <w:lang w:val="x-none" w:eastAsia="x-none" w:bidi="ar-SA"/>
        </w:rPr>
        <w:t>ОКПД2 22.11.14.190. Поставка автомобильных шин для грузовых автомобилей, спецтехники для нужд Саяно-Шушенского филиала АО "ТК РусГидро".</w:t>
      </w:r>
    </w:p>
    <w:p>
      <w:pPr>
        <w:pStyle w:val="Heading4"/>
        <w:rPr/>
      </w:pPr>
      <w:bookmarkStart w:id="4" w:name="_Toc75446569"/>
      <w:bookmarkStart w:id="5" w:name="_Toc46743507"/>
      <w:r>
        <w:rPr/>
        <w:t xml:space="preserve">Цель </w:t>
      </w:r>
      <w:bookmarkEnd w:id="5"/>
      <w:r>
        <w:rPr/>
        <w:t xml:space="preserve">использования закупаемой продукции </w:t>
      </w:r>
      <w:bookmarkEnd w:id="4"/>
      <w:r>
        <w:rPr/>
        <w:t xml:space="preserve"> </w:t>
      </w:r>
    </w:p>
    <w:p>
      <w:pPr>
        <w:pStyle w:val="Heading4"/>
        <w:rPr>
          <w:b w:val="false"/>
          <w:bCs w:val="false"/>
        </w:rPr>
      </w:pPr>
      <w:bookmarkStart w:id="6" w:name="_Toc75446572"/>
      <w:bookmarkStart w:id="7" w:name="_Toc50125126"/>
      <w:bookmarkEnd w:id="7"/>
      <w:r>
        <w:rPr>
          <w:b w:val="false"/>
          <w:bCs w:val="false"/>
        </w:rPr>
        <w:t>Автомобильные шины за</w:t>
      </w:r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x-none" w:eastAsia="x-none" w:bidi="ar-SA"/>
        </w:rPr>
        <w:t xml:space="preserve">купаются для </w:t>
      </w:r>
      <w:bookmarkEnd w:id="6"/>
      <w:r>
        <w:rPr>
          <w:rFonts w:eastAsia="Calibri" w:cs="Times New Roman"/>
          <w:b w:val="false"/>
          <w:bCs w:val="false"/>
          <w:color w:val="auto"/>
          <w:kern w:val="0"/>
          <w:sz w:val="24"/>
          <w:szCs w:val="24"/>
          <w:lang w:val="x-none" w:eastAsia="x-none" w:bidi="ar-SA"/>
        </w:rPr>
        <w:t>поддержания подвижного состава в технически исправном состоянии и обеспечения бесперебойной работы транспортных средств филиала для исполнения обязательств по доходным договорам.</w:t>
      </w:r>
      <w:bookmarkStart w:id="8" w:name="_Toc75446573"/>
      <w:bookmarkStart w:id="9" w:name="_Toc51339693"/>
    </w:p>
    <w:p>
      <w:pPr>
        <w:pStyle w:val="Heading1"/>
        <w:ind w:left="0" w:hanging="0"/>
        <w:rPr/>
      </w:pPr>
      <w:r>
        <w:rPr/>
        <w:t>Требования к продукции</w:t>
      </w:r>
      <w:bookmarkEnd w:id="8"/>
      <w:bookmarkEnd w:id="9"/>
    </w:p>
    <w:p>
      <w:pPr>
        <w:pStyle w:val="Heading4"/>
        <w:rPr/>
      </w:pPr>
      <w:bookmarkStart w:id="10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0"/>
    </w:p>
    <w:p>
      <w:pPr>
        <w:pStyle w:val="Heading3"/>
        <w:rPr/>
      </w:pPr>
      <w:bookmarkStart w:id="11" w:name="_Toc75446575"/>
      <w:r>
        <w:rPr/>
        <w:t>Перечень и объем закупаемой продукции</w:t>
      </w:r>
      <w:bookmarkEnd w:id="11"/>
    </w:p>
    <w:p>
      <w:pPr>
        <w:pStyle w:val="Heading1"/>
        <w:ind w:left="0" w:hanging="0"/>
        <w:rPr/>
      </w:pPr>
      <w:bookmarkStart w:id="12" w:name="_Toc75446576"/>
      <w:bookmarkStart w:id="13" w:name="_Toc51339695"/>
      <w:r>
        <w:rPr/>
        <w:t xml:space="preserve">Таблица 1.1 Перечень </w:t>
      </w:r>
      <w:bookmarkEnd w:id="13"/>
      <w:r>
        <w:rPr/>
        <w:t>и объем закупаемой продукции</w:t>
      </w:r>
      <w:bookmarkEnd w:id="12"/>
    </w:p>
    <w:tbl>
      <w:tblPr>
        <w:tblW w:w="1034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31"/>
        <w:gridCol w:w="6641"/>
        <w:gridCol w:w="1558"/>
        <w:gridCol w:w="1416"/>
      </w:tblGrid>
      <w:tr>
        <w:trPr>
          <w:trHeight w:val="514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>
                <w:color w:val="000000"/>
              </w:rPr>
              <w:t>1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120" w:after="0"/>
              <w:rPr/>
            </w:pPr>
            <w:r>
              <w:rPr>
                <w:b w:val="false"/>
              </w:rPr>
              <w:t>А</w:t>
            </w:r>
            <w:r>
              <w:rPr>
                <w:b w:val="false"/>
                <w:bCs/>
                <w:color w:val="000000"/>
                <w:sz w:val="24"/>
                <w:szCs w:val="24"/>
              </w:rPr>
              <w:t>втомобильная всесезонная шина</w:t>
            </w:r>
            <w:r>
              <w:rPr>
                <w:rFonts w:eastAsia="Calibri" w:cs="Times New Roman"/>
                <w:b w:val="false"/>
                <w:bCs/>
                <w:color w:val="000000"/>
                <w:kern w:val="0"/>
                <w:sz w:val="24"/>
                <w:szCs w:val="24"/>
                <w:lang w:val="x-none" w:eastAsia="x-none" w:bidi="ar-SA"/>
              </w:rPr>
              <w:t xml:space="preserve"> 315/80R22,5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color w:val="000000"/>
                <w:sz w:val="24"/>
                <w:szCs w:val="24"/>
              </w:rPr>
              <w:t>шт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54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2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120" w:after="0"/>
              <w:rPr/>
            </w:pPr>
            <w:r>
              <w:rPr>
                <w:rFonts w:eastAsia="Times New Roman" w:cs="Times New Roman"/>
                <w:b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</w:t>
            </w:r>
            <w:r>
              <w:rPr>
                <w:rFonts w:eastAsia="Times New Roman" w:cs="Times New Roman"/>
                <w:b w:val="false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втомобильная всесезонная шина </w:t>
            </w:r>
            <w:r>
              <w:rPr>
                <w:rFonts w:eastAsia="Times New Roman" w:cs="Times New Roman"/>
                <w:b w:val="false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11.00 R22,5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color w:val="000000"/>
                <w:sz w:val="24"/>
                <w:szCs w:val="24"/>
              </w:rPr>
              <w:t>шт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3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камерная 8.25R20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4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/>
            </w:pPr>
            <w:r>
              <w:rPr>
                <w:rFonts w:eastAsia="Times New Roman" w:cs="Times New Roman"/>
                <w:b w:val="false"/>
                <w:bCs/>
                <w:kern w:val="0"/>
                <w:sz w:val="24"/>
                <w:szCs w:val="24"/>
                <w:lang w:val="ru-RU" w:eastAsia="ru-RU" w:bidi="ar-SA"/>
              </w:rPr>
              <w:t>Автомобильная всесезонная шина 12.00 R20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22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5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всесезонная шина 12.00/ 22,5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20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6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всесезонная шина 10,00/ 22,5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7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шина камерная 9R20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8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Всесезонная сельскохозяйственная (камерная) шина 15,5/38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9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120" w:after="0"/>
              <w:ind w:left="30" w:hanging="0"/>
              <w:rPr>
                <w:rFonts w:ascii="Times New Roman" w:hAnsi="Times New Roman"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Автомобильная всесезонная шина 7.00 R16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  <w:t>10</w:t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Грузовая всесезонная  (камерная) шина 11,2/-20</w:t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шт.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120" w:after="0"/>
              <w:rPr/>
            </w:pPr>
            <w:r>
              <w:rPr/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120" w:after="0"/>
              <w:rPr/>
            </w:pPr>
            <w:r>
              <w:rPr/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>
          <w:trHeight w:val="256" w:hRule="atLeast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/>
            </w:r>
          </w:p>
        </w:tc>
        <w:tc>
          <w:tcPr>
            <w:tcW w:w="6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spacing w:before="120" w:after="0"/>
              <w:rPr/>
            </w:pPr>
            <w:r>
              <w:rPr/>
            </w:r>
          </w:p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pStyle w:val="Heading3"/>
        <w:rPr/>
      </w:pPr>
      <w:bookmarkStart w:id="14" w:name="_Toc75446578"/>
      <w:bookmarkStart w:id="15" w:name="_Toc51339696"/>
      <w:r>
        <w:rPr/>
        <w:t xml:space="preserve">Требования </w:t>
      </w:r>
      <w:bookmarkEnd w:id="15"/>
      <w:r>
        <w:rPr/>
        <w:t>к срокам поставки продукции и оказания сопутствующих услуг</w:t>
      </w:r>
      <w:bookmarkEnd w:id="14"/>
    </w:p>
    <w:p>
      <w:pPr>
        <w:pStyle w:val="Heading1"/>
        <w:keepNext w:val="true"/>
        <w:widowControl/>
        <w:suppressAutoHyphens w:val="true"/>
        <w:bidi w:val="0"/>
        <w:spacing w:before="120" w:after="0"/>
        <w:ind w:left="5046" w:right="0" w:hanging="5046"/>
        <w:jc w:val="left"/>
        <w:rPr>
          <w:lang w:val="ru-RU"/>
        </w:rPr>
      </w:pPr>
      <w:bookmarkStart w:id="16" w:name="_Toc75446579"/>
      <w:bookmarkStart w:id="17" w:name="_Toc51339697"/>
      <w:bookmarkStart w:id="18" w:name="_Toc50125127"/>
      <w:bookmarkStart w:id="19" w:name="_Toc50125126_Копия_1"/>
      <w:bookmarkEnd w:id="19"/>
      <w:r>
        <w:rPr/>
        <w:t xml:space="preserve">Таблица </w:t>
      </w:r>
      <w:r>
        <w:rPr>
          <w:lang w:val="ru-RU"/>
        </w:rPr>
        <w:t>2</w:t>
      </w:r>
      <w:r>
        <w:rPr/>
        <w:t>.</w:t>
      </w:r>
      <w:r>
        <w:rPr>
          <w:lang w:val="ru-RU"/>
        </w:rPr>
        <w:t>1</w:t>
      </w:r>
      <w:r>
        <w:rPr/>
        <w:t xml:space="preserve"> </w:t>
      </w:r>
      <w:bookmarkStart w:id="20" w:name="_Hlk50465284"/>
      <w:r>
        <w:rPr/>
        <w:t xml:space="preserve">Требования по срокам </w:t>
      </w:r>
      <w:bookmarkEnd w:id="17"/>
      <w:bookmarkEnd w:id="18"/>
      <w:bookmarkEnd w:id="20"/>
      <w:r>
        <w:rPr>
          <w:lang w:val="ru-RU"/>
        </w:rPr>
        <w:t>поставки продукции</w:t>
      </w:r>
      <w:bookmarkEnd w:id="16"/>
      <w:r>
        <w:rPr>
          <w:lang w:val="ru-RU"/>
        </w:rPr>
        <w:t xml:space="preserve"> </w:t>
      </w:r>
    </w:p>
    <w:tbl>
      <w:tblPr>
        <w:tblW w:w="10060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05"/>
        <w:gridCol w:w="2960"/>
        <w:gridCol w:w="3277"/>
        <w:gridCol w:w="3117"/>
      </w:tblGrid>
      <w:tr>
        <w:trPr/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bookmarkStart w:id="21" w:name="_Toc46743510"/>
            <w:r>
              <w:rPr>
                <w:b/>
                <w:sz w:val="24"/>
                <w:szCs w:val="24"/>
              </w:rPr>
              <w:t>4</w:t>
            </w:r>
            <w:bookmarkEnd w:id="21"/>
          </w:p>
        </w:tc>
      </w:tr>
      <w:tr>
        <w:trPr>
          <w:trHeight w:val="417" w:hRule="atLeast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2"/>
              </w:rPr>
            </w:pPr>
            <w:r>
              <w:rPr>
                <w:rStyle w:val="Style8"/>
                <w:rFonts w:eastAsia="Calibri" w:cs="Times New Roman"/>
                <w:b w:val="false"/>
                <w:bCs/>
                <w:i w:val="false"/>
                <w:color w:val="000000"/>
                <w:kern w:val="0"/>
                <w:sz w:val="24"/>
                <w:szCs w:val="24"/>
                <w:shd w:fill="auto" w:val="clear"/>
                <w:lang w:val="x-none" w:eastAsia="x-none" w:bidi="ar-SA"/>
              </w:rPr>
              <w:t>ОКПД2 22.11.14.190. Поставка автомобильных шин для грузовых автомобилей, спецтехники для нужд Саяно-Шушенского филиала АО "ТК РусГидро".</w:t>
            </w:r>
          </w:p>
        </w:tc>
        <w:tc>
          <w:tcPr>
            <w:tcW w:w="3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both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 xml:space="preserve">С </w:t>
            </w:r>
            <w:r>
              <w:rPr>
                <w:rFonts w:eastAsia="Times New Roman" w:cs="Times New Roman"/>
                <w:bCs/>
                <w:color w:val="auto"/>
                <w:kern w:val="0"/>
                <w:sz w:val="24"/>
                <w:szCs w:val="24"/>
                <w:lang w:val="ru-RU" w:eastAsia="ru-RU" w:bidi="ar-SA"/>
              </w:rPr>
              <w:t>момента подписания договора но не ранее 01.01.2027г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both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31.12.2027г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rPr/>
      </w:pPr>
      <w:bookmarkStart w:id="22" w:name="_Toc51339698"/>
      <w:bookmarkStart w:id="23" w:name="_Toc75446581"/>
      <w:bookmarkStart w:id="24" w:name="_Toc46743511"/>
      <w:r>
        <w:rPr/>
        <w:t xml:space="preserve">Требования к </w:t>
      </w:r>
      <w:bookmarkEnd w:id="24"/>
      <w:r>
        <w:rPr/>
        <w:t>качеству продукции</w:t>
      </w:r>
      <w:bookmarkEnd w:id="23"/>
    </w:p>
    <w:p>
      <w:pPr>
        <w:pStyle w:val="Heading1"/>
        <w:rPr>
          <w:sz w:val="24"/>
          <w:szCs w:val="24"/>
        </w:rPr>
      </w:pPr>
      <w:bookmarkStart w:id="25" w:name="_Toc75446582"/>
      <w:r>
        <w:rPr/>
        <w:t>Таблица </w:t>
      </w:r>
      <w:r>
        <w:rPr>
          <w:lang w:val="ru-RU"/>
        </w:rPr>
        <w:t>3</w:t>
      </w:r>
      <w:r>
        <w:rPr/>
        <w:t xml:space="preserve">. Требования к </w:t>
      </w:r>
      <w:r>
        <w:rPr>
          <w:lang w:val="ru-RU"/>
        </w:rPr>
        <w:t>продукции</w:t>
      </w:r>
      <w:bookmarkEnd w:id="25"/>
      <w:r>
        <w:rPr/>
        <w:t xml:space="preserve"> </w:t>
      </w:r>
      <w:bookmarkEnd w:id="22"/>
    </w:p>
    <w:p>
      <w:pPr>
        <w:pStyle w:val="Normal"/>
        <w:tabs>
          <w:tab w:val="clear" w:pos="709"/>
          <w:tab w:val="left" w:pos="851" w:leader="none"/>
        </w:tabs>
        <w:jc w:val="both"/>
        <w:rPr>
          <w:sz w:val="26"/>
          <w:szCs w:val="26"/>
        </w:rPr>
      </w:pPr>
      <w:r>
        <w:rPr>
          <w:sz w:val="24"/>
          <w:szCs w:val="26"/>
        </w:rPr>
        <w:t xml:space="preserve">Наименование: </w:t>
      </w:r>
      <w:r>
        <w:rPr>
          <w:rStyle w:val="Style8"/>
          <w:b w:val="false"/>
          <w:bCs/>
          <w:i w:val="false"/>
          <w:color w:val="000000"/>
          <w:sz w:val="24"/>
          <w:szCs w:val="22"/>
          <w:shd w:fill="auto" w:val="clear"/>
        </w:rPr>
        <w:t>ОКПД2: 22.11.13.110 А</w:t>
      </w:r>
      <w:r>
        <w:rPr>
          <w:rStyle w:val="Style8"/>
          <w:rFonts w:eastAsia="Calibri"/>
          <w:b w:val="false"/>
          <w:bCs/>
          <w:i w:val="false"/>
          <w:color w:val="000000"/>
          <w:sz w:val="24"/>
          <w:szCs w:val="24"/>
          <w:shd w:fill="auto" w:val="clear"/>
          <w:lang w:val="x-none" w:eastAsia="x-none"/>
        </w:rPr>
        <w:t>втомобильные шины для самосвальной техники для нужд Саяно-Шушенского филиала АО "ТК РусГидро"</w:t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1c"/>
        <w:tblW w:w="15255" w:type="dxa"/>
        <w:jc w:val="left"/>
        <w:tblInd w:w="1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15"/>
        <w:gridCol w:w="2003"/>
        <w:gridCol w:w="2880"/>
        <w:gridCol w:w="697"/>
        <w:gridCol w:w="1669"/>
        <w:gridCol w:w="1684"/>
        <w:gridCol w:w="2104"/>
        <w:gridCol w:w="1402"/>
        <w:gridCol w:w="1670"/>
        <w:gridCol w:w="229"/>
      </w:tblGrid>
      <w:tr>
        <w:trPr>
          <w:trHeight w:val="311" w:hRule="atLeast"/>
        </w:trPr>
        <w:tc>
          <w:tcPr>
            <w:tcW w:w="91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п/п</w:t>
            </w:r>
          </w:p>
        </w:tc>
        <w:tc>
          <w:tcPr>
            <w:tcW w:w="20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577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заказчика</w:t>
            </w:r>
          </w:p>
        </w:tc>
        <w:tc>
          <w:tcPr>
            <w:tcW w:w="33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5176" w:type="dxa"/>
            <w:gridSpan w:val="3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Предложения участника по характеристикам и параметрам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W w:w="20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3577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bCs/>
                <w:kern w:val="0"/>
                <w:sz w:val="20"/>
                <w:szCs w:val="20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5176" w:type="dxa"/>
            <w:gridSpan w:val="3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1.</w:t>
            </w:r>
          </w:p>
        </w:tc>
        <w:tc>
          <w:tcPr>
            <w:tcW w:w="558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kern w:val="0"/>
                <w:sz w:val="20"/>
                <w:szCs w:val="20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10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70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1.1</w:t>
            </w:r>
          </w:p>
        </w:tc>
        <w:tc>
          <w:tcPr>
            <w:tcW w:w="2003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kern w:val="0"/>
                <w:sz w:val="20"/>
                <w:szCs w:val="20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Технические характеристики</w:t>
            </w:r>
          </w:p>
        </w:tc>
        <w:tc>
          <w:tcPr>
            <w:tcW w:w="69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kern w:val="0"/>
                <w:sz w:val="20"/>
                <w:szCs w:val="20"/>
                <w:lang w:val="ru-RU" w:eastAsia="en-US" w:bidi="ar-SA"/>
              </w:rPr>
              <w:t>Кол-во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Технические характеристики</w:t>
            </w:r>
          </w:p>
        </w:tc>
        <w:tc>
          <w:tcPr>
            <w:tcW w:w="1402" w:type="dxa"/>
            <w:tcBorders>
              <w:bottom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kern w:val="0"/>
                <w:sz w:val="20"/>
                <w:szCs w:val="20"/>
                <w:lang w:val="ru-RU" w:eastAsia="en-US" w:bidi="ar-SA"/>
              </w:rPr>
              <w:t>Количество</w:t>
            </w:r>
          </w:p>
        </w:tc>
        <w:tc>
          <w:tcPr>
            <w:tcW w:w="1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Производитель, страна происхождения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1.1.1.</w:t>
            </w:r>
          </w:p>
        </w:tc>
        <w:tc>
          <w:tcPr>
            <w:tcW w:w="2003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всесезонная шина</w:t>
            </w:r>
          </w:p>
          <w:p>
            <w:pPr>
              <w:pStyle w:val="Heading3"/>
              <w:widowControl w:val="false"/>
              <w:spacing w:before="120" w:after="0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315/80R22,5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для карьерной, строительной и грузовой техники;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Ширина шины 315</w:t>
              <w:br/>
              <w:t>Высота (профиль) 80</w:t>
              <w:br/>
              <w:t>Диаметр посадочный 22.5</w:t>
              <w:br/>
              <w:t>Индекс грузоподъемности 157/154</w:t>
              <w:br/>
              <w:t>Индекс скорости K</w:t>
              <w:br/>
              <w:t>Сезонность Всесезон</w:t>
              <w:br/>
              <w:t>Камерная Нет</w:t>
              <w:br/>
              <w:t>Слойность 20</w:t>
            </w:r>
          </w:p>
        </w:tc>
        <w:tc>
          <w:tcPr>
            <w:tcW w:w="697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54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210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1.1.2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всесезонная шина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en-US" w:bidi="ar-SA"/>
              </w:rPr>
              <w:t>11.00 R22,5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Ширина профиля: 290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нагрузки для одинарных/сдвоенных: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148/145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Индекс скорости: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ниже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L — 120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 xml:space="preserve">Максимальная нагрузка: </w:t>
            </w:r>
            <w:r>
              <w:rPr>
                <w:rFonts w:eastAsia="Calibri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/>
                <w:b w:val="false"/>
                <w:bCs w:val="false"/>
                <w:kern w:val="0"/>
                <w:sz w:val="20"/>
                <w:szCs w:val="20"/>
                <w:lang w:val="ru-RU" w:eastAsia="en-US" w:bidi="ar-SA"/>
              </w:rPr>
              <w:t>3150/2900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Calibri" w:cs="Times New Roman"/>
                <w:b w:val="false"/>
                <w:bCs w:val="false"/>
                <w:sz w:val="20"/>
                <w:szCs w:val="20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Calibri" w:hAnsi="Calibri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1.1.3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шина камерная 8.25R20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Норма слойности — не менее 14PR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Ширина профиля: 230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 133/131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скорости: не ниже К - 110км/ч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Максимальная нагрузка не менее  2060/1950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30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1.1.4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всесезонная шина 12.00 R20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Ширина профиля: 290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154/165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скорости: не ниже L — 120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Максимальная нагрузка: не менее 3450/3750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22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1.1.5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всесезонная шина 12.00/ 22,5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Ширина профиля: 290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148/145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скорости: не ниже L — 120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Максимальная нагрузка: не менее 3150/2900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20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1.1.6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bidi w:val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всесезонная шина 10,00/ 22,5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148/145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скорости: не ниже L — 120 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Максимальная нагрузка: не менее 3150/2900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1.1.7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шина камерная 9R20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Норма слойности — не менее 14PR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Ширина профиля: 230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 133/131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скорости: не ниже К - 110км/ч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Максимальная нагрузка не менее  2060/1950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1.1.8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jc w:val="left"/>
              <w:outlineLvl w:val="0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Всесезонная сельскохозяйственная (камерная) шина 15,5/38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Норма слойности — не менее 8PR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 134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сельскохозяйственная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1.1.9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Heading3"/>
              <w:widowControl w:val="false"/>
              <w:spacing w:before="120" w:after="0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Автомобильная всесезонная шина 7.00 R16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Пневматическая, радиальная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Норма слойности — не менее 14PR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/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 118/114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бескамерная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грузовая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87" w:hRule="atLeast"/>
        </w:trPr>
        <w:tc>
          <w:tcPr>
            <w:tcW w:w="91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eastAsia="Calibri" w:cs="Arial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Cs/>
                <w:color w:val="000000"/>
                <w:kern w:val="0"/>
                <w:sz w:val="20"/>
                <w:szCs w:val="20"/>
                <w:lang w:val="ru-RU" w:eastAsia="en-US" w:bidi="ar-SA"/>
              </w:rPr>
              <w:t>1.1.10</w:t>
            </w:r>
          </w:p>
        </w:tc>
        <w:tc>
          <w:tcPr>
            <w:tcW w:w="2003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ind w:left="0" w:hanging="0"/>
              <w:outlineLvl w:val="0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Грузовая всесезонная  (камерная) шина 11,2/-20</w:t>
            </w:r>
          </w:p>
        </w:tc>
        <w:tc>
          <w:tcPr>
            <w:tcW w:w="2880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Норма слойности — не менее 8PR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Индекс нагрузки для одинарных/сдвоенных: не менее  1</w:t>
            </w: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14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Сезонность: всесезонные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Исполнение: камерная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Назначение: сельскохозяйственная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before="0" w:after="0"/>
              <w:jc w:val="left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ГОСТ 5513-97</w:t>
            </w:r>
          </w:p>
        </w:tc>
        <w:tc>
          <w:tcPr>
            <w:tcW w:w="697" w:type="dxa"/>
            <w:tcBorders>
              <w:top w:val="nil"/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/>
                <w:b w:val="false"/>
                <w:bCs w:val="false"/>
                <w:color w:val="auto"/>
                <w:kern w:val="0"/>
                <w:sz w:val="20"/>
                <w:szCs w:val="20"/>
                <w:lang w:val="ru-RU" w:eastAsia="en-US" w:bidi="ar-SA"/>
              </w:rPr>
              <w:t>4</w:t>
            </w:r>
          </w:p>
        </w:tc>
        <w:tc>
          <w:tcPr>
            <w:tcW w:w="1669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/>
                <w:i/>
                <w:iCs/>
                <w:color w:val="000000" w:themeColor="text1"/>
                <w:sz w:val="20"/>
                <w:szCs w:val="20"/>
              </w:rPr>
              <w:t>указание характеристик</w:t>
            </w:r>
          </w:p>
        </w:tc>
        <w:tc>
          <w:tcPr>
            <w:tcW w:w="168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cs="Arial" w:ascii="Calibri" w:hAnsi="Calibri"/>
                <w:kern w:val="0"/>
                <w:lang w:val="ru-RU" w:eastAsia="en-US" w:bidi="ar-SA"/>
              </w:rPr>
            </w:r>
          </w:p>
        </w:tc>
        <w:tc>
          <w:tcPr>
            <w:tcW w:w="210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16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164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2.</w:t>
            </w:r>
          </w:p>
        </w:tc>
        <w:tc>
          <w:tcPr>
            <w:tcW w:w="558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51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2.1</w:t>
            </w:r>
          </w:p>
        </w:tc>
        <w:tc>
          <w:tcPr>
            <w:tcW w:w="2003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35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Качество и безопасность товара должны соответствовать требованиям: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ГОСТ 5513-97 «Шины пневматические для грузовых автомобилей, прицепов к ним, автобусов и троллейбусов. Технические условия».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517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688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</w:t>
            </w:r>
          </w:p>
        </w:tc>
        <w:tc>
          <w:tcPr>
            <w:tcW w:w="558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51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424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3.1</w:t>
            </w:r>
          </w:p>
        </w:tc>
        <w:tc>
          <w:tcPr>
            <w:tcW w:w="2003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ru-RU" w:eastAsia="en-US" w:bidi="ar-SA"/>
              </w:rPr>
              <w:t>Место поставки</w:t>
            </w:r>
          </w:p>
        </w:tc>
        <w:tc>
          <w:tcPr>
            <w:tcW w:w="35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eastAsia="Calibri" w:cs="Arial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Республика Хакасия г. Саяногорск рп. Черёмушки, д. 101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51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447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3.2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упаковке</w:t>
            </w:r>
          </w:p>
        </w:tc>
        <w:tc>
          <w:tcPr>
            <w:tcW w:w="35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517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233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4.</w:t>
            </w:r>
          </w:p>
        </w:tc>
        <w:tc>
          <w:tcPr>
            <w:tcW w:w="558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51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391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4.1</w:t>
            </w:r>
          </w:p>
        </w:tc>
        <w:tc>
          <w:tcPr>
            <w:tcW w:w="2003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35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обеспечивать взаимодействие с транспортным средством Заказчика, а именно при установке на автомобиль продукция должна обеспечивать устойчивую, надёжную и безопасную работу агрегатов и узлов автомобиля.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Продукция должна быть не прошедшей ремонт, в том числе восстановление и замену составных частей, восстановление потребительских свойств.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Год изготовления товара – не ранее 202</w:t>
            </w: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517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572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</w:t>
            </w:r>
          </w:p>
        </w:tc>
        <w:tc>
          <w:tcPr>
            <w:tcW w:w="558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51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688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5.1</w:t>
            </w:r>
          </w:p>
        </w:tc>
        <w:tc>
          <w:tcPr>
            <w:tcW w:w="2003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ru-RU" w:eastAsia="en-US" w:bidi="ar-SA"/>
              </w:rPr>
              <w:t>Срок гарантии</w:t>
            </w:r>
          </w:p>
        </w:tc>
        <w:tc>
          <w:tcPr>
            <w:tcW w:w="35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Гарантийный срок на Товар, поставленный по Договору, равен гарантийному сроку производителя и начинает течь с даты подписания Сторонами Накладной ТОРГ-12/УПД. Гарантийный срок может быть продлен в соответствии с условиями Договора.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Товара.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Calibri" w:hAnsi="Calibri" w:cs="Arial"/>
                <w:kern w:val="0"/>
                <w:lang w:val="ru-RU" w:eastAsia="en-US" w:bidi="ar-SA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517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562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6.</w:t>
            </w:r>
          </w:p>
        </w:tc>
        <w:tc>
          <w:tcPr>
            <w:tcW w:w="558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b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51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-//-</w:t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>
          <w:trHeight w:val="688" w:hRule="atLeast"/>
        </w:trPr>
        <w:tc>
          <w:tcPr>
            <w:tcW w:w="9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6.1</w:t>
            </w:r>
          </w:p>
        </w:tc>
        <w:tc>
          <w:tcPr>
            <w:tcW w:w="2003" w:type="dxa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Calibri" w:cs="Arial" w:ascii="Calibri" w:hAnsi="Calibri"/>
                <w:kern w:val="0"/>
                <w:sz w:val="20"/>
                <w:szCs w:val="20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3577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Поставщик передает Заказчику товарную накладную (ТОРГ-12)/УПД, счет-фактуру</w:t>
            </w:r>
          </w:p>
        </w:tc>
        <w:tc>
          <w:tcPr>
            <w:tcW w:w="166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согласие с требованием</w:t>
            </w:r>
          </w:p>
        </w:tc>
        <w:tc>
          <w:tcPr>
            <w:tcW w:w="1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eastAsia="Calibri" w:cs="Arial" w:ascii="Calibri" w:hAnsi="Calibri"/>
                <w:i/>
                <w:iCs/>
                <w:color w:val="000000" w:themeColor="text1"/>
                <w:kern w:val="0"/>
                <w:sz w:val="20"/>
                <w:szCs w:val="20"/>
                <w:lang w:val="ru-RU" w:eastAsia="en-US" w:bidi="ar-SA"/>
              </w:rPr>
              <w:t>-</w:t>
            </w:r>
          </w:p>
        </w:tc>
        <w:tc>
          <w:tcPr>
            <w:tcW w:w="5176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i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i/>
                <w:iCs/>
                <w:color w:val="000000" w:themeColor="text1"/>
                <w:sz w:val="20"/>
                <w:szCs w:val="20"/>
              </w:rPr>
            </w: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7"/>
        </w:num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Требования к документации по ценообразованию на этапе закупки</w:t>
      </w:r>
    </w:p>
    <w:p>
      <w:pPr>
        <w:pStyle w:val="Normal"/>
        <w:spacing w:before="0" w:after="0"/>
        <w:ind w:left="1080" w:hanging="0"/>
        <w:contextualSpacing/>
        <w:jc w:val="both"/>
        <w:rPr>
          <w:rFonts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ListParagraph"/>
        <w:numPr>
          <w:ilvl w:val="1"/>
          <w:numId w:val="7"/>
        </w:numPr>
        <w:ind w:left="0" w:firstLine="454"/>
        <w:jc w:val="both"/>
        <w:rPr>
          <w:iCs/>
          <w:color w:val="000000" w:themeColor="text1"/>
          <w:lang w:eastAsia="x-none"/>
        </w:rPr>
      </w:pPr>
      <w:r>
        <w:rPr>
          <w:rFonts w:eastAsia="Times New Roman"/>
          <w:iCs/>
          <w:color w:val="000000" w:themeColor="text1"/>
          <w:lang w:eastAsia="x-none"/>
        </w:rPr>
        <w:t>В обосновании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iCs/>
          <w:color w:val="000000" w:themeColor="text1"/>
          <w:lang w:eastAsia="x-none"/>
        </w:rPr>
        <w:t>.</w:t>
      </w:r>
    </w:p>
    <w:p>
      <w:pPr>
        <w:pStyle w:val="ListParagraph"/>
        <w:numPr>
          <w:ilvl w:val="1"/>
          <w:numId w:val="7"/>
        </w:numPr>
        <w:ind w:left="0" w:firstLine="426"/>
        <w:jc w:val="both"/>
        <w:rPr>
          <w:i/>
          <w:i/>
          <w:sz w:val="26"/>
          <w:szCs w:val="26"/>
          <w:u w:val="single"/>
        </w:rPr>
      </w:pPr>
      <w:r>
        <w:rPr/>
        <w:t>Дополнительные документы по ценообразованию в состав заявки не включаются.</w:t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Normal"/>
        <w:ind w:firstLine="851"/>
        <w:rPr>
          <w:color w:val="1F4E79"/>
          <w:sz w:val="24"/>
          <w:szCs w:val="24"/>
        </w:rPr>
      </w:pPr>
      <w:r>
        <w:rPr>
          <w:color w:val="1F4E79"/>
          <w:sz w:val="24"/>
          <w:szCs w:val="24"/>
        </w:rPr>
      </w:r>
    </w:p>
    <w:p>
      <w:pPr>
        <w:pStyle w:val="Normal"/>
        <w:ind w:firstLine="851"/>
        <w:rPr>
          <w:color w:val="1F497D"/>
          <w:sz w:val="24"/>
          <w:szCs w:val="24"/>
          <w:lang w:eastAsia="en-US"/>
        </w:rPr>
      </w:pPr>
      <w:r>
        <w:rPr/>
      </w:r>
      <w:bookmarkStart w:id="26" w:name="_GoBack"/>
      <w:bookmarkStart w:id="27" w:name="_GoBack"/>
      <w:bookmarkEnd w:id="27"/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4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6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iCs/>
        <w:rFonts w:eastAsia="Times New Roman"/>
        <w:color w:val="000000" w:themeColor="text1"/>
        <w:lang w:eastAsia="x-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8394c"/>
    <w:pPr>
      <w:keepNext w:val="true"/>
      <w:spacing w:before="120" w:after="0"/>
      <w:ind w:left="30" w:hanging="3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8394c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3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3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3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3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709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4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9903A-2D80-4CA8-AE40-CA07727C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AlterOffice/3.4.0.9$Linux_X86_64 LibreOffice_project/b8daf9e823b1a5463a2f48435ddc2e8696e7d4fc</Application>
  <AppVersion>15.0000</AppVersion>
  <Pages>9</Pages>
  <Words>1090</Words>
  <Characters>7679</Characters>
  <CharactersWithSpaces>8490</CharactersWithSpaces>
  <Paragraphs>299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2024-04-09T00:43:00Z</dcterms:created>
  <dc:creator>Быстров Олег Геннадьевич</dc:creator>
  <dc:description/>
  <dc:language>ru-RU</dc:language>
  <cp:lastModifiedBy>shefersv@corp.gidroogk.com</cp:lastModifiedBy>
  <cp:lastPrinted>2024-04-02T07:48:00Z</cp:lastPrinted>
  <dcterms:modified xsi:type="dcterms:W3CDTF">2026-08-28T12:48:56Z</dcterms:modified>
  <cp:revision>10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