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7.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 №_________________</w:t>
      </w:r>
    </w:p>
    <w:p>
      <w:pPr>
        <w:pStyle w:val="Normal"/>
        <w:shd w:val="clear" w:color="auto" w:fill="FFFFFF"/>
        <w:rPr>
          <w:b/>
          <w:bCs/>
          <w:sz w:val="12"/>
          <w:szCs w:val="12"/>
        </w:rPr>
      </w:pPr>
      <w:r>
        <w:rPr>
          <w:b/>
          <w:bCs/>
          <w:sz w:val="12"/>
          <w:szCs w:val="12"/>
        </w:rPr>
      </w:r>
    </w:p>
    <w:p>
      <w:pPr>
        <w:pStyle w:val="Normal"/>
        <w:shd w:val="clear" w:color="auto" w:fill="FFFFFF"/>
        <w:tabs>
          <w:tab w:val="clear" w:pos="709"/>
          <w:tab w:val="right" w:pos="9639" w:leader="none"/>
        </w:tabs>
        <w:jc w:val="right"/>
        <w:rPr>
          <w:bCs/>
          <w:sz w:val="24"/>
          <w:szCs w:val="24"/>
        </w:rPr>
      </w:pPr>
      <w:r>
        <w:rPr>
          <w:bCs/>
          <w:sz w:val="24"/>
          <w:szCs w:val="24"/>
        </w:rPr>
        <w:t>г. Пятигорск</w:t>
        <w:tab/>
        <w:t xml:space="preserve">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Normal"/>
        <w:ind w:firstLine="709"/>
        <w:jc w:val="both"/>
        <w:rPr>
          <w:spacing w:val="10"/>
          <w:sz w:val="24"/>
          <w:szCs w:val="24"/>
        </w:rPr>
      </w:pPr>
      <w:r>
        <w:rPr>
          <w:b/>
          <w:sz w:val="24"/>
          <w:szCs w:val="24"/>
        </w:rPr>
        <w:t xml:space="preserve">Акционерное общество «Транспортная компания РусГидро» </w:t>
      </w:r>
      <w:r>
        <w:rPr>
          <w:sz w:val="24"/>
          <w:szCs w:val="24"/>
        </w:rPr>
        <w:t>(АО «ТК РусГидро»)</w:t>
      </w:r>
      <w:r>
        <w:rPr>
          <w:spacing w:val="2"/>
          <w:sz w:val="24"/>
          <w:szCs w:val="24"/>
        </w:rPr>
        <w:t xml:space="preserve"> (далее – </w:t>
      </w:r>
      <w:r>
        <w:rPr>
          <w:sz w:val="24"/>
          <w:szCs w:val="24"/>
        </w:rPr>
        <w:t>«Покупатель»), в лице директора Южного филиала АО «ТК РусГидро» Изотова Виталия Анатольевича</w:t>
      </w:r>
      <w:r>
        <w:rPr>
          <w:spacing w:val="4"/>
          <w:sz w:val="24"/>
          <w:szCs w:val="24"/>
        </w:rPr>
        <w:t>, действующего на основании доверенность от 12.11.2025 №806 (доверенности (МЧД) от 13.01.2026 №841cfce5-0bb8-4268-ac08-961a66772c32),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по результатам проведенной Покупателем конкурентной процедуры </w:t>
      </w:r>
      <w:r>
        <w:rPr>
          <w:bCs/>
          <w:sz w:val="24"/>
          <w:szCs w:val="24"/>
        </w:rPr>
        <w:t>по лоту № </w:t>
      </w:r>
      <w:r>
        <w:rPr>
          <w:bCs/>
          <w:sz w:val="24"/>
          <w:szCs w:val="24"/>
          <w:highlight w:val="lightGray"/>
          <w:lang w:eastAsia="en-US"/>
        </w:rPr>
        <w:t>1032-ТПИР ОНМ-2026-ТК</w:t>
      </w:r>
      <w:r>
        <w:rPr>
          <w:sz w:val="24"/>
          <w:szCs w:val="24"/>
        </w:rPr>
        <w:t xml:space="preserve"> и на основании протокола от «___» _________ г. №_______,</w:t>
      </w:r>
    </w:p>
    <w:p>
      <w:pPr>
        <w:pStyle w:val="Normal"/>
        <w:ind w:firstLine="709"/>
        <w:jc w:val="both"/>
        <w:rPr>
          <w:b w:val="false"/>
          <w:bCs w:val="false"/>
        </w:rPr>
      </w:pPr>
      <w:r>
        <w:rPr>
          <w:b w:val="false"/>
          <w:bCs w:val="false"/>
          <w:spacing w:val="10"/>
          <w:sz w:val="24"/>
          <w:szCs w:val="24"/>
        </w:rPr>
        <w:t>заключили настоящий договор поставки (далее – «Договор») о нижеследующем:</w:t>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jc w:val="center"/>
        <w:rPr>
          <w:sz w:val="12"/>
          <w:szCs w:val="12"/>
        </w:rPr>
      </w:pPr>
      <w:r>
        <w:rPr>
          <w:sz w:val="12"/>
          <w:szCs w:val="12"/>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w:t>
      </w:r>
      <w:bookmarkStart w:id="0" w:name="_GoBack"/>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w:t>
      </w:r>
    </w:p>
    <w:p>
      <w:pPr>
        <w:sectPr>
          <w:headerReference w:type="default" r:id="rId2"/>
          <w:type w:val="nextPage"/>
          <w:pgSz w:w="11906" w:h="16838"/>
          <w:pgMar w:left="1418" w:right="851" w:gutter="0" w:header="709" w:top="1134" w:footer="0" w:bottom="1134"/>
          <w:pgNumType w:fmt="decimal"/>
          <w:formProt w:val="false"/>
          <w:textDirection w:val="lrTb"/>
          <w:docGrid w:type="default" w:linePitch="360" w:charSpace="8192"/>
        </w:sect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bookmarkEnd w:id="0"/>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highlight w:val="lightGray"/>
        </w:rPr>
        <w:t>«___» ___________ 20___</w:t>
      </w:r>
      <w:r>
        <w:rPr>
          <w:bCs/>
          <w:sz w:val="24"/>
          <w:szCs w:val="24"/>
        </w:rPr>
        <w:t xml:space="preserve">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highlight w:val="lightGray"/>
        </w:rPr>
        <w:t>«___» _________ 20__</w:t>
      </w:r>
      <w:r>
        <w:rPr>
          <w:bCs/>
          <w:sz w:val="24"/>
          <w:szCs w:val="24"/>
        </w:rPr>
        <w:t xml:space="preserve"> 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 xml:space="preserve"> твердой</w:t>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vertAlign w:val="superscript"/>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32"/>
          <w:szCs w:val="24"/>
        </w:rPr>
      </w:pPr>
      <w:r>
        <w:rPr>
          <w:sz w:val="24"/>
        </w:rPr>
        <w:t xml:space="preserve">Авансовые платежи за каждую партию Товара в размере 10 (десяти) процентов от стоимости соответствующей партии Товара выплачиваются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2.4.1, 2.4.4 Договора.</w:t>
      </w:r>
    </w:p>
    <w:p>
      <w:pPr>
        <w:pStyle w:val="ListParagraph"/>
        <w:numPr>
          <w:ilvl w:val="2"/>
          <w:numId w:val="2"/>
        </w:numPr>
        <w:tabs>
          <w:tab w:val="clear" w:pos="709"/>
        </w:tabs>
        <w:ind w:left="0" w:firstLine="709"/>
        <w:jc w:val="both"/>
        <w:rPr>
          <w:sz w:val="24"/>
        </w:rPr>
      </w:pPr>
      <w:r>
        <w:rPr>
          <w:sz w:val="24"/>
        </w:rPr>
        <w:t xml:space="preserve">Последующие платежи в размере 90 % (девяноста процентов) от стоимости партии Товара выплачиваются Поставщику в течение </w:t>
      </w:r>
      <w:r>
        <w:rPr>
          <w:sz w:val="24"/>
          <w:highlight w:val="lightGray"/>
        </w:rPr>
        <w:t>45 (сорока пяти) календарных дней</w:t>
      </w:r>
      <w:r>
        <w:rPr>
          <w:rStyle w:val="FootnoteReference"/>
          <w:sz w:val="24"/>
          <w:highlight w:val="lightGray"/>
        </w:rPr>
        <w:footnoteReference w:id="3"/>
      </w:r>
      <w:r>
        <w:rPr>
          <w:sz w:val="24"/>
          <w:highlight w:val="lightGray"/>
        </w:rPr>
        <w:t xml:space="preserve"> / 7 (семи) рабочих дней</w:t>
      </w:r>
      <w:r>
        <w:rPr>
          <w:rStyle w:val="FootnoteReference"/>
          <w:sz w:val="24"/>
          <w:highlight w:val="lightGray"/>
        </w:rPr>
        <w:footnoteReference w:id="4"/>
      </w:r>
      <w:r>
        <w:rPr>
          <w:sz w:val="24"/>
        </w:rPr>
        <w:t xml:space="preserve"> с даты подписания Сторонами накладной ТОРГ-12, на основании счета, выставленного Поставщиком, и с учетом пункта 2.4.4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12"/>
          <w:szCs w:val="12"/>
        </w:rPr>
      </w:pPr>
      <w:r>
        <w:rPr>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Pr>
          <w:sz w:val="24"/>
          <w:szCs w:val="24"/>
          <w:highlight w:val="lightGray"/>
        </w:rPr>
        <w:t>__(____)</w:t>
      </w:r>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и перемещение Товара (в том числе по территории Покупателя)</w:t>
      </w:r>
      <w:r>
        <w:rPr>
          <w:rStyle w:val="FootnoteReference"/>
          <w:sz w:val="24"/>
          <w:szCs w:val="24"/>
          <w:highlight w:val="lightGray"/>
          <w:vertAlign w:val="superscript"/>
        </w:rPr>
        <w:footnoteReference w:id="5"/>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12"/>
          <w:szCs w:val="12"/>
        </w:rPr>
      </w:pPr>
      <w:r>
        <w:rPr>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безотзывной и безусловной (гарантия 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w:t>
      </w:r>
      <w:r>
        <w:rPr>
          <w:sz w:val="24"/>
          <w:szCs w:val="24"/>
        </w:rPr>
        <w:t xml:space="preserve"> </w:t>
      </w:r>
      <w:r>
        <w:rPr>
          <w:bCs/>
          <w:sz w:val="24"/>
          <w:szCs w:val="24"/>
        </w:rPr>
        <w:t>как полностью, так и частично, с указанием 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Календарным графиком поставки Товара (Приложение № 3 к Договору)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6"/>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Положения пункта 2.4.1 Договора применяются, если совокупный размер авансовых платежей, уплаченных и подлежащих уплате по Договору в соответствии с выставленными счетами Поставщика составляет 5 000 000 (Пять миллионов) рублей и более</w:t>
        <w:br/>
        <w:t xml:space="preserve">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7"/>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12"/>
          <w:szCs w:val="12"/>
        </w:rPr>
      </w:pPr>
      <w:r>
        <w:rPr>
          <w:bCs/>
          <w:sz w:val="12"/>
          <w:szCs w:val="12"/>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Normal"/>
        <w:numPr>
          <w:ilvl w:val="0"/>
          <w:numId w:val="0"/>
        </w:numPr>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5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t>
      </w:r>
    </w:p>
    <w:p>
      <w:pPr>
        <w:pStyle w:val="ListParagraph"/>
        <w:numPr>
          <w:ilvl w:val="1"/>
          <w:numId w:val="2"/>
        </w:numPr>
        <w:tabs>
          <w:tab w:val="clear" w:pos="709"/>
        </w:tabs>
        <w:ind w:left="0" w:firstLine="709"/>
        <w:jc w:val="both"/>
        <w:rPr>
          <w:sz w:val="24"/>
          <w:szCs w:val="24"/>
          <w:highlight w:val="lightGray"/>
        </w:rPr>
      </w:pPr>
      <w:r>
        <w:rPr>
          <w:sz w:val="24"/>
          <w:szCs w:val="24"/>
          <w:highlight w:val="lightGray"/>
        </w:rPr>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12"/>
          <w:szCs w:val="12"/>
        </w:rPr>
      </w:pPr>
      <w:r>
        <w:rPr>
          <w:sz w:val="12"/>
          <w:szCs w:val="12"/>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0"/>
          <w:numId w:val="0"/>
        </w:numPr>
        <w:shd w:val="clear" w:color="auto" w:fill="FFFFFF"/>
        <w:tabs>
          <w:tab w:val="clear" w:pos="709"/>
          <w:tab w:val="left" w:pos="0"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12"/>
          <w:szCs w:val="12"/>
        </w:rPr>
      </w:pPr>
      <w:r>
        <w:rPr>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Ставропольского края</w:t>
      </w:r>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12"/>
          <w:szCs w:val="12"/>
        </w:rPr>
      </w:pPr>
      <w:r>
        <w:rPr>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12"/>
          <w:szCs w:val="12"/>
        </w:rPr>
      </w:pPr>
      <w:r>
        <w:rPr>
          <w:b/>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FFFFFF"/>
        <w:jc w:val="both"/>
        <w:rPr>
          <w:sz w:val="12"/>
          <w:szCs w:val="12"/>
        </w:rPr>
      </w:pPr>
      <w:r>
        <w:rPr>
          <w:sz w:val="12"/>
          <w:szCs w:val="12"/>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Normal"/>
        <w:widowControl/>
        <w:numPr>
          <w:ilvl w:val="0"/>
          <w:numId w:val="0"/>
        </w:numPr>
        <w:shd w:val="clear" w:color="auto" w:fill="FFFFFF"/>
        <w:spacing w:lineRule="auto" w:line="259" w:before="0" w:after="0"/>
        <w:ind w:left="0" w:hanging="0"/>
        <w:contextualSpacing/>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sz w:val="24"/>
            <w:szCs w:val="24"/>
          </w:rPr>
          <w:t>№ 18162/09</w:t>
        </w:r>
      </w:hyperlink>
      <w:r>
        <w:rPr>
          <w:bCs/>
          <w:sz w:val="24"/>
          <w:szCs w:val="24"/>
        </w:rPr>
        <w:t xml:space="preserve"> 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0"/>
          <w:numId w:val="0"/>
        </w:numPr>
        <w:shd w:val="clear" w:color="auto" w:fill="FFFFFF"/>
        <w:tabs>
          <w:tab w:val="clear" w:pos="709"/>
          <w:tab w:val="left" w:pos="426" w:leader="none"/>
        </w:tabs>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12"/>
          <w:szCs w:val="12"/>
        </w:rPr>
      </w:pPr>
      <w:r>
        <w:rPr>
          <w:bCs/>
          <w:sz w:val="12"/>
          <w:szCs w:val="12"/>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0"/>
          <w:numId w:val="0"/>
        </w:numPr>
        <w:shd w:val="clear" w:color="auto" w:fill="FFFFFF"/>
        <w:ind w:left="0" w:hanging="0"/>
        <w:jc w:val="center"/>
        <w:rPr>
          <w:sz w:val="12"/>
          <w:szCs w:val="12"/>
        </w:rPr>
      </w:pPr>
      <w:r>
        <w:rPr>
          <w:sz w:val="12"/>
          <w:szCs w:val="12"/>
        </w:rPr>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8"/>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sz w:val="24"/>
          <w:szCs w:val="24"/>
          <w:highlight w:val="lightGray"/>
        </w:rPr>
        <w:t>14.8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9"/>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0"/>
      </w:r>
      <w:r>
        <w:rPr>
          <w:sz w:val="24"/>
          <w:szCs w:val="24"/>
          <w:highlight w:val="lightGray"/>
        </w:rPr>
        <w:t>.</w:t>
      </w:r>
    </w:p>
    <w:p>
      <w:pPr>
        <w:pStyle w:val="Normal"/>
        <w:shd w:val="clear" w:color="auto" w:fill="FFFFFF"/>
        <w:ind w:firstLine="567"/>
        <w:jc w:val="both"/>
        <w:rPr>
          <w:sz w:val="12"/>
          <w:szCs w:val="12"/>
        </w:rPr>
      </w:pPr>
      <w:r>
        <w:rPr>
          <w:sz w:val="12"/>
          <w:szCs w:val="12"/>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Список приложений</w:t>
      </w:r>
    </w:p>
    <w:p>
      <w:pPr>
        <w:pStyle w:val="Normal"/>
        <w:widowControl/>
        <w:numPr>
          <w:ilvl w:val="0"/>
          <w:numId w:val="0"/>
        </w:numPr>
        <w:shd w:val="clear" w:color="auto" w:fill="FFFFFF"/>
        <w:tabs>
          <w:tab w:val="clear" w:pos="709"/>
          <w:tab w:val="left" w:pos="284" w:leader="none"/>
        </w:tabs>
        <w:spacing w:lineRule="auto" w:line="259" w:before="0" w:after="0"/>
        <w:ind w:left="360" w:hanging="0"/>
        <w:contextualSpacing/>
        <w:jc w:val="center"/>
        <w:rPr>
          <w:sz w:val="12"/>
          <w:szCs w:val="12"/>
        </w:rPr>
      </w:pPr>
      <w:r>
        <w:rPr>
          <w:sz w:val="12"/>
          <w:szCs w:val="12"/>
        </w:rPr>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bookmarkStart w:id="11" w:name="sub_1"/>
      <w:r>
        <w:rPr>
          <w:rFonts w:eastAsia="Calibri"/>
          <w:sz w:val="24"/>
          <w:szCs w:val="24"/>
          <w:lang w:eastAsia="en-US"/>
        </w:rPr>
        <w:t>Приложение № 4 – Критерии отбора Банков-Гарантов.</w:t>
      </w:r>
      <w:bookmarkEnd w:id="11"/>
    </w:p>
    <w:p>
      <w:pPr>
        <w:pStyle w:val="Normal"/>
        <w:ind w:firstLine="709"/>
        <w:jc w:val="both"/>
        <w:rPr>
          <w:bCs/>
          <w:sz w:val="24"/>
          <w:szCs w:val="24"/>
        </w:rPr>
      </w:pPr>
      <w:r>
        <w:rPr>
          <w:bCs/>
          <w:sz w:val="24"/>
          <w:szCs w:val="24"/>
        </w:rPr>
        <w:t xml:space="preserve">Приложение № 5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12"/>
          <w:szCs w:val="12"/>
        </w:rPr>
      </w:pPr>
      <w:r>
        <w:rPr>
          <w:b/>
          <w:bCs/>
          <w:sz w:val="12"/>
          <w:szCs w:val="12"/>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2"/>
        <w:gridCol w:w="29"/>
        <w:gridCol w:w="5078"/>
      </w:tblGrid>
      <w:tr>
        <w:trPr/>
        <w:tc>
          <w:tcPr>
            <w:tcW w:w="4811" w:type="dxa"/>
            <w:gridSpan w:val="2"/>
            <w:tcBorders/>
          </w:tcPr>
          <w:p>
            <w:pPr>
              <w:pStyle w:val="Normal"/>
              <w:widowControl w:val="false"/>
              <w:rPr>
                <w:b/>
                <w:bCs/>
              </w:rPr>
            </w:pPr>
            <w:r>
              <w:rPr>
                <w:b/>
                <w:bCs/>
                <w:sz w:val="24"/>
                <w:szCs w:val="24"/>
              </w:rPr>
              <w:t>ПОКУПАТЕЛЬ:</w:t>
            </w:r>
          </w:p>
        </w:tc>
        <w:tc>
          <w:tcPr>
            <w:tcW w:w="5078" w:type="dxa"/>
            <w:tcBorders/>
          </w:tcPr>
          <w:p>
            <w:pPr>
              <w:pStyle w:val="Normal"/>
              <w:widowControl w:val="false"/>
              <w:rPr>
                <w:b/>
                <w:bCs/>
              </w:rPr>
            </w:pPr>
            <w:r>
              <w:rPr>
                <w:b/>
                <w:bCs/>
                <w:sz w:val="24"/>
                <w:szCs w:val="24"/>
              </w:rPr>
              <w:t>ПОСТАВЩИК:</w:t>
            </w:r>
          </w:p>
        </w:tc>
      </w:tr>
      <w:tr>
        <w:trPr/>
        <w:tc>
          <w:tcPr>
            <w:tcW w:w="4811" w:type="dxa"/>
            <w:gridSpan w:val="2"/>
            <w:tcBorders/>
            <w:shd w:color="auto" w:fill="BFBFBF" w:val="clear"/>
          </w:tcPr>
          <w:p>
            <w:pPr>
              <w:pStyle w:val="NoSpacing"/>
              <w:widowControl w:val="false"/>
              <w:rPr>
                <w:b/>
                <w:bCs/>
              </w:rPr>
            </w:pPr>
            <w:r>
              <w:rPr>
                <w:rFonts w:cs="Times New Roman" w:ascii="Times New Roman" w:hAnsi="Times New Roman"/>
                <w:b/>
                <w:bCs/>
                <w:sz w:val="24"/>
                <w:szCs w:val="24"/>
              </w:rPr>
              <w:t>Акционерное общество «ТК РусГидро»</w:t>
            </w:r>
          </w:p>
          <w:p>
            <w:pPr>
              <w:pStyle w:val="NoSpacing"/>
              <w:widowControl w:val="false"/>
              <w:rPr>
                <w:b/>
                <w:bCs/>
              </w:rPr>
            </w:pPr>
            <w:r>
              <w:rPr>
                <w:rFonts w:cs="Times New Roman" w:ascii="Times New Roman" w:hAnsi="Times New Roman"/>
                <w:b/>
                <w:bCs/>
                <w:sz w:val="24"/>
                <w:szCs w:val="24"/>
              </w:rPr>
              <w:t>(АО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стр</w:t>
            </w:r>
            <w:r>
              <w:rPr>
                <w:rFonts w:cs="Times New Roman" w:ascii="Times New Roman" w:hAnsi="Times New Roman"/>
                <w:sz w:val="24"/>
                <w:szCs w:val="24"/>
              </w:rPr>
              <w:t>. 101.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190201001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ОГРН 1031900676356 ОКПО 42213224</w:t>
            </w:r>
          </w:p>
          <w:p>
            <w:pPr>
              <w:pStyle w:val="NoSpacing"/>
              <w:widowControl w:val="false"/>
              <w:rPr>
                <w:b/>
                <w:bCs/>
              </w:rPr>
            </w:pPr>
            <w:r>
              <w:rPr>
                <w:rFonts w:cs="Times New Roman" w:ascii="Times New Roman" w:hAnsi="Times New Roman"/>
                <w:b/>
                <w:bCs/>
                <w:sz w:val="24"/>
                <w:szCs w:val="24"/>
              </w:rPr>
              <w:t>Южный филиал АО «ТК РусГидро»</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Телефон, факс: +7(86554)4-16-55</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ИНН 1902018248 КПП 263243001</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ОКПО 21967982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р/с 40702810795000000002</w:t>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rPr>
              <w:t>БИК 044525823 к/с 30101810200000000823</w:t>
            </w:r>
          </w:p>
        </w:tc>
        <w:tc>
          <w:tcPr>
            <w:tcW w:w="5078" w:type="dxa"/>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2" w:type="dxa"/>
            <w:tcBorders/>
          </w:tcPr>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rPr>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_______________ В.А. Изотов</w:t>
            </w:r>
          </w:p>
          <w:p>
            <w:pPr>
              <w:pStyle w:val="NoSpacing"/>
              <w:widowControl w:val="false"/>
              <w:rPr>
                <w:rFonts w:ascii="Times New Roman" w:hAnsi="Times New Roman" w:cs="Times New Roman"/>
                <w:sz w:val="24"/>
                <w:szCs w:val="24"/>
              </w:rPr>
            </w:pPr>
            <w:r>
              <w:rPr>
                <w:rFonts w:cs="Times New Roman" w:ascii="Times New Roman" w:hAnsi="Times New Roman"/>
                <w:sz w:val="24"/>
                <w:szCs w:val="24"/>
                <w:highlight w:val="lightGray"/>
              </w:rPr>
              <w:t>МП</w:t>
            </w:r>
          </w:p>
        </w:tc>
        <w:tc>
          <w:tcPr>
            <w:tcW w:w="5107" w:type="dxa"/>
            <w:gridSpan w:val="2"/>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__.__.________________</w:t>
            </w:r>
          </w:p>
          <w:p>
            <w:pPr>
              <w:pStyle w:val="Normal"/>
              <w:widowControl w:val="false"/>
              <w:rPr>
                <w:sz w:val="24"/>
                <w:szCs w:val="24"/>
              </w:rPr>
            </w:pPr>
            <w:r>
              <w:rPr>
                <w:sz w:val="24"/>
                <w:szCs w:val="24"/>
              </w:rPr>
              <w:t>МП</w:t>
            </w:r>
          </w:p>
        </w:tc>
      </w:tr>
    </w:tbl>
    <w:p>
      <w:pPr>
        <w:sectPr>
          <w:headerReference w:type="default" r:id="rId6"/>
          <w:headerReference w:type="first" r:id="rId7"/>
          <w:footerReference w:type="default" r:id="rId8"/>
          <w:footnotePr>
            <w:numFmt w:val="decimal"/>
          </w:footnotePr>
          <w:type w:val="nextPage"/>
          <w:pgSz w:w="11906" w:h="16838"/>
          <w:pgMar w:left="1418" w:right="851" w:gutter="0" w:header="709" w:top="1276" w:footer="709" w:bottom="1134"/>
          <w:pgNumType w:fmt="decimal"/>
          <w:formProt w:val="false"/>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317"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8"/>
        <w:gridCol w:w="381"/>
        <w:gridCol w:w="607"/>
        <w:gridCol w:w="610"/>
        <w:gridCol w:w="617"/>
        <w:gridCol w:w="764"/>
        <w:gridCol w:w="736"/>
        <w:gridCol w:w="619"/>
        <w:gridCol w:w="729"/>
        <w:gridCol w:w="691"/>
        <w:gridCol w:w="514"/>
        <w:gridCol w:w="649"/>
        <w:gridCol w:w="551"/>
        <w:gridCol w:w="514"/>
        <w:gridCol w:w="716"/>
        <w:gridCol w:w="1158"/>
      </w:tblGrid>
      <w:tr>
        <w:trPr>
          <w:trHeight w:val="526" w:hRule="atLeast"/>
        </w:trPr>
        <w:tc>
          <w:tcPr>
            <w:tcW w:w="4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1"/>
            </w:r>
          </w:p>
        </w:tc>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2"/>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8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8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8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widowControl/>
        <w:suppressAutoHyphens w:val="true"/>
        <w:spacing w:lineRule="auto" w:line="259"/>
        <w:jc w:val="center"/>
        <w:rPr>
          <w:rFonts w:eastAsia="Calibri"/>
          <w:b/>
          <w:sz w:val="24"/>
          <w:szCs w:val="24"/>
          <w:lang w:eastAsia="en-US"/>
        </w:rPr>
      </w:pPr>
      <w:r>
        <w:rPr>
          <w:rFonts w:eastAsia="Calibri"/>
          <w:b/>
          <w:sz w:val="24"/>
          <w:szCs w:val="24"/>
          <w:lang w:eastAsia="en-US"/>
        </w:rPr>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widowControl w:val="false"/>
        <w:suppressAutoHyphens w:val="true"/>
        <w:bidi w:val="0"/>
        <w:spacing w:before="0" w:after="0"/>
        <w:ind w:left="5102" w:right="-283" w:hanging="0"/>
        <w:jc w:val="left"/>
        <w:rPr>
          <w:sz w:val="22"/>
          <w:szCs w:val="22"/>
        </w:rPr>
      </w:pPr>
      <w:r>
        <w:rPr>
          <w:sz w:val="22"/>
          <w:szCs w:val="22"/>
        </w:rPr>
        <w:t>Приложение № 3</w:t>
      </w:r>
    </w:p>
    <w:p>
      <w:pPr>
        <w:pStyle w:val="Normal"/>
        <w:suppressAutoHyphens w:val="true"/>
        <w:ind w:right="96" w:firstLine="5103"/>
        <w:rPr>
          <w:sz w:val="22"/>
          <w:szCs w:val="22"/>
        </w:rPr>
      </w:pPr>
      <w:r>
        <w:rPr>
          <w:sz w:val="22"/>
          <w:szCs w:val="22"/>
        </w:rPr>
        <w:t>к Договору поставки</w:t>
      </w:r>
    </w:p>
    <w:p>
      <w:pPr>
        <w:pStyle w:val="Normal"/>
        <w:suppressAutoHyphens w:val="true"/>
        <w:ind w:right="96" w:firstLine="5103"/>
        <w:rPr>
          <w:sz w:val="22"/>
          <w:szCs w:val="22"/>
        </w:rPr>
      </w:pPr>
      <w:r>
        <w:rPr>
          <w:sz w:val="22"/>
          <w:szCs w:val="22"/>
        </w:rPr>
        <w:t>от «____» __________ 20 _ г. № ____</w:t>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r>
    </w:p>
    <w:p>
      <w:pPr>
        <w:pStyle w:val="Normal"/>
        <w:suppressAutoHyphens w:val="true"/>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6"/>
        <w:gridCol w:w="1835"/>
        <w:gridCol w:w="1848"/>
        <w:gridCol w:w="1843"/>
        <w:gridCol w:w="1139"/>
        <w:gridCol w:w="1196"/>
        <w:gridCol w:w="1350"/>
      </w:tblGrid>
      <w:tr>
        <w:trPr>
          <w:trHeight w:val="1150"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 xml:space="preserve">партии </w:t>
            </w:r>
          </w:p>
        </w:tc>
        <w:tc>
          <w:tcPr>
            <w:tcW w:w="18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Товара (партии Товара)</w:t>
            </w:r>
          </w:p>
        </w:tc>
        <w:tc>
          <w:tcPr>
            <w:tcW w:w="18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Обоснование стоимости, пункт Спецификации </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поставки Товара</w:t>
            </w:r>
          </w:p>
          <w:p>
            <w:pPr>
              <w:pStyle w:val="Normal"/>
              <w:widowControl w:val="false"/>
              <w:jc w:val="center"/>
              <w:rPr/>
            </w:pPr>
            <w:r>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Цена, руб. без НДС</w:t>
            </w:r>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 (___%), руб.</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Стоимость партии, руб. с НДС</w:t>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suppressAutoHyphens w:val="true"/>
        <w:rPr>
          <w:b/>
          <w:sz w:val="24"/>
          <w:szCs w:val="24"/>
        </w:rPr>
      </w:pPr>
      <w:r>
        <w:rPr>
          <w:b/>
          <w:sz w:val="24"/>
          <w:szCs w:val="24"/>
        </w:rPr>
      </w:r>
    </w:p>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5103"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103"/>
        <w:rPr>
          <w:sz w:val="22"/>
          <w:szCs w:val="22"/>
        </w:rPr>
      </w:pPr>
      <w:r>
        <w:rPr>
          <w:sz w:val="22"/>
          <w:szCs w:val="22"/>
        </w:rPr>
        <w:t>Приложение № 4</w:t>
      </w:r>
    </w:p>
    <w:p>
      <w:pPr>
        <w:pStyle w:val="Normal"/>
        <w:suppressAutoHyphens w:val="true"/>
        <w:ind w:right="96" w:firstLine="5103"/>
        <w:rPr>
          <w:sz w:val="22"/>
          <w:szCs w:val="22"/>
        </w:rPr>
      </w:pPr>
      <w:r>
        <w:rPr>
          <w:sz w:val="22"/>
          <w:szCs w:val="22"/>
        </w:rPr>
        <w:t>к Договору поставки</w:t>
      </w:r>
    </w:p>
    <w:p>
      <w:pPr>
        <w:pStyle w:val="Normal"/>
        <w:ind w:firstLine="5103"/>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13"/>
      </w:r>
      <w:r>
        <w:rPr>
          <w:sz w:val="24"/>
          <w:szCs w:val="24"/>
        </w:rPr>
        <w:t>, а также соответствовать следующим критериям:</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(далее – Методика ЦБ РФ) или иным документом, его заменяющим (в случае изменения или отмены указанного Положения).</w:t>
      </w:r>
    </w:p>
    <w:p>
      <w:pPr>
        <w:pStyle w:val="Normal"/>
        <w:widowControl/>
        <w:numPr>
          <w:ilvl w:val="1"/>
          <w:numId w:val="13"/>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14"/>
      </w:r>
      <w:r>
        <w:rPr>
          <w:sz w:val="24"/>
          <w:szCs w:val="24"/>
        </w:rPr>
        <w:t xml:space="preserve">. </w:t>
      </w:r>
    </w:p>
    <w:p>
      <w:pPr>
        <w:pStyle w:val="Normal"/>
        <w:widowControl/>
        <w:numPr>
          <w:ilvl w:val="1"/>
          <w:numId w:val="13"/>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15"/>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Не иметь просроченную задолженность перед Обществом и компаниями Группы РусГидро.</w:t>
      </w:r>
    </w:p>
    <w:p>
      <w:pPr>
        <w:pStyle w:val="Normal"/>
        <w:widowControl/>
        <w:numPr>
          <w:ilvl w:val="1"/>
          <w:numId w:val="13"/>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16"/>
      </w:r>
      <w:r>
        <w:rPr>
          <w:sz w:val="24"/>
          <w:szCs w:val="24"/>
        </w:rPr>
        <w:t>.</w:t>
      </w:r>
    </w:p>
    <w:p>
      <w:pPr>
        <w:pStyle w:val="Normal"/>
        <w:widowControl/>
        <w:numPr>
          <w:ilvl w:val="1"/>
          <w:numId w:val="13"/>
        </w:numPr>
        <w:tabs>
          <w:tab w:val="clear" w:pos="709"/>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4"/>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4"/>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3"/>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0"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17"/>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0"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9"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3">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0" w:type="dxa"/>
            <w:tcBorders/>
          </w:tcPr>
          <w:p>
            <w:pPr>
              <w:pStyle w:val="Normal"/>
              <w:widowControl w:val="false"/>
              <w:ind w:right="-108" w:hanging="0"/>
              <w:jc w:val="both"/>
              <w:rPr>
                <w:sz w:val="24"/>
                <w:szCs w:val="24"/>
                <w:lang w:val="en-GB"/>
              </w:rPr>
            </w:pPr>
            <w:r>
              <w:rPr>
                <w:sz w:val="24"/>
                <w:szCs w:val="24"/>
                <w:lang w:val="en-GB"/>
              </w:rPr>
              <w:t>-</w:t>
            </w:r>
          </w:p>
        </w:tc>
        <w:tc>
          <w:tcPr>
            <w:tcW w:w="8509"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18"/>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103"/>
        <w:rPr>
          <w:sz w:val="22"/>
          <w:szCs w:val="22"/>
        </w:rPr>
      </w:pPr>
      <w:r>
        <w:rPr>
          <w:sz w:val="22"/>
          <w:szCs w:val="22"/>
        </w:rPr>
        <w:t>Приложение № 5</w:t>
      </w:r>
    </w:p>
    <w:p>
      <w:pPr>
        <w:pStyle w:val="Normal"/>
        <w:suppressAutoHyphens w:val="true"/>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left="5103" w:hanging="0"/>
        <w:rPr>
          <w:b/>
          <w:bCs/>
          <w:sz w:val="24"/>
          <w:szCs w:val="24"/>
        </w:rPr>
      </w:pPr>
      <w:r>
        <w:rPr/>
      </w:r>
    </w:p>
    <w:sectPr>
      <w:headerReference w:type="default" r:id="rId14"/>
      <w:headerReference w:type="first" r:id="rId15"/>
      <w:footerReference w:type="default" r:id="rId16"/>
      <w:footerReference w:type="first" r:id="rId17"/>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4">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6">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7">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8">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9">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0">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1">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2">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13">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14">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15">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16">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17">
    <w:p>
      <w:pPr>
        <w:pStyle w:val="FootnoteText"/>
        <w:jc w:val="both"/>
        <w:rPr/>
      </w:pPr>
      <w:r>
        <w:rPr>
          <w:rStyle w:val="Style14"/>
        </w:rPr>
        <w:footnoteRef/>
      </w:r>
      <w:r>
        <w:rPr>
          <w:lang w:eastAsia="x-none"/>
        </w:rPr>
        <w:t xml:space="preserve"> </w:t>
      </w:r>
      <w:r>
        <w:rPr>
          <w:lang w:eastAsia="x-none"/>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18">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t>ТФД 2.2.1_ЮФ</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19</w:t>
    </w:r>
    <w:r>
      <w:rPr/>
      <w:fldChar w:fldCharType="end"/>
    </w:r>
  </w:p>
  <w:p>
    <w:pPr>
      <w:pStyle w:val="Header"/>
      <w:jc w:val="right"/>
      <w:rPr/>
    </w:pPr>
    <w:r>
      <w:rPr/>
      <w:t xml:space="preserve">ТФД 2.2.1_ЮФ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21</w:t>
    </w:r>
    <w:r>
      <w:rPr/>
      <w:fldChar w:fldCharType="end"/>
    </w:r>
  </w:p>
  <w:p>
    <w:pPr>
      <w:pStyle w:val="Header"/>
      <w:jc w:val="right"/>
      <w:rPr/>
    </w:pPr>
    <w:r>
      <w:rPr/>
      <w:t>ТФД 2.2.1_ЮФ</w:t>
    </w:r>
  </w:p>
  <w:p>
    <w:pPr>
      <w:pStyle w:val="Normal"/>
      <w:tabs>
        <w:tab w:val="clear" w:pos="709"/>
        <w:tab w:val="left" w:pos="1875" w:leader="none"/>
        <w:tab w:val="center" w:pos="4153" w:leader="none"/>
        <w:tab w:val="right" w:pos="8306" w:leader="none"/>
      </w:tabs>
      <w:rPr>
        <w:i/>
        <w:i/>
      </w:rPr>
    </w:pPr>
    <w:r>
      <w:rPr>
        <w:i/>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22</w:t>
    </w:r>
    <w:r>
      <w:rPr/>
      <w:fldChar w:fldCharType="end"/>
    </w:r>
  </w:p>
  <w:p>
    <w:pPr>
      <w:pStyle w:val="Header"/>
      <w:jc w:val="right"/>
      <w:rPr/>
    </w:pPr>
    <w:r>
      <w:rPr/>
      <w:t>ТФД 2.2.1_ЮФ</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8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www.cbr.ru/" TargetMode="Externa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Relationship Id="rId24" Type="http://schemas.openxmlformats.org/officeDocument/2006/relationships/customXml" Target="../customXml/item2.xml"/><Relationship Id="rId25" Type="http://schemas.openxmlformats.org/officeDocument/2006/relationships/customXml" Target="../customXml/item3.xml"/><Relationship Id="rId2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C70CD4F-2764-4595-AB6F-4B36397AE6DF}">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375</TotalTime>
  <Application>AlterOffice/3.4.0.9$Linux_X86_64 LibreOffice_project/b8daf9e823b1a5463a2f48435ddc2e8696e7d4fc</Application>
  <AppVersion>15.0000</AppVersion>
  <Pages>26</Pages>
  <Words>9473</Words>
  <Characters>67579</Characters>
  <CharactersWithSpaces>76566</CharactersWithSpaces>
  <Paragraphs>465</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2023-02-14T07:19:00Z</dcterms:created>
  <dc:creator>tsypilev_ag</dc:creator>
  <dc:description/>
  <dc:language>ru-RU</dc:language>
  <cp:lastModifiedBy>schigarevnn@corp.gidroogk.com</cp:lastModifiedBy>
  <cp:lastPrinted>2018-05-22T09:46:00Z</cp:lastPrinted>
  <dcterms:modified xsi:type="dcterms:W3CDTF">2026-08-28T10:35:22Z</dcterms:modified>
  <cp:revision>23</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