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</w:rPr>
      </w:pPr>
      <w:r>
        <w:rPr>
          <w:bCs/>
        </w:rPr>
      </w:r>
    </w:p>
    <w:p>
      <w:pPr>
        <w:pStyle w:val="Normal"/>
        <w:keepNext w:val="true"/>
        <w:keepLines/>
        <w:jc w:val="right"/>
        <w:rPr>
          <w:bCs/>
        </w:rPr>
      </w:pPr>
      <w:r>
        <w:rPr>
          <w:bCs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>«ОКПД2 82.99. Оказание услуг по оклейке бронированной пленкой окон здания ГЭС Филиала ПАО «РусГидро» – «Жигулевская ГЭС»</w:t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br w:type="page"/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  <w:lang w:eastAsia="x-non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  <w:lang w:eastAsia="x-none"/>
            </w:rPr>
            <w:fldChar w:fldCharType="separate"/>
          </w:r>
          <w:hyperlink w:anchor="_Toc171341910">
            <w:r>
              <w:rPr>
                <w:webHidden/>
                <w:rStyle w:val="Style14"/>
                <w:rFonts w:eastAsia="Calibri"/>
                <w:vanish w:val="false"/>
                <w:lang w:eastAsia="x-non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iCs w:val="false"/>
              </w:rPr>
              <w:tab/>
            </w:r>
            <w:r>
              <w:rPr>
                <w:rStyle w:val="Style14"/>
                <w:rFonts w:eastAsia="Calibri"/>
                <w:lang w:eastAsia="x-none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11">
            <w:r>
              <w:rPr>
                <w:webHidden/>
                <w:rStyle w:val="Style14"/>
                <w:rFonts w:eastAsia="Calibri"/>
                <w:bCs/>
                <w:iCs/>
                <w:vanish w:val="false"/>
                <w:sz w:val="24"/>
                <w:szCs w:val="24"/>
                <w:lang w:val="x-none" w:eastAsia="x-non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rFonts w:eastAsia="Calibri"/>
                <w:b/>
                <w:bCs/>
                <w:sz w:val="24"/>
                <w:szCs w:val="24"/>
                <w:lang w:val="x-none" w:eastAsia="x-none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12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13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 xml:space="preserve">Цель </w:t>
            </w:r>
            <w:r>
              <w:rPr>
                <w:rStyle w:val="Style14"/>
                <w:sz w:val="24"/>
                <w:szCs w:val="24"/>
                <w:lang w:val="en-US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14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16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17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2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iCs w:val="false"/>
              </w:rPr>
              <w:tab/>
            </w:r>
            <w:r>
              <w:rPr>
                <w:rStyle w:val="Style14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24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2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_Toc171341926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2. Перечень и объем оказываемых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28">
            <w:r>
              <w:rPr>
                <w:webHidden/>
                <w:rStyle w:val="Style14"/>
                <w:vanish w:val="false"/>
              </w:rPr>
              <w:t xml:space="preserve">Таблица 3. Требования по срокам </w:t>
            </w:r>
            <w:r>
              <w:rPr>
                <w:rStyle w:val="Style14"/>
                <w:lang w:val="en-US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71341929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 xml:space="preserve">Требования к качеству </w:t>
            </w:r>
            <w:r>
              <w:rPr>
                <w:rStyle w:val="Style14"/>
                <w:sz w:val="24"/>
                <w:szCs w:val="24"/>
                <w:lang w:val="en-US"/>
              </w:rPr>
              <w:t>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30">
            <w:r>
              <w:rPr>
                <w:webHidden/>
                <w:rStyle w:val="Style14"/>
                <w:vanish w:val="false"/>
              </w:rPr>
              <w:t xml:space="preserve">Таблица 4. Требования к качеству </w:t>
            </w:r>
            <w:r>
              <w:rPr>
                <w:rStyle w:val="Style14"/>
                <w:lang w:val="en-US"/>
              </w:rPr>
              <w:t>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31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i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32">
            <w:r>
              <w:rPr>
                <w:webHidden/>
                <w:rStyle w:val="Style14"/>
                <w:vanish w:val="false"/>
              </w:rPr>
              <w:t xml:space="preserve">Таблица 5. </w:t>
            </w:r>
            <w:r>
              <w:rPr>
                <w:rStyle w:val="Style14"/>
                <w:lang w:val="en-US"/>
              </w:rPr>
              <w:t>Расчёт</w:t>
            </w:r>
            <w:r>
              <w:rPr>
                <w:rStyle w:val="Style14"/>
              </w:rPr>
              <w:t xml:space="preserve"> стоимости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iCs w:val="false"/>
            </w:rPr>
          </w:pPr>
          <w:hyperlink w:anchor="_Toc171341933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iCs w:val="false"/>
              </w:rPr>
              <w:tab/>
            </w:r>
            <w:r>
              <w:rPr>
                <w:rStyle w:val="Style14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_Toc171341933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Style27"/>
        <w:keepLines/>
        <w:spacing w:before="160" w:after="0"/>
        <w:jc w:val="left"/>
        <w:rPr>
          <w:b w:val="false"/>
        </w:rPr>
      </w:pPr>
      <w:r>
        <w:rPr>
          <w:b w:val="false"/>
        </w:rPr>
      </w:r>
    </w:p>
    <w:p>
      <w:pPr>
        <w:pStyle w:val="Style27"/>
        <w:keepLines/>
        <w:rPr>
          <w:b w:val="false"/>
        </w:rPr>
      </w:pPr>
      <w:r>
        <w:rPr>
          <w:b w:val="false"/>
        </w:rPr>
      </w:r>
    </w:p>
    <w:p>
      <w:pPr>
        <w:pStyle w:val="Style27"/>
        <w:keepLines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17"/>
        </w:numPr>
        <w:suppressAutoHyphens w:val="true"/>
        <w:spacing w:before="120" w:after="60"/>
        <w:ind w:left="357" w:hanging="357"/>
        <w:jc w:val="center"/>
        <w:outlineLvl w:val="0"/>
        <w:rPr>
          <w:rFonts w:eastAsia="Calibri"/>
          <w:b/>
          <w:caps/>
          <w:color w:val="00000A"/>
          <w:lang w:eastAsia="x-none"/>
        </w:rPr>
      </w:pPr>
      <w:bookmarkStart w:id="0" w:name="_Toc171341910"/>
      <w:bookmarkStart w:id="1" w:name="_Toc130454087"/>
      <w:r>
        <w:rPr>
          <w:rFonts w:eastAsia="Calibri"/>
          <w:b/>
          <w:color w:val="00000A"/>
          <w:lang w:eastAsia="x-none"/>
        </w:rPr>
        <w:t>Общие сведения</w:t>
      </w:r>
      <w:bookmarkEnd w:id="0"/>
      <w:bookmarkEnd w:id="1"/>
    </w:p>
    <w:p>
      <w:pPr>
        <w:pStyle w:val="Normal"/>
        <w:keepNext w:val="true"/>
        <w:numPr>
          <w:ilvl w:val="1"/>
          <w:numId w:val="17"/>
        </w:numPr>
        <w:suppressAutoHyphens w:val="true"/>
        <w:spacing w:before="120" w:after="60"/>
        <w:outlineLvl w:val="3"/>
        <w:rPr>
          <w:rFonts w:eastAsia="Calibri"/>
          <w:b/>
          <w:bCs/>
          <w:color w:val="00000A"/>
          <w:sz w:val="24"/>
          <w:szCs w:val="24"/>
          <w:lang w:val="x-none" w:eastAsia="x-none"/>
        </w:rPr>
      </w:pPr>
      <w:bookmarkStart w:id="2" w:name="_Toc171341911"/>
      <w:bookmarkStart w:id="3" w:name="_Toc130454088"/>
      <w:bookmarkStart w:id="4" w:name="_Toc46743505"/>
      <w:bookmarkEnd w:id="4"/>
      <w:r>
        <w:rPr>
          <w:rFonts w:eastAsia="Calibri"/>
          <w:b/>
          <w:bCs/>
          <w:color w:val="00000A"/>
          <w:sz w:val="24"/>
          <w:szCs w:val="24"/>
          <w:lang w:val="x-none" w:eastAsia="x-none"/>
        </w:rPr>
        <w:t>Обозначения и сокращения</w:t>
      </w:r>
      <w:bookmarkEnd w:id="2"/>
      <w:bookmarkEnd w:id="3"/>
    </w:p>
    <w:p>
      <w:pPr>
        <w:pStyle w:val="Normal"/>
        <w:suppressAutoHyphens w:val="true"/>
        <w:rPr>
          <w:bCs/>
          <w:i/>
          <w:i/>
          <w:color w:val="00000A"/>
          <w:sz w:val="24"/>
          <w:szCs w:val="24"/>
          <w:shd w:fill="FFFF99" w:val="clear"/>
        </w:rPr>
      </w:pPr>
      <w:r>
        <w:rPr>
          <w:bCs/>
          <w:i/>
          <w:color w:val="00000A"/>
          <w:sz w:val="24"/>
          <w:szCs w:val="24"/>
          <w:shd w:fill="FFFF99" w:val="clear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jc w:val="both"/>
              <w:rPr>
                <w:bCs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i/>
                <w:color w:val="00000A"/>
                <w:shd w:fill="FFFFFF" w:val="clear"/>
                <w:lang w:val="en-US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jc w:val="both"/>
              <w:rPr>
                <w:bCs/>
                <w:iCs/>
                <w:color w:val="00000A"/>
                <w:sz w:val="24"/>
                <w:szCs w:val="24"/>
              </w:rPr>
            </w:pPr>
            <w:r>
              <w:rPr>
                <w:bCs/>
                <w:iCs/>
                <w:color w:val="00000A"/>
                <w:sz w:val="24"/>
                <w:szCs w:val="24"/>
                <w:lang w:val="en-US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jc w:val="both"/>
              <w:rPr>
                <w:i/>
                <w:i/>
                <w:color w:val="00000A"/>
                <w:shd w:fill="FFFFFF" w:val="clear"/>
                <w:lang w:val="en-US"/>
              </w:rPr>
            </w:pPr>
            <w:r>
              <w:rPr>
                <w:i/>
                <w:color w:val="00000A"/>
                <w:shd w:fill="FFFFFF" w:val="clear"/>
                <w:lang w:val="en-US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jc w:val="both"/>
              <w:rPr>
                <w:bCs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bCs/>
                <w:iCs/>
                <w:color w:val="00000A"/>
                <w:sz w:val="24"/>
                <w:szCs w:val="24"/>
                <w:lang w:val="en-US"/>
              </w:rPr>
              <w:t>Проект производства работ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6"/>
          <w:szCs w:val="26"/>
        </w:rPr>
      </w:pPr>
      <w:r>
        <w:rPr>
          <w:rStyle w:val="Style8"/>
          <w:b w:val="false"/>
          <w:bCs/>
          <w:sz w:val="26"/>
          <w:szCs w:val="26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rPr>
          <w:i/>
          <w:i/>
          <w:sz w:val="26"/>
          <w:szCs w:val="26"/>
          <w:shd w:fill="FFFF99" w:val="clear"/>
        </w:rPr>
      </w:pPr>
      <w:r>
        <w:rPr>
          <w:i/>
          <w:sz w:val="26"/>
          <w:szCs w:val="26"/>
          <w:shd w:fill="FFFF99" w:val="clear"/>
        </w:rPr>
      </w:r>
      <w:r>
        <w:br w:type="page"/>
      </w:r>
    </w:p>
    <w:p>
      <w:pPr>
        <w:pStyle w:val="Heading4"/>
        <w:numPr>
          <w:ilvl w:val="1"/>
          <w:numId w:val="17"/>
        </w:numPr>
        <w:rPr/>
      </w:pPr>
      <w:bookmarkStart w:id="5" w:name="_Toc171341912"/>
      <w:r>
        <w:rPr/>
        <w:t>Наименование закупаемой продукции</w:t>
      </w:r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Cs/>
        </w:rPr>
      </w:pPr>
      <w:r>
        <w:rPr>
          <w:iCs/>
        </w:rPr>
        <w:t>«</w:t>
      </w:r>
      <w:r>
        <w:rPr>
          <w:rFonts w:eastAsia="Calibri"/>
          <w:sz w:val="26"/>
          <w:szCs w:val="26"/>
        </w:rPr>
        <w:t xml:space="preserve">ОКПД2 82.99. </w:t>
      </w:r>
      <w:r>
        <w:rPr>
          <w:iCs/>
          <w:sz w:val="24"/>
          <w:szCs w:val="24"/>
        </w:rPr>
        <w:t>Оказание услуг по оклейке бронированной пленки на окнах здания ГЭС Филиала ПАО «РусГидро» –«Жигулевская ГЭС»».</w:t>
      </w:r>
    </w:p>
    <w:p>
      <w:pPr>
        <w:pStyle w:val="Heading4"/>
        <w:numPr>
          <w:ilvl w:val="1"/>
          <w:numId w:val="17"/>
        </w:numPr>
        <w:rPr>
          <w:sz w:val="28"/>
        </w:rPr>
      </w:pPr>
      <w:bookmarkStart w:id="6" w:name="_Toc171341913"/>
      <w:r>
        <w:rPr/>
        <w:t xml:space="preserve">Цель </w:t>
      </w:r>
      <w:r>
        <w:rPr>
          <w:lang w:val="en-US"/>
        </w:rPr>
        <w:t>оказания услуг</w:t>
      </w:r>
      <w:bookmarkEnd w:id="6"/>
      <w:r>
        <w:rPr>
          <w:sz w:val="28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/>
        <w:t>«</w:t>
      </w:r>
      <w:r>
        <w:rPr>
          <w:sz w:val="24"/>
          <w:szCs w:val="24"/>
        </w:rPr>
        <w:t>Целью оказания услуг является повышение взрывобезопасности и механической прочности стекла окон</w:t>
      </w:r>
      <w:r>
        <w:rPr/>
        <w:t xml:space="preserve"> </w:t>
      </w:r>
      <w:r>
        <w:rPr>
          <w:sz w:val="24"/>
          <w:szCs w:val="24"/>
        </w:rPr>
        <w:t>здания ГЭС Филиала ПАО «РусГидро» – «Жигулевская ГЭС»</w:t>
      </w:r>
      <w:r>
        <w:rPr/>
        <w:t>.</w:t>
      </w:r>
    </w:p>
    <w:p>
      <w:pPr>
        <w:pStyle w:val="Heading4"/>
        <w:numPr>
          <w:ilvl w:val="1"/>
          <w:numId w:val="17"/>
        </w:numPr>
        <w:rPr>
          <w:rStyle w:val="Style8"/>
          <w:b/>
          <w:lang w:val="ru-RU"/>
        </w:rPr>
      </w:pPr>
      <w:bookmarkStart w:id="7" w:name="_Toc171341914"/>
      <w:bookmarkStart w:id="8" w:name="_Hlk48661047"/>
      <w:bookmarkEnd w:id="8"/>
      <w:r>
        <w:rPr/>
        <w:t>Существующее положение</w:t>
      </w:r>
      <w:bookmarkEnd w:id="7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Жигулёвская ГЭС расположена по адресу: Российская Федерация, 445350, Самарская область, город Жигулевск, Московское шоссе, дом 2. В рамках исполнения Федерального закона от 21 июля 1997 г. N 117-ФЗ "О безопасности гидротехнических сооружений" и в целях исполнения приказа ПАО «РусГидро» от 30.06.2026 №474 «О пассивной защите важнейших объектов Группы РусГидро» в произведён расчёт потребности бронеплёнки, для оклейки её на окна здания ГЭС для поддержания их в нормативном эксплуатационном состоянии. Для обеспечения безопасности Филиала ПАО «РусГидро» – «Жигулевская ГЭС» требуется оказать услуги по оклейке </w:t>
      </w:r>
      <w:r>
        <w:rPr>
          <w:iCs/>
          <w:sz w:val="24"/>
          <w:szCs w:val="24"/>
        </w:rPr>
        <w:t>бронированной пленкой</w:t>
      </w:r>
      <w:r>
        <w:rPr/>
        <w:t xml:space="preserve"> </w:t>
      </w:r>
      <w:r>
        <w:rPr>
          <w:iCs/>
          <w:sz w:val="24"/>
          <w:szCs w:val="24"/>
        </w:rPr>
        <w:t>внутренней поверхности стеклянных покрытий окон вышеуказанного здания</w:t>
      </w:r>
      <w:r>
        <w:rPr>
          <w:sz w:val="24"/>
          <w:szCs w:val="24"/>
        </w:rPr>
        <w:t xml:space="preserve">. Конструкция окон состоит из алюминиевого каркаса разделенные импостами на отдельные ячейки. Средний размер ячейки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1300х800мм </w:t>
      </w:r>
      <w:r>
        <w:rPr>
          <w:sz w:val="24"/>
          <w:szCs w:val="24"/>
        </w:rPr>
        <w:t>до 1210х1 720мм</w:t>
      </w:r>
      <w:r>
        <w:rPr>
          <w:sz w:val="24"/>
          <w:szCs w:val="24"/>
        </w:rPr>
        <w:t xml:space="preserve">.Окна размещены двумя ярусами. Количество окон нижнего яруса 36 шт, размером 21 000х6 500 мм. Количество окон верхнего яруса 40 шт, размером 6 300 х 6 500 мм. </w:t>
      </w:r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/>
      </w:pPr>
      <w:bookmarkStart w:id="9" w:name="_Toc171341915"/>
      <w:bookmarkStart w:id="10" w:name="_Hlk48661047_Копия_1"/>
      <w:bookmarkEnd w:id="10"/>
      <w:r>
        <w:rPr/>
        <w:t>Таблица 1. Перечень объектов заказчика</w:t>
      </w:r>
      <w:bookmarkEnd w:id="9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297"/>
        <w:gridCol w:w="2410"/>
        <w:gridCol w:w="2410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left="202" w:hanging="0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 xml:space="preserve">Здание </w:t>
            </w:r>
            <w:r>
              <w:rPr>
                <w:iCs/>
                <w:sz w:val="22"/>
                <w:szCs w:val="22"/>
                <w:lang w:val="en-US"/>
              </w:rPr>
              <w:t>ГЭС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4"/>
                <w:szCs w:val="24"/>
              </w:rPr>
              <w:t>Филиал ПАО «РусГидро» – «Жигулевская ГЭС», Российская Федерация, Самарская область, г. Жигулевск, Московское шоссе, дом 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 xml:space="preserve">Здание ГЭС         </w:t>
            </w:r>
            <w:r>
              <w:rPr>
                <w:sz w:val="24"/>
                <w:szCs w:val="24"/>
              </w:rPr>
              <w:t>(инв. №10001)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</w:tbl>
    <w:p>
      <w:pPr>
        <w:pStyle w:val="Heading4"/>
        <w:numPr>
          <w:ilvl w:val="1"/>
          <w:numId w:val="17"/>
        </w:numPr>
        <w:rPr/>
      </w:pPr>
      <w:bookmarkStart w:id="11" w:name="_Toc171341916"/>
      <w:bookmarkStart w:id="12" w:name="_Toc51955735"/>
      <w:bookmarkStart w:id="13" w:name="_Toc51955688"/>
      <w:bookmarkStart w:id="14" w:name="_Toc51955799"/>
      <w:bookmarkStart w:id="15" w:name="_Toc51955848"/>
      <w:bookmarkStart w:id="16" w:name="_Toc51921824"/>
      <w:bookmarkStart w:id="17" w:name="_Toc51955687"/>
      <w:bookmarkStart w:id="18" w:name="_Toc51955736"/>
      <w:bookmarkStart w:id="19" w:name="_Toc51955800"/>
      <w:bookmarkStart w:id="20" w:name="_Toc51955849"/>
      <w:bookmarkStart w:id="21" w:name="_Toc51921825"/>
      <w:bookmarkStart w:id="22" w:name="_Toc51921826"/>
      <w:bookmarkStart w:id="23" w:name="_Toc51955686"/>
      <w:bookmarkStart w:id="24" w:name="_Toc51921823"/>
      <w:bookmarkStart w:id="25" w:name="_Toc51955847"/>
      <w:bookmarkStart w:id="26" w:name="_Toc51955798"/>
      <w:bookmarkStart w:id="27" w:name="_Toc51955734"/>
      <w:bookmarkStart w:id="28" w:name="_Toc51955685"/>
      <w:bookmarkStart w:id="29" w:name="_Toc51921822"/>
      <w:bookmarkStart w:id="30" w:name="_Toc51955846"/>
      <w:bookmarkStart w:id="31" w:name="_Toc51955797"/>
      <w:bookmarkStart w:id="32" w:name="_Toc51955733"/>
      <w:bookmarkStart w:id="33" w:name="_Toc51955684"/>
      <w:bookmarkStart w:id="34" w:name="_Toc51921821"/>
      <w:bookmarkStart w:id="35" w:name="_Toc51955801"/>
      <w:bookmarkStart w:id="36" w:name="_Toc51955854"/>
      <w:bookmarkStart w:id="37" w:name="_Toc51955805"/>
      <w:bookmarkStart w:id="38" w:name="_Toc51955741"/>
      <w:bookmarkStart w:id="39" w:name="_Toc51955692"/>
      <w:bookmarkStart w:id="40" w:name="_Toc51921829"/>
      <w:bookmarkStart w:id="41" w:name="_Toc51955853"/>
      <w:bookmarkStart w:id="42" w:name="_Toc51955804"/>
      <w:bookmarkStart w:id="43" w:name="_Toc51955740"/>
      <w:bookmarkStart w:id="44" w:name="_Toc51955691"/>
      <w:bookmarkStart w:id="45" w:name="_Toc51921828"/>
      <w:bookmarkStart w:id="46" w:name="_Toc51955852"/>
      <w:bookmarkStart w:id="47" w:name="_Toc51955803"/>
      <w:bookmarkStart w:id="48" w:name="_Toc51955739"/>
      <w:bookmarkStart w:id="49" w:name="_Toc51955690"/>
      <w:bookmarkStart w:id="50" w:name="_Toc51921827"/>
      <w:bookmarkStart w:id="51" w:name="_Toc51955851"/>
      <w:bookmarkStart w:id="52" w:name="_Toc51955802"/>
      <w:bookmarkStart w:id="53" w:name="_Toc51955738"/>
      <w:bookmarkStart w:id="54" w:name="_Toc51955689"/>
      <w:bookmarkStart w:id="55" w:name="_Toc51955850"/>
      <w:bookmarkStart w:id="56" w:name="_Toc51955737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/>
        <w:t xml:space="preserve">Информация в отношении исполнения договора, </w:t>
      </w:r>
      <w:bookmarkStart w:id="57" w:name="_Hlk46492347"/>
      <w:r>
        <w:rPr/>
        <w:t xml:space="preserve">которая должна быть учтена при подготовке заявки </w:t>
      </w:r>
      <w:bookmarkEnd w:id="57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11"/>
      <w:r>
        <w:rPr>
          <w:lang w:val="ru-RU"/>
        </w:rPr>
        <w:t xml:space="preserve"> </w:t>
      </w:r>
    </w:p>
    <w:p>
      <w:pPr>
        <w:pStyle w:val="ListParagraph"/>
        <w:widowControl w:val="false"/>
        <w:numPr>
          <w:ilvl w:val="2"/>
          <w:numId w:val="17"/>
        </w:numPr>
        <w:tabs>
          <w:tab w:val="clear" w:pos="708"/>
          <w:tab w:val="left" w:pos="426" w:leader="none"/>
        </w:tabs>
        <w:spacing w:before="0" w:after="120"/>
        <w:ind w:left="432" w:hanging="432"/>
        <w:contextualSpacing/>
        <w:jc w:val="both"/>
        <w:rPr>
          <w:lang w:val="x-none" w:eastAsia="zh-CN"/>
        </w:rPr>
      </w:pPr>
      <w:r>
        <w:rPr>
          <w:lang w:val="x-none" w:eastAsia="zh-CN"/>
        </w:rPr>
        <w:t xml:space="preserve">Заказчик назначает представителя для оперативного рассмотрения и решения технических и организационных вопросов, связанных с </w:t>
      </w:r>
      <w:r>
        <w:rPr>
          <w:lang w:eastAsia="zh-CN"/>
        </w:rPr>
        <w:t>оказанием услуг</w:t>
      </w:r>
      <w:r>
        <w:rPr/>
        <w:t xml:space="preserve"> </w:t>
      </w:r>
      <w:r>
        <w:rPr>
          <w:lang w:val="x-none" w:eastAsia="zh-CN"/>
        </w:rPr>
        <w:t xml:space="preserve">по </w:t>
      </w:r>
      <w:r>
        <w:rPr>
          <w:lang w:eastAsia="zh-CN"/>
        </w:rPr>
        <w:t>оклейке бронированной пленки на окнах здания ГЭС Филиала ПАО «РусГидро» – «Жигулевская ГЭС»</w:t>
      </w:r>
      <w:r>
        <w:rPr>
          <w:lang w:val="x-none" w:eastAsia="zh-CN"/>
        </w:rPr>
        <w:t>.</w:t>
      </w:r>
    </w:p>
    <w:p>
      <w:pPr>
        <w:pStyle w:val="ListParagraph"/>
        <w:widowControl w:val="false"/>
        <w:numPr>
          <w:ilvl w:val="2"/>
          <w:numId w:val="17"/>
        </w:numPr>
        <w:tabs>
          <w:tab w:val="clear" w:pos="708"/>
          <w:tab w:val="left" w:pos="426" w:leader="none"/>
        </w:tabs>
        <w:spacing w:before="0" w:after="120"/>
        <w:ind w:left="432" w:hanging="432"/>
        <w:contextualSpacing/>
        <w:jc w:val="both"/>
        <w:rPr>
          <w:iCs/>
        </w:rPr>
      </w:pPr>
      <w:r>
        <w:rPr>
          <w:iCs/>
        </w:rPr>
        <w:t>Заказчик обеспечивает Исполнителю возможность подключения к имеющимся у Заказчика бытовым источникам электроснабжения, водоснабжения, канализации для целей оказания услуг по оклейке бронированной пленки на окнах здания ГЭС Филиала ПАО «РусГидро» –«Жигулевская ГЭС».</w:t>
      </w:r>
    </w:p>
    <w:p>
      <w:pPr>
        <w:pStyle w:val="ListParagraph"/>
        <w:widowControl w:val="false"/>
        <w:numPr>
          <w:ilvl w:val="2"/>
          <w:numId w:val="17"/>
        </w:numPr>
        <w:tabs>
          <w:tab w:val="clear" w:pos="708"/>
          <w:tab w:val="left" w:pos="426" w:leader="none"/>
        </w:tabs>
        <w:spacing w:before="0" w:after="120"/>
        <w:contextualSpacing/>
        <w:jc w:val="both"/>
        <w:rPr>
          <w:iCs/>
        </w:rPr>
      </w:pPr>
      <w:r>
        <w:rPr>
          <w:iCs/>
        </w:rPr>
        <w:t>Ознакомление Исполнителя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внутриобъектового режимов Заказчика.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before="0" w:after="120"/>
        <w:ind w:left="792" w:hanging="504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>Услуги предоставляемые Заказчиком без дополнительной платы со стороны Исполнителя: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08"/>
          <w:tab w:val="left" w:pos="426" w:leader="none"/>
        </w:tabs>
        <w:spacing w:before="0" w:after="120"/>
        <w:ind w:left="792" w:hanging="504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 xml:space="preserve">Электроэнергия; 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08"/>
          <w:tab w:val="left" w:pos="426" w:leader="none"/>
        </w:tabs>
        <w:spacing w:before="0" w:after="120"/>
        <w:ind w:left="792" w:hanging="504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>Техническое водоснабжение;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08"/>
          <w:tab w:val="left" w:pos="426" w:leader="none"/>
        </w:tabs>
        <w:spacing w:before="0" w:after="120"/>
        <w:ind w:left="792" w:hanging="504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>Содержание пожарной и сторожевой охраны;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08"/>
          <w:tab w:val="left" w:pos="426" w:leader="none"/>
        </w:tabs>
        <w:spacing w:before="0" w:after="120"/>
        <w:ind w:left="792" w:hanging="504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>Представление помещений: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before="0" w:after="120"/>
        <w:ind w:left="792" w:hanging="504"/>
        <w:contextualSpacing/>
        <w:jc w:val="both"/>
        <w:rPr>
          <w:rStyle w:val="Style8"/>
          <w:rFonts w:eastAsia="Times New Roman"/>
          <w:b w:val="false"/>
          <w:i w:val="false"/>
          <w:i w:val="false"/>
          <w:iCs/>
          <w:shd w:fill="auto" w:val="clear"/>
        </w:rPr>
      </w:pPr>
      <w:bookmarkStart w:id="58" w:name="_Hlk48209615"/>
      <w:r>
        <w:rPr>
          <w:rFonts w:eastAsia="Times New Roman"/>
          <w:iCs/>
        </w:rPr>
        <w:t>- складирование / хранение материально-технических ресурсов, оборудования исполнителя.</w:t>
      </w:r>
      <w:bookmarkEnd w:id="58"/>
    </w:p>
    <w:p>
      <w:pPr>
        <w:pStyle w:val="Heading4"/>
        <w:numPr>
          <w:ilvl w:val="1"/>
          <w:numId w:val="17"/>
        </w:numPr>
        <w:tabs>
          <w:tab w:val="clear" w:pos="708"/>
          <w:tab w:val="left" w:pos="426" w:leader="none"/>
        </w:tabs>
        <w:ind w:left="432" w:hanging="504"/>
        <w:rPr/>
      </w:pPr>
      <w:bookmarkStart w:id="59" w:name="_Ref53995502"/>
      <w:bookmarkStart w:id="60" w:name="_Toc171341917"/>
      <w:r>
        <w:rPr/>
        <w:t>Иные требования и сведения общего характера</w:t>
      </w:r>
      <w:bookmarkEnd w:id="59"/>
      <w:bookmarkEnd w:id="60"/>
      <w:r>
        <w:rPr>
          <w:lang w:val="ru-RU"/>
        </w:rPr>
        <w:t xml:space="preserve"> </w:t>
      </w:r>
    </w:p>
    <w:p>
      <w:pPr>
        <w:pStyle w:val="Heading4"/>
        <w:numPr>
          <w:ilvl w:val="2"/>
          <w:numId w:val="17"/>
        </w:numPr>
        <w:tabs>
          <w:tab w:val="clear" w:pos="708"/>
          <w:tab w:val="left" w:pos="426" w:leader="none"/>
        </w:tabs>
        <w:rPr/>
      </w:pPr>
      <w:bookmarkStart w:id="61" w:name="_Toc171341918"/>
      <w:bookmarkStart w:id="62" w:name="_Toc171340780"/>
      <w:r>
        <w:rPr>
          <w:b w:val="false"/>
        </w:rPr>
        <w:t xml:space="preserve">Допуск персонала </w:t>
      </w:r>
      <w:r>
        <w:rPr>
          <w:b w:val="false"/>
          <w:iCs/>
          <w:lang w:val="ru-RU"/>
        </w:rPr>
        <w:t>Исполнителя</w:t>
      </w:r>
      <w:r>
        <w:rPr>
          <w:b w:val="false"/>
        </w:rPr>
        <w:t xml:space="preserve"> для </w:t>
      </w:r>
      <w:r>
        <w:rPr>
          <w:b w:val="false"/>
          <w:lang w:val="ru-RU"/>
        </w:rPr>
        <w:t>оказания услуг по оклейке бронированной пленки на окнах здания ГЭС Филиала ПАО «РусГидро» – «Жигулевская ГЭС»</w:t>
      </w:r>
      <w:r>
        <w:rPr>
          <w:b w:val="false"/>
        </w:rPr>
        <w:t xml:space="preserve">, в соответствии с Приказом №82 04.02.2022 «Методика допуска персонала подрядных организаций к выполнению работ на объектах Общества» (Приложение № </w:t>
      </w:r>
      <w:r>
        <w:rPr>
          <w:b w:val="false"/>
          <w:lang w:val="ru-RU"/>
        </w:rPr>
        <w:t>1</w:t>
      </w:r>
      <w:r>
        <w:rPr>
          <w:b w:val="false"/>
        </w:rPr>
        <w:t xml:space="preserve"> к ТТ) и Приказом № ЖГЭС/82-146 от 13.04.2023 «Положение по пропускному и внутриобъектовому режимам Филиала ПАО «РусГидро» - «Жигулёвская ГЭС» (Приложение № </w:t>
      </w:r>
      <w:r>
        <w:rPr>
          <w:b w:val="false"/>
          <w:lang w:val="ru-RU"/>
        </w:rPr>
        <w:t>2</w:t>
      </w:r>
      <w:r>
        <w:rPr>
          <w:b w:val="false"/>
        </w:rPr>
        <w:t xml:space="preserve"> к ТТ).</w:t>
      </w:r>
      <w:bookmarkEnd w:id="61"/>
      <w:bookmarkEnd w:id="62"/>
    </w:p>
    <w:p>
      <w:pPr>
        <w:pStyle w:val="Heading4"/>
        <w:numPr>
          <w:ilvl w:val="2"/>
          <w:numId w:val="17"/>
        </w:numPr>
        <w:tabs>
          <w:tab w:val="clear" w:pos="708"/>
          <w:tab w:val="left" w:pos="426" w:leader="none"/>
        </w:tabs>
        <w:rPr/>
      </w:pPr>
      <w:bookmarkStart w:id="63" w:name="_Toc171341919"/>
      <w:bookmarkStart w:id="64" w:name="_Toc171340781"/>
      <w:r>
        <w:rPr>
          <w:b w:val="false"/>
        </w:rPr>
        <w:t xml:space="preserve">Подготовку мест </w:t>
      </w:r>
      <w:r>
        <w:rPr>
          <w:b w:val="false"/>
          <w:lang w:val="ru-RU"/>
        </w:rPr>
        <w:t>для оклейки</w:t>
      </w:r>
      <w:r>
        <w:rPr>
          <w:b w:val="false"/>
        </w:rPr>
        <w:t xml:space="preserve"> и допуск персонала </w:t>
      </w:r>
      <w:r>
        <w:rPr>
          <w:b w:val="false"/>
          <w:lang w:val="ru-RU"/>
        </w:rPr>
        <w:t>Исполнителя</w:t>
      </w:r>
      <w:r>
        <w:rPr>
          <w:b w:val="false"/>
        </w:rPr>
        <w:t xml:space="preserve"> к </w:t>
      </w:r>
      <w:r>
        <w:rPr>
          <w:b w:val="false"/>
          <w:lang w:val="ru-RU"/>
        </w:rPr>
        <w:t>оказанию услуг</w:t>
      </w:r>
      <w:r>
        <w:rPr>
          <w:b w:val="false"/>
        </w:rPr>
        <w:t xml:space="preserve"> выполняет персонал Заказчика.</w:t>
      </w:r>
      <w:bookmarkEnd w:id="63"/>
      <w:bookmarkEnd w:id="64"/>
    </w:p>
    <w:p>
      <w:pPr>
        <w:pStyle w:val="Heading4"/>
        <w:numPr>
          <w:ilvl w:val="2"/>
          <w:numId w:val="17"/>
        </w:numPr>
        <w:tabs>
          <w:tab w:val="clear" w:pos="708"/>
          <w:tab w:val="left" w:pos="426" w:leader="none"/>
        </w:tabs>
        <w:rPr/>
      </w:pPr>
      <w:bookmarkStart w:id="65" w:name="_Toc171341920"/>
      <w:bookmarkStart w:id="66" w:name="_Toc171340782"/>
      <w:r>
        <w:rPr>
          <w:rStyle w:val="Style8"/>
          <w:b w:val="false"/>
          <w:bCs w:val="false"/>
          <w:i w:val="false"/>
          <w:shd w:fill="auto" w:val="clear"/>
        </w:rPr>
        <w:t xml:space="preserve">Персонал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Исполнителя</w:t>
      </w:r>
      <w:r>
        <w:rPr>
          <w:rStyle w:val="Style8"/>
          <w:b w:val="false"/>
          <w:bCs w:val="false"/>
          <w:i w:val="false"/>
          <w:shd w:fill="auto" w:val="clear"/>
        </w:rPr>
        <w:t xml:space="preserve"> обеспечивает поддержание чистоты на месте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оказания услуг и</w:t>
      </w:r>
      <w:r>
        <w:rPr>
          <w:rStyle w:val="Style8"/>
          <w:b w:val="false"/>
          <w:bCs w:val="false"/>
          <w:i w:val="false"/>
          <w:shd w:fill="auto" w:val="clear"/>
        </w:rPr>
        <w:t xml:space="preserve"> своевременную уборку указанной Заказчиком площадк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и</w:t>
      </w:r>
      <w:r>
        <w:rPr>
          <w:rStyle w:val="Style8"/>
          <w:b w:val="false"/>
          <w:bCs w:val="false"/>
          <w:i w:val="false"/>
          <w:shd w:fill="auto" w:val="clear"/>
        </w:rPr>
        <w:t xml:space="preserve">.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Исполнитель</w:t>
      </w:r>
      <w:r>
        <w:rPr>
          <w:rStyle w:val="Style8"/>
          <w:b w:val="false"/>
          <w:bCs w:val="false"/>
          <w:i w:val="false"/>
          <w:shd w:fill="auto" w:val="clear"/>
        </w:rPr>
        <w:t xml:space="preserve"> при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 xml:space="preserve">оказании услуг </w:t>
      </w:r>
      <w:r>
        <w:rPr>
          <w:rStyle w:val="Style8"/>
          <w:b w:val="false"/>
          <w:bCs w:val="false"/>
          <w:i w:val="false"/>
          <w:shd w:fill="auto" w:val="clear"/>
        </w:rPr>
        <w:t>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</w:r>
      <w:bookmarkEnd w:id="65"/>
      <w:bookmarkEnd w:id="66"/>
    </w:p>
    <w:p>
      <w:pPr>
        <w:pStyle w:val="Heading4"/>
        <w:numPr>
          <w:ilvl w:val="2"/>
          <w:numId w:val="17"/>
        </w:numPr>
        <w:tabs>
          <w:tab w:val="clear" w:pos="708"/>
          <w:tab w:val="left" w:pos="426" w:leader="none"/>
        </w:tabs>
        <w:rPr/>
      </w:pPr>
      <w:bookmarkStart w:id="67" w:name="_Toc171341921"/>
      <w:bookmarkStart w:id="68" w:name="_Toc171340783"/>
      <w:r>
        <w:rPr>
          <w:rStyle w:val="Style8"/>
          <w:b w:val="false"/>
          <w:bCs w:val="false"/>
          <w:i w:val="false"/>
          <w:shd w:fill="auto" w:val="clear"/>
        </w:rPr>
        <w:t xml:space="preserve">По завершении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оказания услуг</w:t>
      </w:r>
      <w:r>
        <w:rPr>
          <w:rStyle w:val="Style8"/>
          <w:b w:val="false"/>
          <w:bCs w:val="false"/>
          <w:i w:val="false"/>
          <w:shd w:fill="auto" w:val="clear"/>
        </w:rPr>
        <w:t xml:space="preserve"> пред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оставить результат оказания услуг</w:t>
      </w:r>
      <w:r>
        <w:rPr>
          <w:rStyle w:val="Style8"/>
          <w:b w:val="false"/>
          <w:bCs w:val="false"/>
          <w:i w:val="false"/>
          <w:shd w:fill="auto" w:val="clear"/>
        </w:rPr>
        <w:t xml:space="preserve"> комиссии Заказчика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 xml:space="preserve"> с </w:t>
      </w:r>
      <w:r>
        <w:rPr>
          <w:rStyle w:val="Style8"/>
          <w:b w:val="false"/>
          <w:bCs w:val="false"/>
          <w:i w:val="false"/>
          <w:shd w:fill="auto" w:val="clear"/>
        </w:rPr>
        <w:t>оформление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м</w:t>
      </w:r>
      <w:r>
        <w:rPr>
          <w:rStyle w:val="Style8"/>
          <w:b w:val="false"/>
          <w:bCs w:val="false"/>
          <w:i w:val="false"/>
          <w:shd w:fill="auto" w:val="clear"/>
        </w:rPr>
        <w:t xml:space="preserve"> отчетной и/или исполнительной документации, включая паспорта и сертификаты на материалы, а также устранение всех дефектов и замечаний комиссии Заказчика, выявленных в результате приемки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результата оказания услуг</w:t>
      </w:r>
      <w:r>
        <w:rPr>
          <w:rStyle w:val="Style8"/>
          <w:b w:val="false"/>
          <w:bCs w:val="false"/>
          <w:i w:val="false"/>
          <w:shd w:fill="auto" w:val="clear"/>
        </w:rPr>
        <w:t>;</w:t>
      </w:r>
      <w:bookmarkEnd w:id="67"/>
      <w:bookmarkEnd w:id="68"/>
    </w:p>
    <w:p>
      <w:pPr>
        <w:pStyle w:val="Heading4"/>
        <w:numPr>
          <w:ilvl w:val="2"/>
          <w:numId w:val="17"/>
        </w:numPr>
        <w:tabs>
          <w:tab w:val="clear" w:pos="708"/>
          <w:tab w:val="left" w:pos="426" w:leader="none"/>
        </w:tabs>
        <w:rPr>
          <w:rStyle w:val="Style8"/>
          <w:b/>
          <w:i w:val="false"/>
          <w:i w:val="false"/>
          <w:shd w:fill="auto" w:val="clear"/>
        </w:rPr>
      </w:pPr>
      <w:bookmarkStart w:id="69" w:name="_Toc171341922"/>
      <w:bookmarkStart w:id="70" w:name="_Toc171340784"/>
      <w:r>
        <w:rPr>
          <w:rStyle w:val="Style8"/>
          <w:b w:val="false"/>
          <w:bCs w:val="false"/>
          <w:i w:val="false"/>
          <w:shd w:fill="auto" w:val="clear"/>
        </w:rPr>
        <w:t xml:space="preserve">Отходы, образующиеся в результате деятельности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Исполнителя</w:t>
      </w:r>
      <w:r>
        <w:rPr>
          <w:rStyle w:val="Style8"/>
          <w:b w:val="false"/>
          <w:bCs w:val="false"/>
          <w:i w:val="false"/>
          <w:shd w:fill="auto" w:val="clear"/>
        </w:rPr>
        <w:t xml:space="preserve">, не связанные с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оклейкой</w:t>
      </w:r>
      <w:r>
        <w:rPr>
          <w:rStyle w:val="Style8"/>
          <w:b w:val="false"/>
          <w:bCs w:val="false"/>
          <w:i w:val="false"/>
          <w:shd w:fill="auto" w:val="clear"/>
        </w:rPr>
        <w:t xml:space="preserve">, в том числе отходы, образующиеся в процессе административно-хозяйственной деятельности персонала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Исполнителя</w:t>
      </w:r>
      <w:r>
        <w:rPr>
          <w:rStyle w:val="Style8"/>
          <w:b w:val="false"/>
          <w:bCs w:val="false"/>
          <w:i w:val="false"/>
          <w:shd w:fill="auto" w:val="clear"/>
        </w:rPr>
        <w:t xml:space="preserve"> на территории Филиала, являются собственностью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Исполнителя</w:t>
      </w:r>
      <w:r>
        <w:rPr>
          <w:rStyle w:val="Style8"/>
          <w:b w:val="false"/>
          <w:bCs w:val="false"/>
          <w:i w:val="false"/>
          <w:shd w:fill="auto" w:val="clear"/>
        </w:rPr>
        <w:t xml:space="preserve">. Деятельность по обращению с такими отходами, а также связанная с этим ответственность, является обязанностью 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>Исполнителя</w:t>
      </w:r>
      <w:r>
        <w:rPr>
          <w:rStyle w:val="Style8"/>
          <w:b w:val="false"/>
          <w:bCs w:val="false"/>
          <w:i w:val="false"/>
          <w:shd w:fill="auto" w:val="clear"/>
        </w:rPr>
        <w:t>. Не допускается накопление отходов сверх объема, который вмещает место накопления отходов.</w:t>
      </w:r>
      <w:bookmarkEnd w:id="69"/>
      <w:bookmarkEnd w:id="70"/>
    </w:p>
    <w:p>
      <w:pPr>
        <w:pStyle w:val="Heading4"/>
        <w:numPr>
          <w:ilvl w:val="0"/>
          <w:numId w:val="0"/>
        </w:numPr>
        <w:ind w:left="504" w:hanging="0"/>
        <w:rPr>
          <w:b w:val="false"/>
          <w:bCs w:val="false"/>
          <w:i w:val="false"/>
          <w:i w:val="false"/>
          <w:shd w:fill="auto" w:val="clear"/>
        </w:rPr>
      </w:pPr>
      <w:r>
        <w:rPr>
          <w:b w:val="false"/>
          <w:bCs w:val="false"/>
          <w:i w:val="false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17"/>
        </w:numPr>
        <w:ind w:left="0" w:hanging="0"/>
        <w:jc w:val="center"/>
        <w:rPr>
          <w:caps/>
        </w:rPr>
      </w:pPr>
      <w:bookmarkStart w:id="71" w:name="_Toc171341923"/>
      <w:bookmarkStart w:id="72" w:name="_Toc51921656"/>
      <w:r>
        <w:rPr/>
        <w:t>Требования к продукции</w:t>
      </w:r>
      <w:bookmarkEnd w:id="71"/>
      <w:bookmarkEnd w:id="72"/>
    </w:p>
    <w:p>
      <w:pPr>
        <w:pStyle w:val="Heading4"/>
        <w:numPr>
          <w:ilvl w:val="1"/>
          <w:numId w:val="17"/>
        </w:numPr>
        <w:rPr>
          <w:lang w:val="ru-RU"/>
        </w:rPr>
      </w:pPr>
      <w:bookmarkStart w:id="73" w:name="_Toc17134192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73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17"/>
        </w:numPr>
        <w:rPr/>
      </w:pPr>
      <w:bookmarkStart w:id="74" w:name="_Toc171340787"/>
      <w:bookmarkStart w:id="75" w:name="_Toc171341925"/>
      <w:bookmarkStart w:id="76" w:name="_Toc51921657"/>
      <w:r>
        <w:rPr/>
        <w:t xml:space="preserve">Требования к </w:t>
      </w:r>
      <w:bookmarkEnd w:id="76"/>
      <w:r>
        <w:rPr/>
        <w:t>перечню и объему услуг</w:t>
      </w:r>
      <w:bookmarkEnd w:id="74"/>
      <w:bookmarkEnd w:id="75"/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>
          <w:lang w:val="ru-RU"/>
        </w:rPr>
      </w:pPr>
      <w:bookmarkStart w:id="77" w:name="_Toc171341926"/>
      <w:bookmarkStart w:id="78" w:name="_Toc51921658"/>
      <w:bookmarkStart w:id="79" w:name="_Toc35351358"/>
      <w:r>
        <w:rPr/>
        <w:t>Таблица</w:t>
      </w:r>
      <w:r>
        <w:rPr>
          <w:lang w:val="ru-RU"/>
        </w:rPr>
        <w:t> 2</w:t>
      </w:r>
      <w:r>
        <w:rPr/>
        <w:t xml:space="preserve">. </w:t>
      </w:r>
      <w:bookmarkEnd w:id="79"/>
      <w:r>
        <w:rPr>
          <w:lang w:val="ru-RU"/>
        </w:rPr>
        <w:t xml:space="preserve">Перечень и объем </w:t>
      </w:r>
      <w:bookmarkEnd w:id="78"/>
      <w:r>
        <w:rPr>
          <w:lang w:val="ru-RU"/>
        </w:rPr>
        <w:t>оказываемых услуг</w:t>
      </w:r>
      <w:bookmarkEnd w:id="77"/>
    </w:p>
    <w:tbl>
      <w:tblPr>
        <w:tblW w:w="96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8"/>
        <w:gridCol w:w="5843"/>
        <w:gridCol w:w="1701"/>
        <w:gridCol w:w="1415"/>
      </w:tblGrid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  <w:lang w:val="en-US"/>
              </w:rPr>
              <w:t>услуг</w:t>
            </w:r>
            <w:r>
              <w:rPr>
                <w:sz w:val="22"/>
                <w:szCs w:val="22"/>
              </w:rPr>
              <w:t xml:space="preserve">/ этапа </w:t>
            </w:r>
            <w:r>
              <w:rPr>
                <w:sz w:val="22"/>
                <w:szCs w:val="22"/>
                <w:lang w:val="en-US"/>
              </w:rPr>
              <w:t>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8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Оклейка бронированной пленки на окнах зданий Филиала ПАО «РусГидро» –«Жигулевская ГЭС»: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ind w:left="0" w:hanging="0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rPr>
                <w:b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Здание </w:t>
            </w:r>
            <w:r>
              <w:rPr>
                <w:iCs/>
                <w:sz w:val="24"/>
                <w:szCs w:val="24"/>
                <w:lang w:val="en-US"/>
              </w:rPr>
              <w:t>ГЭС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iCs/>
                <w:sz w:val="24"/>
                <w:szCs w:val="24"/>
                <w:vertAlign w:val="superscript"/>
              </w:rPr>
            </w:pPr>
            <w:r>
              <w:rPr>
                <w:iCs/>
                <w:sz w:val="24"/>
                <w:szCs w:val="24"/>
              </w:rPr>
              <w:t>м</w:t>
            </w:r>
            <w:r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4 329</w:t>
            </w:r>
          </w:p>
        </w:tc>
      </w:tr>
    </w:tbl>
    <w:p>
      <w:pPr>
        <w:pStyle w:val="Heading3"/>
        <w:numPr>
          <w:ilvl w:val="0"/>
          <w:numId w:val="0"/>
        </w:numPr>
        <w:ind w:left="709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17"/>
        </w:numPr>
        <w:ind w:left="709" w:hanging="709"/>
        <w:rPr>
          <w:lang w:val="ru-RU"/>
        </w:rPr>
      </w:pPr>
      <w:r>
        <w:rPr/>
        <w:t xml:space="preserve">Требования к срокам </w:t>
      </w:r>
      <w:r>
        <w:rPr>
          <w:lang w:val="ru-RU"/>
        </w:rPr>
        <w:t>оказания услуг</w:t>
      </w:r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>
          <w:lang w:val="ru-RU"/>
        </w:rPr>
      </w:pPr>
      <w:bookmarkStart w:id="80" w:name="_Toc171341928"/>
      <w:bookmarkStart w:id="81" w:name="_Toc51921660"/>
      <w:r>
        <w:rPr/>
        <w:t xml:space="preserve">Таблица 3. Требования по срокам </w:t>
      </w:r>
      <w:bookmarkEnd w:id="81"/>
      <w:r>
        <w:rPr>
          <w:lang w:val="ru-RU"/>
        </w:rPr>
        <w:t>оказания услуг</w:t>
      </w:r>
      <w:bookmarkEnd w:id="80"/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71"/>
        <w:gridCol w:w="2693"/>
        <w:gridCol w:w="2807"/>
        <w:gridCol w:w="2975"/>
      </w:tblGrid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  <w:lang w:val="en-US"/>
              </w:rPr>
              <w:t>услуг</w:t>
            </w:r>
            <w:r>
              <w:rPr>
                <w:sz w:val="22"/>
                <w:szCs w:val="22"/>
              </w:rPr>
              <w:t xml:space="preserve">/ этапа </w:t>
            </w:r>
            <w:r>
              <w:rPr>
                <w:sz w:val="22"/>
                <w:szCs w:val="22"/>
                <w:lang w:val="en-US"/>
              </w:rPr>
              <w:t>услуг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окончанию срока оказания услуг/ этапа услуг</w:t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8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Оклейка бронированной пленки на окнах зданий Филиала ПАО «РусГидро» –«Жигулевская ГЭС»:</w:t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ind w:left="360" w:hanging="0"/>
              <w:rPr>
                <w:iCs/>
              </w:rPr>
            </w:pPr>
            <w:r>
              <w:rPr>
                <w:iCs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Здание ГЭС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 30 дней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17"/>
        </w:numPr>
        <w:spacing w:before="240" w:after="60"/>
        <w:ind w:left="431" w:hanging="431"/>
        <w:rPr>
          <w:lang w:val="en-US"/>
        </w:rPr>
      </w:pPr>
      <w:bookmarkStart w:id="82" w:name="_Toc171341929"/>
      <w:bookmarkStart w:id="83" w:name="_GoBack"/>
      <w:bookmarkEnd w:id="83"/>
      <w:r>
        <w:rPr/>
        <w:t xml:space="preserve">Требования к качеству </w:t>
      </w:r>
      <w:r>
        <w:rPr>
          <w:lang w:val="en-US"/>
        </w:rPr>
        <w:t>услуг</w:t>
      </w:r>
      <w:bookmarkEnd w:id="82"/>
    </w:p>
    <w:p>
      <w:pPr>
        <w:pStyle w:val="Normal"/>
        <w:rPr>
          <w:lang w:val="en-US" w:eastAsia="x-none"/>
        </w:rPr>
      </w:pPr>
      <w:r>
        <w:rPr>
          <w:lang w:val="en-US" w:eastAsia="x-none"/>
        </w:rPr>
      </w:r>
    </w:p>
    <w:p>
      <w:pPr>
        <w:pStyle w:val="Style27"/>
        <w:numPr>
          <w:ilvl w:val="0"/>
          <w:numId w:val="0"/>
        </w:numPr>
        <w:spacing w:before="60" w:after="120"/>
        <w:ind w:left="0" w:hanging="0"/>
        <w:jc w:val="left"/>
        <w:outlineLvl w:val="0"/>
        <w:rPr/>
      </w:pPr>
      <w:bookmarkStart w:id="84" w:name="_Toc171341930"/>
      <w:bookmarkStart w:id="85" w:name="_Toc51921661"/>
      <w:r>
        <w:rPr/>
        <w:t xml:space="preserve">Таблица 4. Требования к качеству </w:t>
      </w:r>
      <w:bookmarkEnd w:id="85"/>
      <w:r>
        <w:rPr>
          <w:lang w:val="ru-RU"/>
        </w:rPr>
        <w:t>услуг</w:t>
      </w:r>
      <w:bookmarkEnd w:id="84"/>
      <w:r>
        <w:rPr/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услуг/этапа услуг (позиция №1 Таблицы 2): Оклейка бронированной пленки на окнах здания ГЭС Филиала ПАО «РусГидро» –«Жигулевская ГЭС»</w:t>
      </w:r>
      <w:r>
        <w:rPr>
          <w:rStyle w:val="Style8"/>
          <w:b w:val="false"/>
          <w:iCs/>
          <w:sz w:val="24"/>
          <w:szCs w:val="24"/>
        </w:rPr>
        <w:t xml:space="preserve"> </w:t>
      </w:r>
    </w:p>
    <w:tbl>
      <w:tblPr>
        <w:tblStyle w:val="af"/>
        <w:tblW w:w="148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0"/>
        <w:gridCol w:w="2803"/>
        <w:gridCol w:w="28"/>
        <w:gridCol w:w="4133"/>
        <w:gridCol w:w="27"/>
        <w:gridCol w:w="2222"/>
        <w:gridCol w:w="2557"/>
        <w:gridCol w:w="8"/>
        <w:gridCol w:w="2210"/>
        <w:gridCol w:w="6"/>
        <w:gridCol w:w="18"/>
      </w:tblGrid>
      <w:tr>
        <w:trPr/>
        <w:tc>
          <w:tcPr>
            <w:tcW w:w="88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3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16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78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3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6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34" w:hRule="atLeast"/>
        </w:trPr>
        <w:tc>
          <w:tcPr>
            <w:tcW w:w="8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1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слуг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слуг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466" w:hanging="360"/>
              <w:contextualSpacing/>
              <w:jc w:val="both"/>
              <w:rPr>
                <w:i/>
                <w:i/>
                <w:iCs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В объем оказания услуг входит закупка, доставка и оклейка бронированной пленки на окнах здания ГЭС Филиала ПАО «РусГидро» – «Жигулевская ГЭС». 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466" w:hanging="360"/>
              <w:contextualSpacing/>
              <w:jc w:val="both"/>
              <w:rPr>
                <w:i/>
                <w:i/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Работы выполняются в соответствии с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>ППР, разработанным        Подрядчиком и согласованным с Заказчиком до начала производства работ.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466" w:hanging="360"/>
              <w:contextualSpacing/>
              <w:jc w:val="both"/>
              <w:rPr>
                <w:i/>
                <w:i/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Участник должен иметь в наличии на правах собственности и/или аренды минимальное количество механизмов, оборудования, комплектов альпинистского снаряжения, средств подмащивания, необходимое для производства работ указанных в настоящих Технических требованиях.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060" w:hRule="atLeast"/>
        </w:trPr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83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оказании услуг норм и правил нормативно-технических документов</w:t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i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 соблюдать требования, установленные в соответствии с законодательством Российской Федерации, СП, СНиП, СанПиН, ГОСТ, ТУ и другими нормативными документами, утвержденными и рекомендованными к применению Росстроем, Минрегионом РФ, руководствоваться следующими национальными, отраслевыми нормативно-техническими документами (НТД):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u w:val="single"/>
                <w:lang w:val="ru-RU" w:eastAsia="ru-RU" w:bidi="ar-SA"/>
              </w:rPr>
              <w:t>Федеральные законодательные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Федеральный закон от 22.07.2008 № 123-ФЗ «Технический регламент о требованиях пожарной безопасности» (действующая редакция);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 Федеральный закон от 29.12.2004 N 190-ФЗ (действующая редакция) «Градостроительный кодекс Российской Федерации»;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Постановление Правительства РФ от 16 сентября 2020 г. N 1479 "Об утверждении Правил противопожарного режима в Российской Федерации" (с изменениями и дополнениями);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Услуги должны оказываться в соответствии с требованиями по энергосбережению и повышению энергетической эффективности объекта и соблюдать следующие нормативные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Федеральный закон № 261-ФЗ от 23 ноября 2009 года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Постановление Правительства РФ от 31 декабря 2009 года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Приказ Министерства промышленности и торговли РФ от 6 ноября 2018 года № 4404 «Об утверждении перечня категорий товаров и их характеристик в пределах установленных Правительством Российской Федерации видов товаров и их характеристик, на которые распространяется требование о наличии информации о классе энергетической эффективности товаров в технической документации, прилагаемой к этим товарам, в их маркировке, на их этикетках, и перечня исключений из категорий данных товаров и их характеристик»;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Приказ Министерства экономического развития РФ от 04 июня 2010 года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сооружений»;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Приказ Минэкономразвития РФ от 09 марта 2011 года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- Приказ Минтруда России от 16.11.2020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782н "Об утверждении Правил по охране труда при работе на высоте"                                                            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ind w:left="-80" w:hanging="709"/>
              <w:contextualSpacing/>
              <w:jc w:val="both"/>
              <w:rPr>
                <w:iCs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u w:val="single"/>
                <w:lang w:val="ru-RU" w:eastAsia="ru-RU" w:bidi="ar-SA"/>
              </w:rPr>
              <w:t xml:space="preserve">Отра  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ind w:left="-80" w:hanging="709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</w:t>
            </w:r>
          </w:p>
        </w:tc>
        <w:tc>
          <w:tcPr>
            <w:tcW w:w="22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1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организации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услуг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8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i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Допуск персонала Исполнителя к оказанию услуг на филиале ПАО «РусГидро» - «Жигулевская ГЭС» осуществляется в соответствии с: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1. Методикой допуска персонала подрядных организаций к выполнению работ на объектах Общества (Приложение №1 к ТТ)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2. Положением по пропускному и внутриобъектовому режимам Филиала ПАО «РусГидро» - «Жигулёвская ГЭС»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(Приложение №2 к ТТ)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/>
                <w:i/>
                <w:i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Предоставляется возможность ознакомления с объектами оказания услуг. Дата и время посещения станции оговариваются дополнительно.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8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Материалы, необходимые для оказания услуг, приобретаются Исполнителем самостоятельно для оклейки необходимой площади окон, указанной в таблице №2, настоящих Технических требований. </w:t>
              <w:br/>
              <w:t>Все поставляемые и применяемые материалы должны быть новыми и не использованными ранее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оказания услуг и материалов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ind w:left="314" w:hanging="283"/>
              <w:contextualSpacing/>
              <w:jc w:val="both"/>
              <w:rPr>
                <w:i/>
                <w:i/>
                <w:iCs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наличие сертификатов соответствия и санитарно-эпидемиологического заключения на используемые материалы.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8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запасных частей и материалов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 должен обеспечить входной контроль поступающих материалов и запасных частей, включающий в себя проверку: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60"/>
              <w:ind w:left="170" w:hanging="170"/>
              <w:contextualSpacing w:val="false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наличия соответствующих сертификатов в соответствии с требованиями постановления Правительства Российской Федерации от 01.12.2009 N 982 (ред. от 21.02.2018) «Об утверждении единого перечня продукции, подлежащей обязательной сертификации»;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60"/>
              <w:ind w:left="170" w:hanging="170"/>
              <w:contextualSpacing w:val="false"/>
              <w:jc w:val="lef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91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rStyle w:val="Style8"/>
                <w:bCs/>
                <w:i w:val="false"/>
                <w:i w:val="false"/>
                <w:sz w:val="24"/>
                <w:szCs w:val="24"/>
                <w:shd w:fill="auto" w:val="clear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Требования к персоналу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Исполнителя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Style w:val="Style8"/>
                <w:rFonts w:eastAsia="Calibri"/>
                <w:b w:val="false"/>
                <w:iCs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Style w:val="Style8"/>
                <w:rFonts w:eastAsia="Calibri"/>
                <w:b w:val="false"/>
                <w:iCs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Style w:val="Style8"/>
                <w:rFonts w:eastAsia="Calibri"/>
                <w:b w:val="false"/>
                <w:iCs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8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До начала проведения работ в рамках исполнения договора после его заключения Исполнитель предоставляет список персонала с указанием сведений о квалификации персонала, разряде и группе по электробезопасности, группе по безопасности работ на высоте, с приложением копий удостоверений.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(Приложение к ТТ)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оказания услуг и охране труда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8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безопасности оказываемых услуг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Исполнитель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должен: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60"/>
              <w:ind w:left="0" w:hanging="3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1.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об охране окружающей среды, промышленной и пожарной безопасности, охране труда, энергоэффективности, а также все прочие законы и нормативные акты, относящиеся к сфере деятельности;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709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2. Исполнитель обязан направлять на объекты заказчика работников, обученных правилам безопасного ведения работ.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оказания услуг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1167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9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оказания услуг</w:t>
            </w:r>
          </w:p>
          <w:p>
            <w:pPr>
              <w:pStyle w:val="ListParagraph"/>
              <w:widowControl w:val="false"/>
              <w:suppressAutoHyphens w:val="true"/>
              <w:spacing w:before="60" w:after="60"/>
              <w:ind w:left="40" w:hanging="709"/>
              <w:contextualSpacing w:val="false"/>
              <w:jc w:val="both"/>
              <w:rPr>
                <w:iCs/>
                <w:shd w:fill="FFFF99" w:val="clear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Услуги оказываются в таком объёме, который позволяет начать эксплуатацию обслуживаемого объекта без закупки Заказчиком дополнительных объёмов каких-либо материалов и услуг. Услуги считаются оказанными после приёмки объекта комиссией филиала с оформлением отчётной документации со стороны Исполнителя.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8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Результат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оказания услуг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 результатам оказанных услуг, внутренняя поверхность стеклянных покрытий окон зданий, должна быть надежно оклеена бронепленкой по всей площади.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Толщина пленки 308 микрон.</w:t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  <w:t>...</w:t>
            </w:r>
          </w:p>
        </w:tc>
        <w:tc>
          <w:tcPr>
            <w:tcW w:w="28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</w:tabs>
              <w:suppressAutoHyphens w:val="true"/>
              <w:spacing w:before="0" w:after="0"/>
              <w:ind w:left="72" w:hanging="709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Принимаемые компоновочные и технические решения должны обеспечивать: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41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left" w:pos="708" w:leader="none"/>
              </w:tabs>
              <w:suppressAutoHyphens w:val="true"/>
              <w:spacing w:before="0" w:after="0"/>
              <w:ind w:left="354" w:right="-2" w:hanging="3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увеличение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прочности стеклянных покрытий и предотвращение образования осколков при механическом воздействии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42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6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42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8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416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 обязан одновременно с передачей актов приемки оказанных услуг передать Заказчику Отчет об оказанных услугах, включая: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0" w:hanging="283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комиссионные акты входного контроля закупаемых Исполнителем материалов (в произвольной форме);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0" w:hanging="283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сертификаты на используемые материалы;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0" w:hanging="283"/>
              <w:contextualSpacing/>
              <w:jc w:val="left"/>
              <w:rPr>
                <w:b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счета-фактуры на материалы, закупаемые Исполнителем для использования в процессе оказания услуг.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42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6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42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8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</w:t>
            </w:r>
          </w:p>
        </w:tc>
        <w:tc>
          <w:tcPr>
            <w:tcW w:w="416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оказания услуг должен составлять 36 месяцев с даты подписания Акта о приемке оказанных услуг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42" w:type="dxa"/>
            <w:gridSpan w:val="4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964" w:type="dxa"/>
            <w:gridSpan w:val="3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42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8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8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соисполнителям, привлекаемым к оказанию услуг</w:t>
            </w:r>
          </w:p>
        </w:tc>
        <w:tc>
          <w:tcPr>
            <w:tcW w:w="416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42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17"/>
        </w:numPr>
        <w:ind w:left="0" w:hanging="0"/>
        <w:jc w:val="center"/>
        <w:rPr/>
      </w:pPr>
      <w:bookmarkStart w:id="86" w:name="_Toc171341931"/>
      <w:bookmarkStart w:id="87" w:name="_Toc54618151"/>
      <w:bookmarkStart w:id="88" w:name="_Toc54279844"/>
      <w:r>
        <w:rPr/>
        <w:t>Требования к документации по</w:t>
      </w:r>
      <w:r>
        <w:rPr>
          <w:lang w:val="ru-RU"/>
        </w:rPr>
        <w:t xml:space="preserve"> </w:t>
      </w:r>
      <w:r>
        <w:rPr/>
        <w:t>ценообразованию на этапе закупки</w:t>
      </w:r>
      <w:bookmarkEnd w:id="86"/>
      <w:bookmarkEnd w:id="87"/>
      <w:bookmarkEnd w:id="88"/>
    </w:p>
    <w:p>
      <w:pPr>
        <w:pStyle w:val="ListParagraph"/>
        <w:numPr>
          <w:ilvl w:val="1"/>
          <w:numId w:val="17"/>
        </w:numPr>
        <w:ind w:left="851" w:hanging="567"/>
        <w:rPr>
          <w:sz w:val="26"/>
          <w:szCs w:val="26"/>
          <w:lang w:eastAsia="x-none"/>
        </w:rPr>
      </w:pPr>
      <w:r>
        <w:rPr>
          <w:color w:val="000000"/>
          <w:sz w:val="26"/>
          <w:szCs w:val="26"/>
          <w:shd w:fill="FFFFFF" w:val="clear"/>
        </w:rPr>
        <w:t>Участник в своей заявке должен предоставить техническое предложение по форме Таблицы 3.</w:t>
      </w:r>
      <w:bookmarkStart w:id="89" w:name="_Hlk67315138"/>
      <w:bookmarkStart w:id="90" w:name="_Toc171340794"/>
    </w:p>
    <w:p>
      <w:pPr>
        <w:pStyle w:val="ListParagraph"/>
        <w:numPr>
          <w:ilvl w:val="1"/>
          <w:numId w:val="17"/>
        </w:numPr>
        <w:ind w:left="851" w:hanging="567"/>
        <w:rPr>
          <w:sz w:val="26"/>
          <w:szCs w:val="26"/>
          <w:lang w:eastAsia="x-none"/>
        </w:rPr>
      </w:pPr>
      <w:r>
        <w:rPr>
          <w:iCs/>
          <w:sz w:val="26"/>
          <w:szCs w:val="26"/>
        </w:rPr>
        <w:t xml:space="preserve">В обоснование стоимости своей заявки Участник предоставляет Коммерческое предложение, </w:t>
      </w:r>
      <w:bookmarkEnd w:id="90"/>
      <w:r>
        <w:rPr>
          <w:color w:val="000000"/>
          <w:sz w:val="26"/>
          <w:szCs w:val="26"/>
          <w:shd w:fill="FFFFFF" w:val="clear"/>
        </w:rPr>
        <w:t xml:space="preserve">по форме расчёта стоимости услуг (Таблица 5). </w:t>
      </w:r>
    </w:p>
    <w:p>
      <w:pPr>
        <w:pStyle w:val="ListParagraph"/>
        <w:ind w:left="1276" w:hanging="0"/>
        <w:rPr>
          <w:lang w:eastAsia="x-none"/>
        </w:rPr>
      </w:pPr>
      <w:r>
        <w:rPr>
          <w:lang w:eastAsia="x-none"/>
        </w:rPr>
      </w:r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>
          <w:lang w:val="ru-RU"/>
        </w:rPr>
      </w:pPr>
      <w:bookmarkStart w:id="91" w:name="_Toc171341932"/>
      <w:r>
        <w:rPr/>
        <w:t>Таблица</w:t>
      </w:r>
      <w:r>
        <w:rPr>
          <w:lang w:val="ru-RU"/>
        </w:rPr>
        <w:t> 5</w:t>
      </w:r>
      <w:r>
        <w:rPr/>
        <w:t xml:space="preserve">. </w:t>
      </w:r>
      <w:r>
        <w:rPr>
          <w:lang w:val="en-US"/>
        </w:rPr>
        <w:t>Расчёт</w:t>
      </w:r>
      <w:r>
        <w:rPr>
          <w:lang w:val="ru-RU"/>
        </w:rPr>
        <w:t xml:space="preserve"> стоимости услуг</w:t>
      </w:r>
      <w:bookmarkEnd w:id="91"/>
    </w:p>
    <w:tbl>
      <w:tblPr>
        <w:tblW w:w="93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5"/>
        <w:gridCol w:w="2979"/>
        <w:gridCol w:w="1418"/>
        <w:gridCol w:w="1418"/>
        <w:gridCol w:w="1424"/>
        <w:gridCol w:w="36"/>
        <w:gridCol w:w="1374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услуг</w:t>
            </w:r>
            <w:r>
              <w:rPr>
                <w:sz w:val="24"/>
                <w:szCs w:val="24"/>
              </w:rPr>
              <w:t xml:space="preserve">/ этапа </w:t>
            </w:r>
            <w:r>
              <w:rPr>
                <w:sz w:val="24"/>
                <w:szCs w:val="24"/>
                <w:lang w:val="en-US"/>
              </w:rPr>
              <w:t>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 измерения, руб. без НДС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Стоимость, руб. без НДС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uppressAutoHyphens w:val="true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86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Оклейка бронированной пленки на окнах зданий Филиала ПАО «РусГидро» –«Жигулевская ГЭС»: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18"/>
              </w:numPr>
              <w:suppressAutoHyphens w:val="true"/>
              <w:ind w:left="0" w:hanging="0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rPr>
                <w:b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Здание </w:t>
            </w:r>
            <w:r>
              <w:rPr>
                <w:iCs/>
                <w:sz w:val="24"/>
                <w:szCs w:val="24"/>
                <w:lang w:val="en-US"/>
              </w:rPr>
              <w:t>ГЭС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iCs/>
                <w:sz w:val="24"/>
                <w:szCs w:val="24"/>
                <w:vertAlign w:val="superscript"/>
              </w:rPr>
            </w:pPr>
            <w:r>
              <w:rPr>
                <w:iCs/>
                <w:sz w:val="24"/>
                <w:szCs w:val="24"/>
              </w:rPr>
              <w:t>м</w:t>
            </w:r>
            <w:r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4 329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7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расчёту стоимости услуг: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ListParagraph"/>
        <w:numPr>
          <w:ilvl w:val="0"/>
          <w:numId w:val="16"/>
        </w:numPr>
        <w:ind w:left="426" w:hanging="360"/>
        <w:jc w:val="center"/>
        <w:rPr>
          <w:b/>
          <w:iCs/>
          <w:sz w:val="28"/>
          <w:szCs w:val="28"/>
          <w:lang w:eastAsia="x-none"/>
        </w:rPr>
      </w:pPr>
      <w:bookmarkStart w:id="92" w:name="_Hlk67315208"/>
      <w:bookmarkEnd w:id="92"/>
      <w:r>
        <w:rPr>
          <w:b/>
          <w:iCs/>
          <w:sz w:val="28"/>
          <w:szCs w:val="28"/>
          <w:lang w:eastAsia="x-none"/>
        </w:rPr>
        <w:t>Приложения</w:t>
      </w:r>
    </w:p>
    <w:p>
      <w:pPr>
        <w:pStyle w:val="ListParagraph"/>
        <w:ind w:left="426" w:hanging="0"/>
        <w:rPr>
          <w:b/>
          <w:iCs/>
          <w:sz w:val="28"/>
          <w:szCs w:val="28"/>
          <w:lang w:eastAsia="x-none"/>
        </w:rPr>
      </w:pPr>
      <w:r>
        <w:rPr>
          <w:b/>
          <w:iCs/>
          <w:sz w:val="28"/>
          <w:szCs w:val="28"/>
          <w:lang w:eastAsia="x-none"/>
        </w:rPr>
      </w:r>
      <w:bookmarkStart w:id="93" w:name="_Hlk67315208_Копия_1"/>
      <w:bookmarkStart w:id="94" w:name="_Hlk67315208_Копия_1"/>
      <w:bookmarkEnd w:id="94"/>
    </w:p>
    <w:p>
      <w:pPr>
        <w:pStyle w:val="Normal"/>
        <w:suppressAutoHyphens w:val="true"/>
        <w:spacing w:lineRule="atLeast" w:line="0" w:before="0" w:after="120"/>
        <w:jc w:val="both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Приложение № 1. Методика допуска персонала подрядных организаций к выполнению работ на объектах Общества;</w:t>
      </w:r>
    </w:p>
    <w:p>
      <w:pPr>
        <w:pStyle w:val="Normal"/>
        <w:suppressAutoHyphens w:val="true"/>
        <w:spacing w:lineRule="atLeast" w:line="0" w:before="0" w:after="120"/>
        <w:jc w:val="both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Приложение № 2. Положение по пропускному и внутри объектовому режимам Филиала.</w:t>
      </w:r>
    </w:p>
    <w:p>
      <w:pPr>
        <w:pStyle w:val="Normal"/>
        <w:suppressAutoHyphens w:val="true"/>
        <w:spacing w:lineRule="atLeast" w:line="0" w:before="0" w:after="120"/>
        <w:jc w:val="both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Приложение № 3. Требования к количественному составу и квалификации персонала.</w:t>
      </w:r>
      <w:bookmarkEnd w:id="89"/>
    </w:p>
    <w:sectPr>
      <w:headerReference w:type="default" r:id="rId7"/>
      <w:headerReference w:type="first" r:id="rId8"/>
      <w:type w:val="nextPage"/>
      <w:pgSz w:w="11906" w:h="16838"/>
      <w:pgMar w:left="1559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/>
        <w:b w:val="false"/>
        <w:szCs w:val="22"/>
        <w:iCs w:val="false"/>
        <w:bCs w:val="fals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i w:val="false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 w:val="false"/>
        <w:b w:val="false"/>
        <w:szCs w:val="24"/>
        <w:iCs w:val="false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9" w:hanging="432"/>
      </w:pPr>
      <w:rPr>
        <w:sz w:val="24"/>
        <w:i w:val="false"/>
        <w:b w:val="false"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i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  <w:i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ascii="Times New Roman" w:hAnsi="Times New Roman"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4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sz w:val="24"/>
        <w:b w:val="false"/>
        <w:szCs w:val="24"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14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310749"/>
    <w:pPr>
      <w:keepNext w:val="true"/>
      <w:numPr>
        <w:ilvl w:val="2"/>
        <w:numId w:val="3"/>
      </w:numPr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31074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796dd1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413c84"/>
    <w:rPr>
      <w:sz w:val="16"/>
      <w:szCs w:val="16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07c5c"/>
    <w:pPr>
      <w:spacing w:before="120" w:after="0"/>
    </w:pPr>
    <w:rPr>
      <w:rFonts w:cs="Calibri" w:cs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06dd5"/>
    <w:pPr>
      <w:tabs>
        <w:tab w:val="clear" w:pos="708"/>
        <w:tab w:val="left" w:pos="140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07c5c"/>
    <w:pPr>
      <w:spacing w:before="120" w:after="0"/>
      <w:ind w:left="280" w:hanging="0"/>
    </w:pPr>
    <w:rPr>
      <w:rFonts w:cs="Calibri" w:cstheme="minorHAnsi"/>
      <w:b/>
      <w:bCs/>
      <w:sz w:val="22"/>
      <w:szCs w:val="22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22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07c5c"/>
    <w:pPr>
      <w:ind w:left="84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TOC6">
    <w:name w:val="TOC 6"/>
    <w:basedOn w:val="Normal"/>
    <w:next w:val="Normal"/>
    <w:autoRedefine/>
    <w:semiHidden/>
    <w:unhideWhenUsed/>
    <w:rsid w:val="00796dd1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796dd1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796dd1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8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1BB5A-A836-48F7-83E8-2A816926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Application>AlterOffice/3.4.0.9$Linux_X86_64 LibreOffice_project/b8daf9e823b1a5463a2f48435ddc2e8696e7d4fc</Application>
  <AppVersion>15.0000</AppVersion>
  <Pages>15</Pages>
  <Words>2163</Words>
  <Characters>14544</Characters>
  <CharactersWithSpaces>16480</CharactersWithSpaces>
  <Paragraphs>293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2024-04-15T12:39:00Z</dcterms:created>
  <dc:creator>Быстров Олег Геннадьевич</dc:creator>
  <dc:description/>
  <dc:language>ru-RU</dc:language>
  <cp:lastModifiedBy>obischenkoaa@corp.gidroogk.com</cp:lastModifiedBy>
  <cp:lastPrinted>2024-04-19T07:26:00Z</cp:lastPrinted>
  <dcterms:modified xsi:type="dcterms:W3CDTF">2026-08-28T14:19:08Z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